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DB631" w14:textId="77777777" w:rsidR="00DF612D" w:rsidRDefault="00DF612D" w:rsidP="003C2438"/>
    <w:p w14:paraId="01736287" w14:textId="77777777" w:rsidR="00CD484F" w:rsidRDefault="00CD484F" w:rsidP="003C2438"/>
    <w:p w14:paraId="429777BC" w14:textId="77777777" w:rsidR="00DF612D" w:rsidRPr="001B20DC" w:rsidRDefault="00DF612D" w:rsidP="003C2438">
      <w:pPr>
        <w:pStyle w:val="Deckblatt-Titel"/>
        <w:framePr w:wrap="notBeside"/>
        <w:spacing w:line="300" w:lineRule="atLeast"/>
        <w:rPr>
          <w:sz w:val="32"/>
          <w:szCs w:val="32"/>
        </w:rPr>
      </w:pPr>
      <w:r>
        <w:t>BDEW/VKU/GEODE-</w:t>
      </w:r>
      <w:r>
        <w:br/>
        <w:t>Leitfaden</w:t>
      </w:r>
    </w:p>
    <w:p w14:paraId="47D944F5" w14:textId="667C7999" w:rsidR="001A7A2B" w:rsidRPr="001B20DC" w:rsidRDefault="00DA1BA0" w:rsidP="003C2438">
      <w:pPr>
        <w:pStyle w:val="Deckblatt-Untertitel"/>
        <w:framePr w:wrap="notBeside" w:hAnchor="page" w:x="1419" w:y="6300"/>
        <w:spacing w:line="300" w:lineRule="atLeast"/>
        <w:rPr>
          <w:sz w:val="32"/>
          <w:szCs w:val="32"/>
        </w:rPr>
      </w:pPr>
      <w:r w:rsidRPr="001B20DC">
        <w:rPr>
          <w:sz w:val="32"/>
          <w:szCs w:val="32"/>
        </w:rPr>
        <w:t>Marktprozesse</w:t>
      </w:r>
    </w:p>
    <w:p w14:paraId="75375241" w14:textId="77777777" w:rsidR="001A7A2B" w:rsidRPr="00E52F85" w:rsidRDefault="00E20B5A" w:rsidP="003C2438">
      <w:pPr>
        <w:pStyle w:val="Deckblatt-Untertitel"/>
        <w:framePr w:wrap="notBeside" w:hAnchor="page" w:x="1419" w:y="6300"/>
        <w:spacing w:line="300" w:lineRule="atLeast"/>
      </w:pPr>
      <w:r w:rsidRPr="00E20B5A">
        <w:t>Bilanzkreismanagement Gas</w:t>
      </w:r>
    </w:p>
    <w:p w14:paraId="665B6CFD" w14:textId="5051DD77" w:rsidR="001A7A2B" w:rsidRPr="00E52F85" w:rsidRDefault="00E20B5A" w:rsidP="003C2438">
      <w:pPr>
        <w:pStyle w:val="Deckblatt-Untertitel"/>
        <w:framePr w:wrap="notBeside" w:hAnchor="page" w:x="1419" w:y="6300"/>
        <w:spacing w:line="300" w:lineRule="atLeast"/>
      </w:pPr>
      <w:r w:rsidRPr="00E20B5A">
        <w:t>Teil 1</w:t>
      </w:r>
    </w:p>
    <w:p w14:paraId="5C711CF8" w14:textId="13F94CBC" w:rsidR="001A7A2B" w:rsidRPr="00B01A1E" w:rsidRDefault="006A73FA" w:rsidP="003C2438">
      <w:pPr>
        <w:pStyle w:val="Deckblatt-Datum"/>
        <w:framePr w:wrap="notBeside" w:hAnchor="page" w:x="1419" w:y="6300"/>
        <w:rPr>
          <w:color w:val="auto"/>
          <w:sz w:val="32"/>
          <w:szCs w:val="32"/>
        </w:rPr>
      </w:pPr>
      <w:r>
        <w:rPr>
          <w:color w:val="auto"/>
          <w:sz w:val="32"/>
          <w:szCs w:val="32"/>
        </w:rPr>
        <w:t>Berlin</w:t>
      </w:r>
      <w:r w:rsidR="00980729" w:rsidRPr="003D3B60">
        <w:rPr>
          <w:color w:val="auto"/>
          <w:sz w:val="32"/>
          <w:szCs w:val="32"/>
        </w:rPr>
        <w:t xml:space="preserve">, </w:t>
      </w:r>
      <w:r w:rsidR="00764BBD">
        <w:rPr>
          <w:color w:val="auto"/>
          <w:sz w:val="32"/>
          <w:szCs w:val="32"/>
        </w:rPr>
        <w:t>12.08</w:t>
      </w:r>
      <w:r w:rsidR="00926B3D">
        <w:rPr>
          <w:color w:val="auto"/>
          <w:sz w:val="32"/>
        </w:rPr>
        <w:t>.</w:t>
      </w:r>
      <w:r w:rsidR="002C656B">
        <w:rPr>
          <w:color w:val="auto"/>
          <w:sz w:val="32"/>
        </w:rPr>
        <w:t>202</w:t>
      </w:r>
      <w:r w:rsidR="00DE7D16">
        <w:rPr>
          <w:color w:val="auto"/>
          <w:sz w:val="32"/>
        </w:rPr>
        <w:t>2</w:t>
      </w:r>
    </w:p>
    <w:p w14:paraId="7A7147FB" w14:textId="77777777" w:rsidR="00DF612D" w:rsidRDefault="00DF612D" w:rsidP="003C2438"/>
    <w:p w14:paraId="66E36BFB" w14:textId="77777777" w:rsidR="00A2347D" w:rsidRDefault="00A2347D" w:rsidP="003C2438"/>
    <w:p w14:paraId="3DB26981" w14:textId="77777777" w:rsidR="00A2347D" w:rsidRDefault="00A2347D" w:rsidP="003C2438"/>
    <w:p w14:paraId="0086543B" w14:textId="77777777" w:rsidR="00A2347D" w:rsidRDefault="00A2347D" w:rsidP="003C2438"/>
    <w:p w14:paraId="3C5A1128" w14:textId="77777777" w:rsidR="00A2347D" w:rsidRDefault="00A2347D" w:rsidP="003C2438"/>
    <w:p w14:paraId="66510E70" w14:textId="77777777" w:rsidR="00DF612D" w:rsidRDefault="00DF612D" w:rsidP="003C2438"/>
    <w:p w14:paraId="4EA3BB00" w14:textId="77777777" w:rsidR="00DF612D" w:rsidRDefault="00DF612D" w:rsidP="003C2438"/>
    <w:p w14:paraId="7A49C072" w14:textId="77777777" w:rsidR="00DF612D" w:rsidRDefault="00DF612D" w:rsidP="003C2438"/>
    <w:p w14:paraId="7A68C042" w14:textId="77777777" w:rsidR="00E157A6" w:rsidRDefault="00DF612D" w:rsidP="003C2438">
      <w:bookmarkStart w:id="0" w:name="_Toc357091867"/>
      <w:r w:rsidRPr="0062136D">
        <w:t>Herausgegeben</w:t>
      </w:r>
      <w:r>
        <w:t xml:space="preserve"> vom</w:t>
      </w:r>
      <w:bookmarkEnd w:id="0"/>
    </w:p>
    <w:p w14:paraId="1FA4A515" w14:textId="6FA9F3DF" w:rsidR="00DF612D" w:rsidRDefault="00DF612D" w:rsidP="003C2438">
      <w:r>
        <w:t>BDEW Bundesverband der Energie- und Wasserwirtschaft e.V.,</w:t>
      </w:r>
    </w:p>
    <w:p w14:paraId="0A5DC8E9" w14:textId="65FDA374" w:rsidR="00DF612D" w:rsidRDefault="00DF612D" w:rsidP="003C2438">
      <w:r>
        <w:t>Verband kommunaler Unternehmen e.V. (VKU) sowie von</w:t>
      </w:r>
    </w:p>
    <w:p w14:paraId="4AF1418D" w14:textId="77777777" w:rsidR="00DF612D" w:rsidRPr="00E52F85" w:rsidRDefault="00E20B5A" w:rsidP="003C2438">
      <w:pPr>
        <w:rPr>
          <w:lang w:val="fr-FR"/>
        </w:rPr>
      </w:pPr>
      <w:r w:rsidRPr="00E20B5A">
        <w:rPr>
          <w:lang w:val="fr-FR"/>
        </w:rPr>
        <w:t>GEODE – Groupement Européen des entreprises et Organismes de Distribution d’Énergie, EWIV</w:t>
      </w:r>
    </w:p>
    <w:p w14:paraId="246C8CD3" w14:textId="77777777" w:rsidR="00620749" w:rsidRDefault="00620749" w:rsidP="003C2438">
      <w:pPr>
        <w:rPr>
          <w:lang w:val="fr-FR"/>
        </w:rPr>
        <w:sectPr w:rsidR="00620749" w:rsidSect="00620749">
          <w:headerReference w:type="default" r:id="rId170"/>
          <w:footerReference w:type="default" r:id="rId171"/>
          <w:headerReference w:type="first" r:id="rId172"/>
          <w:footerReference w:type="first" r:id="rId173"/>
          <w:pgSz w:w="11906" w:h="16838"/>
          <w:pgMar w:top="1417" w:right="1417" w:bottom="1134" w:left="1417" w:header="708" w:footer="708" w:gutter="0"/>
          <w:cols w:space="708"/>
          <w:titlePg/>
          <w:docGrid w:linePitch="360"/>
        </w:sectPr>
      </w:pPr>
    </w:p>
    <w:p w14:paraId="736342E1" w14:textId="77777777" w:rsidR="001A7842" w:rsidRPr="007829D4" w:rsidRDefault="0096315B" w:rsidP="003C2438">
      <w:pPr>
        <w:rPr>
          <w:b/>
          <w:lang w:val="fr-FR"/>
        </w:rPr>
      </w:pPr>
      <w:bookmarkStart w:id="1" w:name="_Toc357091868"/>
      <w:bookmarkStart w:id="2" w:name="_Toc358284753"/>
      <w:r w:rsidRPr="003A1593">
        <w:rPr>
          <w:b/>
          <w:lang w:val="fr-FR"/>
        </w:rPr>
        <w:br w:type="page"/>
      </w:r>
    </w:p>
    <w:p w14:paraId="4209B5D6" w14:textId="77777777" w:rsidR="00DF612D" w:rsidRDefault="00DF612D" w:rsidP="003C2438">
      <w:pPr>
        <w:outlineLvl w:val="0"/>
        <w:rPr>
          <w:b/>
        </w:rPr>
      </w:pPr>
      <w:bookmarkStart w:id="3" w:name="_Toc433974800"/>
      <w:bookmarkStart w:id="4" w:name="_Toc111118434"/>
      <w:r w:rsidRPr="005E563F">
        <w:rPr>
          <w:b/>
        </w:rPr>
        <w:lastRenderedPageBreak/>
        <w:t>Inhaltsverzeichnis</w:t>
      </w:r>
      <w:bookmarkEnd w:id="1"/>
      <w:bookmarkEnd w:id="2"/>
      <w:bookmarkEnd w:id="3"/>
      <w:bookmarkEnd w:id="4"/>
    </w:p>
    <w:p w14:paraId="0991B594" w14:textId="77777777" w:rsidR="005E563F" w:rsidRPr="00A53359" w:rsidRDefault="005E563F" w:rsidP="003C2438"/>
    <w:p w14:paraId="5674BBCD" w14:textId="670FE5C7" w:rsidR="00773299" w:rsidRDefault="00561FFA">
      <w:pPr>
        <w:pStyle w:val="Verzeichnis1"/>
        <w:rPr>
          <w:rFonts w:asciiTheme="minorHAnsi" w:eastAsiaTheme="minorEastAsia" w:hAnsiTheme="minorHAnsi" w:cstheme="minorBidi"/>
        </w:rPr>
      </w:pPr>
      <w:r w:rsidRPr="00BA0843">
        <w:rPr>
          <w:rFonts w:cs="Arial"/>
        </w:rPr>
        <w:fldChar w:fldCharType="begin"/>
      </w:r>
      <w:r w:rsidR="00DF612D" w:rsidRPr="00BA0843">
        <w:rPr>
          <w:rFonts w:cs="Arial"/>
        </w:rPr>
        <w:instrText xml:space="preserve"> TOC \o "1-4" \h \z \u </w:instrText>
      </w:r>
      <w:r w:rsidRPr="00BA0843">
        <w:rPr>
          <w:rFonts w:cs="Arial"/>
        </w:rPr>
        <w:fldChar w:fldCharType="separate"/>
      </w:r>
      <w:hyperlink w:anchor="_Toc111118434" w:history="1">
        <w:r w:rsidR="00773299" w:rsidRPr="008F4F8A">
          <w:rPr>
            <w:rStyle w:val="Hyperlink"/>
            <w:b/>
          </w:rPr>
          <w:t>Inhaltsverzeichnis</w:t>
        </w:r>
        <w:r w:rsidR="00773299">
          <w:rPr>
            <w:webHidden/>
          </w:rPr>
          <w:tab/>
        </w:r>
        <w:r w:rsidR="00773299">
          <w:rPr>
            <w:webHidden/>
          </w:rPr>
          <w:fldChar w:fldCharType="begin"/>
        </w:r>
        <w:r w:rsidR="00773299">
          <w:rPr>
            <w:webHidden/>
          </w:rPr>
          <w:instrText xml:space="preserve"> PAGEREF _Toc111118434 \h </w:instrText>
        </w:r>
        <w:r w:rsidR="00773299">
          <w:rPr>
            <w:webHidden/>
          </w:rPr>
        </w:r>
        <w:r w:rsidR="00773299">
          <w:rPr>
            <w:webHidden/>
          </w:rPr>
          <w:fldChar w:fldCharType="separate"/>
        </w:r>
        <w:r w:rsidR="00773299">
          <w:rPr>
            <w:webHidden/>
          </w:rPr>
          <w:t>2</w:t>
        </w:r>
        <w:r w:rsidR="00773299">
          <w:rPr>
            <w:webHidden/>
          </w:rPr>
          <w:fldChar w:fldCharType="end"/>
        </w:r>
      </w:hyperlink>
    </w:p>
    <w:p w14:paraId="57559970" w14:textId="6951C3C2" w:rsidR="00773299" w:rsidRDefault="00773299">
      <w:pPr>
        <w:pStyle w:val="Verzeichnis1"/>
        <w:rPr>
          <w:rFonts w:asciiTheme="minorHAnsi" w:eastAsiaTheme="minorEastAsia" w:hAnsiTheme="minorHAnsi" w:cstheme="minorBidi"/>
        </w:rPr>
      </w:pPr>
      <w:hyperlink w:anchor="_Toc111118435" w:history="1">
        <w:r w:rsidRPr="008F4F8A">
          <w:rPr>
            <w:rStyle w:val="Hyperlink"/>
            <w:b/>
          </w:rPr>
          <w:t>Abbildungsverzeichnis</w:t>
        </w:r>
        <w:r>
          <w:rPr>
            <w:webHidden/>
          </w:rPr>
          <w:tab/>
        </w:r>
        <w:r>
          <w:rPr>
            <w:webHidden/>
          </w:rPr>
          <w:fldChar w:fldCharType="begin"/>
        </w:r>
        <w:r>
          <w:rPr>
            <w:webHidden/>
          </w:rPr>
          <w:instrText xml:space="preserve"> PAGEREF _Toc111118435 \h </w:instrText>
        </w:r>
        <w:r>
          <w:rPr>
            <w:webHidden/>
          </w:rPr>
        </w:r>
        <w:r>
          <w:rPr>
            <w:webHidden/>
          </w:rPr>
          <w:fldChar w:fldCharType="separate"/>
        </w:r>
        <w:r>
          <w:rPr>
            <w:webHidden/>
          </w:rPr>
          <w:t>8</w:t>
        </w:r>
        <w:r>
          <w:rPr>
            <w:webHidden/>
          </w:rPr>
          <w:fldChar w:fldCharType="end"/>
        </w:r>
      </w:hyperlink>
    </w:p>
    <w:p w14:paraId="09EC4218" w14:textId="01F0DA83" w:rsidR="00773299" w:rsidRDefault="00773299">
      <w:pPr>
        <w:pStyle w:val="Verzeichnis1"/>
        <w:rPr>
          <w:rFonts w:asciiTheme="minorHAnsi" w:eastAsiaTheme="minorEastAsia" w:hAnsiTheme="minorHAnsi" w:cstheme="minorBidi"/>
        </w:rPr>
      </w:pPr>
      <w:hyperlink w:anchor="_Toc111118436" w:history="1">
        <w:r w:rsidRPr="008F4F8A">
          <w:rPr>
            <w:rStyle w:val="Hyperlink"/>
            <w:b/>
          </w:rPr>
          <w:t>Abkürzungsverzeichnis</w:t>
        </w:r>
        <w:r>
          <w:rPr>
            <w:webHidden/>
          </w:rPr>
          <w:tab/>
        </w:r>
        <w:r>
          <w:rPr>
            <w:webHidden/>
          </w:rPr>
          <w:fldChar w:fldCharType="begin"/>
        </w:r>
        <w:r>
          <w:rPr>
            <w:webHidden/>
          </w:rPr>
          <w:instrText xml:space="preserve"> PAGEREF _Toc111118436 \h </w:instrText>
        </w:r>
        <w:r>
          <w:rPr>
            <w:webHidden/>
          </w:rPr>
        </w:r>
        <w:r>
          <w:rPr>
            <w:webHidden/>
          </w:rPr>
          <w:fldChar w:fldCharType="separate"/>
        </w:r>
        <w:r>
          <w:rPr>
            <w:webHidden/>
          </w:rPr>
          <w:t>11</w:t>
        </w:r>
        <w:r>
          <w:rPr>
            <w:webHidden/>
          </w:rPr>
          <w:fldChar w:fldCharType="end"/>
        </w:r>
      </w:hyperlink>
    </w:p>
    <w:p w14:paraId="47B0557B" w14:textId="3F490110" w:rsidR="00773299" w:rsidRDefault="00773299">
      <w:pPr>
        <w:pStyle w:val="Verzeichnis1"/>
        <w:rPr>
          <w:rFonts w:asciiTheme="minorHAnsi" w:eastAsiaTheme="minorEastAsia" w:hAnsiTheme="minorHAnsi" w:cstheme="minorBidi"/>
        </w:rPr>
      </w:pPr>
      <w:hyperlink w:anchor="_Toc111118437" w:history="1">
        <w:r w:rsidRPr="008F4F8A">
          <w:rPr>
            <w:rStyle w:val="Hyperlink"/>
          </w:rPr>
          <w:t>1</w:t>
        </w:r>
        <w:r>
          <w:rPr>
            <w:rFonts w:asciiTheme="minorHAnsi" w:eastAsiaTheme="minorEastAsia" w:hAnsiTheme="minorHAnsi" w:cstheme="minorBidi"/>
          </w:rPr>
          <w:tab/>
        </w:r>
        <w:r w:rsidRPr="008F4F8A">
          <w:rPr>
            <w:rStyle w:val="Hyperlink"/>
          </w:rPr>
          <w:t>Einleitung</w:t>
        </w:r>
        <w:r>
          <w:rPr>
            <w:webHidden/>
          </w:rPr>
          <w:tab/>
        </w:r>
        <w:r>
          <w:rPr>
            <w:webHidden/>
          </w:rPr>
          <w:fldChar w:fldCharType="begin"/>
        </w:r>
        <w:r>
          <w:rPr>
            <w:webHidden/>
          </w:rPr>
          <w:instrText xml:space="preserve"> PAGEREF _Toc111118437 \h </w:instrText>
        </w:r>
        <w:r>
          <w:rPr>
            <w:webHidden/>
          </w:rPr>
        </w:r>
        <w:r>
          <w:rPr>
            <w:webHidden/>
          </w:rPr>
          <w:fldChar w:fldCharType="separate"/>
        </w:r>
        <w:r>
          <w:rPr>
            <w:webHidden/>
          </w:rPr>
          <w:t>14</w:t>
        </w:r>
        <w:r>
          <w:rPr>
            <w:webHidden/>
          </w:rPr>
          <w:fldChar w:fldCharType="end"/>
        </w:r>
      </w:hyperlink>
    </w:p>
    <w:p w14:paraId="52CC2374" w14:textId="586B43A1" w:rsidR="00773299" w:rsidRDefault="00773299">
      <w:pPr>
        <w:pStyle w:val="Verzeichnis2"/>
        <w:rPr>
          <w:rFonts w:asciiTheme="minorHAnsi" w:hAnsiTheme="minorHAnsi"/>
        </w:rPr>
      </w:pPr>
      <w:hyperlink w:anchor="_Toc111118438" w:history="1">
        <w:r w:rsidRPr="008F4F8A">
          <w:rPr>
            <w:rStyle w:val="Hyperlink"/>
          </w:rPr>
          <w:t>1.1</w:t>
        </w:r>
        <w:r>
          <w:rPr>
            <w:rFonts w:asciiTheme="minorHAnsi" w:hAnsiTheme="minorHAnsi"/>
          </w:rPr>
          <w:tab/>
        </w:r>
        <w:r w:rsidRPr="008F4F8A">
          <w:rPr>
            <w:rStyle w:val="Hyperlink"/>
          </w:rPr>
          <w:t>Ziel des Leitfadens</w:t>
        </w:r>
        <w:r>
          <w:rPr>
            <w:webHidden/>
          </w:rPr>
          <w:tab/>
        </w:r>
        <w:r>
          <w:rPr>
            <w:webHidden/>
          </w:rPr>
          <w:fldChar w:fldCharType="begin"/>
        </w:r>
        <w:r>
          <w:rPr>
            <w:webHidden/>
          </w:rPr>
          <w:instrText xml:space="preserve"> PAGEREF _Toc111118438 \h </w:instrText>
        </w:r>
        <w:r>
          <w:rPr>
            <w:webHidden/>
          </w:rPr>
        </w:r>
        <w:r>
          <w:rPr>
            <w:webHidden/>
          </w:rPr>
          <w:fldChar w:fldCharType="separate"/>
        </w:r>
        <w:r>
          <w:rPr>
            <w:webHidden/>
          </w:rPr>
          <w:t>14</w:t>
        </w:r>
        <w:r>
          <w:rPr>
            <w:webHidden/>
          </w:rPr>
          <w:fldChar w:fldCharType="end"/>
        </w:r>
      </w:hyperlink>
    </w:p>
    <w:p w14:paraId="7C78F5D3" w14:textId="17FFBE95" w:rsidR="00773299" w:rsidRDefault="00773299">
      <w:pPr>
        <w:pStyle w:val="Verzeichnis2"/>
        <w:rPr>
          <w:rFonts w:asciiTheme="minorHAnsi" w:hAnsiTheme="minorHAnsi"/>
        </w:rPr>
      </w:pPr>
      <w:hyperlink w:anchor="_Toc111118439" w:history="1">
        <w:r w:rsidRPr="008F4F8A">
          <w:rPr>
            <w:rStyle w:val="Hyperlink"/>
          </w:rPr>
          <w:t>1.2</w:t>
        </w:r>
        <w:r>
          <w:rPr>
            <w:rFonts w:asciiTheme="minorHAnsi" w:hAnsiTheme="minorHAnsi"/>
          </w:rPr>
          <w:tab/>
        </w:r>
        <w:r w:rsidRPr="008F4F8A">
          <w:rPr>
            <w:rStyle w:val="Hyperlink"/>
          </w:rPr>
          <w:t>Darstellung der verschiedenen Marktrollen</w:t>
        </w:r>
        <w:r>
          <w:rPr>
            <w:webHidden/>
          </w:rPr>
          <w:tab/>
        </w:r>
        <w:r>
          <w:rPr>
            <w:webHidden/>
          </w:rPr>
          <w:fldChar w:fldCharType="begin"/>
        </w:r>
        <w:r>
          <w:rPr>
            <w:webHidden/>
          </w:rPr>
          <w:instrText xml:space="preserve"> PAGEREF _Toc111118439 \h </w:instrText>
        </w:r>
        <w:r>
          <w:rPr>
            <w:webHidden/>
          </w:rPr>
        </w:r>
        <w:r>
          <w:rPr>
            <w:webHidden/>
          </w:rPr>
          <w:fldChar w:fldCharType="separate"/>
        </w:r>
        <w:r>
          <w:rPr>
            <w:webHidden/>
          </w:rPr>
          <w:t>14</w:t>
        </w:r>
        <w:r>
          <w:rPr>
            <w:webHidden/>
          </w:rPr>
          <w:fldChar w:fldCharType="end"/>
        </w:r>
      </w:hyperlink>
    </w:p>
    <w:p w14:paraId="477B93F1" w14:textId="48387AB5" w:rsidR="00773299" w:rsidRDefault="00773299">
      <w:pPr>
        <w:pStyle w:val="Verzeichnis1"/>
        <w:rPr>
          <w:rFonts w:asciiTheme="minorHAnsi" w:eastAsiaTheme="minorEastAsia" w:hAnsiTheme="minorHAnsi" w:cstheme="minorBidi"/>
        </w:rPr>
      </w:pPr>
      <w:hyperlink w:anchor="_Toc111118440" w:history="1">
        <w:r w:rsidRPr="008F4F8A">
          <w:rPr>
            <w:rStyle w:val="Hyperlink"/>
          </w:rPr>
          <w:t>2</w:t>
        </w:r>
        <w:r>
          <w:rPr>
            <w:rFonts w:asciiTheme="minorHAnsi" w:eastAsiaTheme="minorEastAsia" w:hAnsiTheme="minorHAnsi" w:cstheme="minorBidi"/>
          </w:rPr>
          <w:tab/>
        </w:r>
        <w:r w:rsidRPr="008F4F8A">
          <w:rPr>
            <w:rStyle w:val="Hyperlink"/>
          </w:rPr>
          <w:t>Grundlagen</w:t>
        </w:r>
        <w:r>
          <w:rPr>
            <w:webHidden/>
          </w:rPr>
          <w:tab/>
        </w:r>
        <w:r>
          <w:rPr>
            <w:webHidden/>
          </w:rPr>
          <w:fldChar w:fldCharType="begin"/>
        </w:r>
        <w:r>
          <w:rPr>
            <w:webHidden/>
          </w:rPr>
          <w:instrText xml:space="preserve"> PAGEREF _Toc111118440 \h </w:instrText>
        </w:r>
        <w:r>
          <w:rPr>
            <w:webHidden/>
          </w:rPr>
        </w:r>
        <w:r>
          <w:rPr>
            <w:webHidden/>
          </w:rPr>
          <w:fldChar w:fldCharType="separate"/>
        </w:r>
        <w:r>
          <w:rPr>
            <w:webHidden/>
          </w:rPr>
          <w:t>17</w:t>
        </w:r>
        <w:r>
          <w:rPr>
            <w:webHidden/>
          </w:rPr>
          <w:fldChar w:fldCharType="end"/>
        </w:r>
      </w:hyperlink>
    </w:p>
    <w:p w14:paraId="6AE75ACA" w14:textId="46926321" w:rsidR="00773299" w:rsidRDefault="00773299">
      <w:pPr>
        <w:pStyle w:val="Verzeichnis2"/>
        <w:rPr>
          <w:rFonts w:asciiTheme="minorHAnsi" w:hAnsiTheme="minorHAnsi"/>
        </w:rPr>
      </w:pPr>
      <w:hyperlink w:anchor="_Toc111118441" w:history="1">
        <w:r w:rsidRPr="008F4F8A">
          <w:rPr>
            <w:rStyle w:val="Hyperlink"/>
          </w:rPr>
          <w:t>2.1</w:t>
        </w:r>
        <w:r>
          <w:rPr>
            <w:rFonts w:asciiTheme="minorHAnsi" w:hAnsiTheme="minorHAnsi"/>
          </w:rPr>
          <w:tab/>
        </w:r>
        <w:r w:rsidRPr="008F4F8A">
          <w:rPr>
            <w:rStyle w:val="Hyperlink"/>
          </w:rPr>
          <w:t>Begriffsbestimmungen</w:t>
        </w:r>
        <w:r>
          <w:rPr>
            <w:webHidden/>
          </w:rPr>
          <w:tab/>
        </w:r>
        <w:r>
          <w:rPr>
            <w:webHidden/>
          </w:rPr>
          <w:fldChar w:fldCharType="begin"/>
        </w:r>
        <w:r>
          <w:rPr>
            <w:webHidden/>
          </w:rPr>
          <w:instrText xml:space="preserve"> PAGEREF _Toc111118441 \h </w:instrText>
        </w:r>
        <w:r>
          <w:rPr>
            <w:webHidden/>
          </w:rPr>
        </w:r>
        <w:r>
          <w:rPr>
            <w:webHidden/>
          </w:rPr>
          <w:fldChar w:fldCharType="separate"/>
        </w:r>
        <w:r>
          <w:rPr>
            <w:webHidden/>
          </w:rPr>
          <w:t>17</w:t>
        </w:r>
        <w:r>
          <w:rPr>
            <w:webHidden/>
          </w:rPr>
          <w:fldChar w:fldCharType="end"/>
        </w:r>
      </w:hyperlink>
    </w:p>
    <w:p w14:paraId="4892FA35" w14:textId="74D2001E" w:rsidR="00773299" w:rsidRDefault="00773299">
      <w:pPr>
        <w:pStyle w:val="Verzeichnis2"/>
        <w:rPr>
          <w:rFonts w:asciiTheme="minorHAnsi" w:hAnsiTheme="minorHAnsi"/>
        </w:rPr>
      </w:pPr>
      <w:hyperlink w:anchor="_Toc111118442" w:history="1">
        <w:r w:rsidRPr="008F4F8A">
          <w:rPr>
            <w:rStyle w:val="Hyperlink"/>
          </w:rPr>
          <w:t>2.2</w:t>
        </w:r>
        <w:r>
          <w:rPr>
            <w:rFonts w:asciiTheme="minorHAnsi" w:hAnsiTheme="minorHAnsi"/>
          </w:rPr>
          <w:tab/>
        </w:r>
        <w:r w:rsidRPr="008F4F8A">
          <w:rPr>
            <w:rStyle w:val="Hyperlink"/>
          </w:rPr>
          <w:t>Datenaustausch, Datenformate und Nachrichtentypen</w:t>
        </w:r>
        <w:r>
          <w:rPr>
            <w:webHidden/>
          </w:rPr>
          <w:tab/>
        </w:r>
        <w:r>
          <w:rPr>
            <w:webHidden/>
          </w:rPr>
          <w:fldChar w:fldCharType="begin"/>
        </w:r>
        <w:r>
          <w:rPr>
            <w:webHidden/>
          </w:rPr>
          <w:instrText xml:space="preserve"> PAGEREF _Toc111118442 \h </w:instrText>
        </w:r>
        <w:r>
          <w:rPr>
            <w:webHidden/>
          </w:rPr>
        </w:r>
        <w:r>
          <w:rPr>
            <w:webHidden/>
          </w:rPr>
          <w:fldChar w:fldCharType="separate"/>
        </w:r>
        <w:r>
          <w:rPr>
            <w:webHidden/>
          </w:rPr>
          <w:t>23</w:t>
        </w:r>
        <w:r>
          <w:rPr>
            <w:webHidden/>
          </w:rPr>
          <w:fldChar w:fldCharType="end"/>
        </w:r>
      </w:hyperlink>
    </w:p>
    <w:p w14:paraId="4995A2CA" w14:textId="2B47EC55" w:rsidR="00773299" w:rsidRDefault="00773299">
      <w:pPr>
        <w:pStyle w:val="Verzeichnis2"/>
        <w:rPr>
          <w:rFonts w:asciiTheme="minorHAnsi" w:hAnsiTheme="minorHAnsi"/>
        </w:rPr>
      </w:pPr>
      <w:hyperlink w:anchor="_Toc111118443" w:history="1">
        <w:r w:rsidRPr="008F4F8A">
          <w:rPr>
            <w:rStyle w:val="Hyperlink"/>
          </w:rPr>
          <w:t>2.3</w:t>
        </w:r>
        <w:r>
          <w:rPr>
            <w:rFonts w:asciiTheme="minorHAnsi" w:hAnsiTheme="minorHAnsi"/>
          </w:rPr>
          <w:tab/>
        </w:r>
        <w:r w:rsidRPr="008F4F8A">
          <w:rPr>
            <w:rStyle w:val="Hyperlink"/>
          </w:rPr>
          <w:t>Einrichtung eines Netzkontos beim Marktgebietsverantwortlichen</w:t>
        </w:r>
        <w:r>
          <w:rPr>
            <w:webHidden/>
          </w:rPr>
          <w:tab/>
        </w:r>
        <w:r>
          <w:rPr>
            <w:webHidden/>
          </w:rPr>
          <w:fldChar w:fldCharType="begin"/>
        </w:r>
        <w:r>
          <w:rPr>
            <w:webHidden/>
          </w:rPr>
          <w:instrText xml:space="preserve"> PAGEREF _Toc111118443 \h </w:instrText>
        </w:r>
        <w:r>
          <w:rPr>
            <w:webHidden/>
          </w:rPr>
        </w:r>
        <w:r>
          <w:rPr>
            <w:webHidden/>
          </w:rPr>
          <w:fldChar w:fldCharType="separate"/>
        </w:r>
        <w:r>
          <w:rPr>
            <w:webHidden/>
          </w:rPr>
          <w:t>23</w:t>
        </w:r>
        <w:r>
          <w:rPr>
            <w:webHidden/>
          </w:rPr>
          <w:fldChar w:fldCharType="end"/>
        </w:r>
      </w:hyperlink>
    </w:p>
    <w:p w14:paraId="0C92E991" w14:textId="6F1EAF5D" w:rsidR="00773299" w:rsidRDefault="00773299">
      <w:pPr>
        <w:pStyle w:val="Verzeichnis2"/>
        <w:rPr>
          <w:rFonts w:asciiTheme="minorHAnsi" w:hAnsiTheme="minorHAnsi"/>
        </w:rPr>
      </w:pPr>
      <w:hyperlink w:anchor="_Toc111118444" w:history="1">
        <w:r w:rsidRPr="008F4F8A">
          <w:rPr>
            <w:rStyle w:val="Hyperlink"/>
          </w:rPr>
          <w:t>2.4</w:t>
        </w:r>
        <w:r>
          <w:rPr>
            <w:rFonts w:asciiTheme="minorHAnsi" w:hAnsiTheme="minorHAnsi"/>
          </w:rPr>
          <w:tab/>
        </w:r>
        <w:r w:rsidRPr="008F4F8A">
          <w:rPr>
            <w:rStyle w:val="Hyperlink"/>
          </w:rPr>
          <w:t>Bezeichnung Netzkonto und Netzkonto-Bilanzierungsobjekt</w:t>
        </w:r>
        <w:r>
          <w:rPr>
            <w:webHidden/>
          </w:rPr>
          <w:tab/>
        </w:r>
        <w:r>
          <w:rPr>
            <w:webHidden/>
          </w:rPr>
          <w:fldChar w:fldCharType="begin"/>
        </w:r>
        <w:r>
          <w:rPr>
            <w:webHidden/>
          </w:rPr>
          <w:instrText xml:space="preserve"> PAGEREF _Toc111118444 \h </w:instrText>
        </w:r>
        <w:r>
          <w:rPr>
            <w:webHidden/>
          </w:rPr>
        </w:r>
        <w:r>
          <w:rPr>
            <w:webHidden/>
          </w:rPr>
          <w:fldChar w:fldCharType="separate"/>
        </w:r>
        <w:r>
          <w:rPr>
            <w:webHidden/>
          </w:rPr>
          <w:t>24</w:t>
        </w:r>
        <w:r>
          <w:rPr>
            <w:webHidden/>
          </w:rPr>
          <w:fldChar w:fldCharType="end"/>
        </w:r>
      </w:hyperlink>
    </w:p>
    <w:p w14:paraId="7B170C68" w14:textId="79004545" w:rsidR="00773299" w:rsidRDefault="00773299">
      <w:pPr>
        <w:pStyle w:val="Verzeichnis2"/>
        <w:rPr>
          <w:rFonts w:asciiTheme="minorHAnsi" w:hAnsiTheme="minorHAnsi"/>
        </w:rPr>
      </w:pPr>
      <w:hyperlink w:anchor="_Toc111118445" w:history="1">
        <w:r w:rsidRPr="008F4F8A">
          <w:rPr>
            <w:rStyle w:val="Hyperlink"/>
          </w:rPr>
          <w:t>2.5</w:t>
        </w:r>
        <w:r>
          <w:rPr>
            <w:rFonts w:asciiTheme="minorHAnsi" w:hAnsiTheme="minorHAnsi"/>
          </w:rPr>
          <w:tab/>
        </w:r>
        <w:r w:rsidRPr="008F4F8A">
          <w:rPr>
            <w:rStyle w:val="Hyperlink"/>
          </w:rPr>
          <w:t>Zuordnung von Ein- und Ausspeisepunkten zu Bilanzkreisen</w:t>
        </w:r>
        <w:r>
          <w:rPr>
            <w:webHidden/>
          </w:rPr>
          <w:tab/>
        </w:r>
        <w:r>
          <w:rPr>
            <w:webHidden/>
          </w:rPr>
          <w:fldChar w:fldCharType="begin"/>
        </w:r>
        <w:r>
          <w:rPr>
            <w:webHidden/>
          </w:rPr>
          <w:instrText xml:space="preserve"> PAGEREF _Toc111118445 \h </w:instrText>
        </w:r>
        <w:r>
          <w:rPr>
            <w:webHidden/>
          </w:rPr>
        </w:r>
        <w:r>
          <w:rPr>
            <w:webHidden/>
          </w:rPr>
          <w:fldChar w:fldCharType="separate"/>
        </w:r>
        <w:r>
          <w:rPr>
            <w:webHidden/>
          </w:rPr>
          <w:t>25</w:t>
        </w:r>
        <w:r>
          <w:rPr>
            <w:webHidden/>
          </w:rPr>
          <w:fldChar w:fldCharType="end"/>
        </w:r>
      </w:hyperlink>
    </w:p>
    <w:p w14:paraId="3E43DC7B" w14:textId="71DAFFB2" w:rsidR="00773299" w:rsidRDefault="00773299">
      <w:pPr>
        <w:pStyle w:val="Verzeichnis2"/>
        <w:rPr>
          <w:rFonts w:asciiTheme="minorHAnsi" w:hAnsiTheme="minorHAnsi"/>
        </w:rPr>
      </w:pPr>
      <w:hyperlink w:anchor="_Toc111118446" w:history="1">
        <w:r w:rsidRPr="008F4F8A">
          <w:rPr>
            <w:rStyle w:val="Hyperlink"/>
          </w:rPr>
          <w:t>2.6</w:t>
        </w:r>
        <w:r>
          <w:rPr>
            <w:rFonts w:asciiTheme="minorHAnsi" w:hAnsiTheme="minorHAnsi"/>
          </w:rPr>
          <w:tab/>
        </w:r>
        <w:r w:rsidRPr="008F4F8A">
          <w:rPr>
            <w:rStyle w:val="Hyperlink"/>
          </w:rPr>
          <w:t>Bilanzkreisnummer bzw. Bilanzkreisbezeichnung</w:t>
        </w:r>
        <w:r>
          <w:rPr>
            <w:webHidden/>
          </w:rPr>
          <w:tab/>
        </w:r>
        <w:r>
          <w:rPr>
            <w:webHidden/>
          </w:rPr>
          <w:fldChar w:fldCharType="begin"/>
        </w:r>
        <w:r>
          <w:rPr>
            <w:webHidden/>
          </w:rPr>
          <w:instrText xml:space="preserve"> PAGEREF _Toc111118446 \h </w:instrText>
        </w:r>
        <w:r>
          <w:rPr>
            <w:webHidden/>
          </w:rPr>
        </w:r>
        <w:r>
          <w:rPr>
            <w:webHidden/>
          </w:rPr>
          <w:fldChar w:fldCharType="separate"/>
        </w:r>
        <w:r>
          <w:rPr>
            <w:webHidden/>
          </w:rPr>
          <w:t>26</w:t>
        </w:r>
        <w:r>
          <w:rPr>
            <w:webHidden/>
          </w:rPr>
          <w:fldChar w:fldCharType="end"/>
        </w:r>
      </w:hyperlink>
    </w:p>
    <w:p w14:paraId="4C6E2756" w14:textId="439E929A" w:rsidR="00773299" w:rsidRDefault="00773299">
      <w:pPr>
        <w:pStyle w:val="Verzeichnis2"/>
        <w:rPr>
          <w:rFonts w:asciiTheme="minorHAnsi" w:hAnsiTheme="minorHAnsi"/>
        </w:rPr>
      </w:pPr>
      <w:hyperlink w:anchor="_Toc111118447" w:history="1">
        <w:r w:rsidRPr="008F4F8A">
          <w:rPr>
            <w:rStyle w:val="Hyperlink"/>
          </w:rPr>
          <w:t>2.7</w:t>
        </w:r>
        <w:r>
          <w:rPr>
            <w:rFonts w:asciiTheme="minorHAnsi" w:hAnsiTheme="minorHAnsi"/>
          </w:rPr>
          <w:tab/>
        </w:r>
        <w:r w:rsidRPr="008F4F8A">
          <w:rPr>
            <w:rStyle w:val="Hyperlink"/>
          </w:rPr>
          <w:t>Besonderheiten von Biogas-Bilanzkreisen</w:t>
        </w:r>
        <w:r>
          <w:rPr>
            <w:webHidden/>
          </w:rPr>
          <w:tab/>
        </w:r>
        <w:r>
          <w:rPr>
            <w:webHidden/>
          </w:rPr>
          <w:fldChar w:fldCharType="begin"/>
        </w:r>
        <w:r>
          <w:rPr>
            <w:webHidden/>
          </w:rPr>
          <w:instrText xml:space="preserve"> PAGEREF _Toc111118447 \h </w:instrText>
        </w:r>
        <w:r>
          <w:rPr>
            <w:webHidden/>
          </w:rPr>
        </w:r>
        <w:r>
          <w:rPr>
            <w:webHidden/>
          </w:rPr>
          <w:fldChar w:fldCharType="separate"/>
        </w:r>
        <w:r>
          <w:rPr>
            <w:webHidden/>
          </w:rPr>
          <w:t>28</w:t>
        </w:r>
        <w:r>
          <w:rPr>
            <w:webHidden/>
          </w:rPr>
          <w:fldChar w:fldCharType="end"/>
        </w:r>
      </w:hyperlink>
    </w:p>
    <w:p w14:paraId="38E7E11D" w14:textId="63871F4F" w:rsidR="00773299" w:rsidRDefault="00773299">
      <w:pPr>
        <w:pStyle w:val="Verzeichnis2"/>
        <w:rPr>
          <w:rFonts w:asciiTheme="minorHAnsi" w:hAnsiTheme="minorHAnsi"/>
        </w:rPr>
      </w:pPr>
      <w:hyperlink w:anchor="_Toc111118448" w:history="1">
        <w:r w:rsidRPr="008F4F8A">
          <w:rPr>
            <w:rStyle w:val="Hyperlink"/>
          </w:rPr>
          <w:t>2.8</w:t>
        </w:r>
        <w:r>
          <w:rPr>
            <w:rFonts w:asciiTheme="minorHAnsi" w:hAnsiTheme="minorHAnsi"/>
          </w:rPr>
          <w:tab/>
        </w:r>
        <w:r w:rsidRPr="008F4F8A">
          <w:rPr>
            <w:rStyle w:val="Hyperlink"/>
          </w:rPr>
          <w:t>Verbindung von Bilanzkreisen</w:t>
        </w:r>
        <w:r>
          <w:rPr>
            <w:webHidden/>
          </w:rPr>
          <w:tab/>
        </w:r>
        <w:r>
          <w:rPr>
            <w:webHidden/>
          </w:rPr>
          <w:fldChar w:fldCharType="begin"/>
        </w:r>
        <w:r>
          <w:rPr>
            <w:webHidden/>
          </w:rPr>
          <w:instrText xml:space="preserve"> PAGEREF _Toc111118448 \h </w:instrText>
        </w:r>
        <w:r>
          <w:rPr>
            <w:webHidden/>
          </w:rPr>
        </w:r>
        <w:r>
          <w:rPr>
            <w:webHidden/>
          </w:rPr>
          <w:fldChar w:fldCharType="separate"/>
        </w:r>
        <w:r>
          <w:rPr>
            <w:webHidden/>
          </w:rPr>
          <w:t>30</w:t>
        </w:r>
        <w:r>
          <w:rPr>
            <w:webHidden/>
          </w:rPr>
          <w:fldChar w:fldCharType="end"/>
        </w:r>
      </w:hyperlink>
    </w:p>
    <w:p w14:paraId="32B3EB54" w14:textId="4B1C4AE3" w:rsidR="00773299" w:rsidRDefault="00773299">
      <w:pPr>
        <w:pStyle w:val="Verzeichnis2"/>
        <w:rPr>
          <w:rFonts w:asciiTheme="minorHAnsi" w:hAnsiTheme="minorHAnsi"/>
        </w:rPr>
      </w:pPr>
      <w:hyperlink w:anchor="_Toc111118449" w:history="1">
        <w:r w:rsidRPr="008F4F8A">
          <w:rPr>
            <w:rStyle w:val="Hyperlink"/>
          </w:rPr>
          <w:t>2.9</w:t>
        </w:r>
        <w:r>
          <w:rPr>
            <w:rFonts w:asciiTheme="minorHAnsi" w:hAnsiTheme="minorHAnsi"/>
          </w:rPr>
          <w:tab/>
        </w:r>
        <w:r w:rsidRPr="008F4F8A">
          <w:rPr>
            <w:rStyle w:val="Hyperlink"/>
          </w:rPr>
          <w:t>Besonderheiten bei der Verbindung von Biogas-Bilanzkreisen</w:t>
        </w:r>
        <w:r>
          <w:rPr>
            <w:webHidden/>
          </w:rPr>
          <w:tab/>
        </w:r>
        <w:r>
          <w:rPr>
            <w:webHidden/>
          </w:rPr>
          <w:fldChar w:fldCharType="begin"/>
        </w:r>
        <w:r>
          <w:rPr>
            <w:webHidden/>
          </w:rPr>
          <w:instrText xml:space="preserve"> PAGEREF _Toc111118449 \h </w:instrText>
        </w:r>
        <w:r>
          <w:rPr>
            <w:webHidden/>
          </w:rPr>
        </w:r>
        <w:r>
          <w:rPr>
            <w:webHidden/>
          </w:rPr>
          <w:fldChar w:fldCharType="separate"/>
        </w:r>
        <w:r>
          <w:rPr>
            <w:webHidden/>
          </w:rPr>
          <w:t>33</w:t>
        </w:r>
        <w:r>
          <w:rPr>
            <w:webHidden/>
          </w:rPr>
          <w:fldChar w:fldCharType="end"/>
        </w:r>
      </w:hyperlink>
    </w:p>
    <w:p w14:paraId="3B57CE88" w14:textId="36D6089F" w:rsidR="00773299" w:rsidRDefault="00773299">
      <w:pPr>
        <w:pStyle w:val="Verzeichnis2"/>
        <w:rPr>
          <w:rFonts w:asciiTheme="minorHAnsi" w:hAnsiTheme="minorHAnsi"/>
        </w:rPr>
      </w:pPr>
      <w:hyperlink w:anchor="_Toc111118450" w:history="1">
        <w:r w:rsidRPr="008F4F8A">
          <w:rPr>
            <w:rStyle w:val="Hyperlink"/>
          </w:rPr>
          <w:t>2.10</w:t>
        </w:r>
        <w:r>
          <w:rPr>
            <w:rFonts w:asciiTheme="minorHAnsi" w:hAnsiTheme="minorHAnsi"/>
          </w:rPr>
          <w:tab/>
        </w:r>
        <w:r w:rsidRPr="008F4F8A">
          <w:rPr>
            <w:rStyle w:val="Hyperlink"/>
          </w:rPr>
          <w:t>Definition von Zeitreihentypen</w:t>
        </w:r>
        <w:r>
          <w:rPr>
            <w:webHidden/>
          </w:rPr>
          <w:tab/>
        </w:r>
        <w:r>
          <w:rPr>
            <w:webHidden/>
          </w:rPr>
          <w:fldChar w:fldCharType="begin"/>
        </w:r>
        <w:r>
          <w:rPr>
            <w:webHidden/>
          </w:rPr>
          <w:instrText xml:space="preserve"> PAGEREF _Toc111118450 \h </w:instrText>
        </w:r>
        <w:r>
          <w:rPr>
            <w:webHidden/>
          </w:rPr>
        </w:r>
        <w:r>
          <w:rPr>
            <w:webHidden/>
          </w:rPr>
          <w:fldChar w:fldCharType="separate"/>
        </w:r>
        <w:r>
          <w:rPr>
            <w:webHidden/>
          </w:rPr>
          <w:t>33</w:t>
        </w:r>
        <w:r>
          <w:rPr>
            <w:webHidden/>
          </w:rPr>
          <w:fldChar w:fldCharType="end"/>
        </w:r>
      </w:hyperlink>
    </w:p>
    <w:p w14:paraId="329B0927" w14:textId="073977A2" w:rsidR="00773299" w:rsidRDefault="00773299">
      <w:pPr>
        <w:pStyle w:val="Verzeichnis3"/>
        <w:rPr>
          <w:rFonts w:asciiTheme="minorHAnsi" w:eastAsiaTheme="minorEastAsia" w:hAnsiTheme="minorHAnsi" w:cstheme="minorBidi"/>
          <w:noProof/>
        </w:rPr>
      </w:pPr>
      <w:hyperlink w:anchor="_Toc111118451" w:history="1">
        <w:r w:rsidRPr="008F4F8A">
          <w:rPr>
            <w:rStyle w:val="Hyperlink"/>
            <w:noProof/>
          </w:rPr>
          <w:t>2.10.1</w:t>
        </w:r>
        <w:r>
          <w:rPr>
            <w:rFonts w:asciiTheme="minorHAnsi" w:eastAsiaTheme="minorEastAsia" w:hAnsiTheme="minorHAnsi" w:cstheme="minorBidi"/>
            <w:noProof/>
          </w:rPr>
          <w:tab/>
        </w:r>
        <w:r w:rsidRPr="008F4F8A">
          <w:rPr>
            <w:rStyle w:val="Hyperlink"/>
            <w:noProof/>
          </w:rPr>
          <w:t>Entry-Zeitreihentypen</w:t>
        </w:r>
        <w:r>
          <w:rPr>
            <w:noProof/>
            <w:webHidden/>
          </w:rPr>
          <w:tab/>
        </w:r>
        <w:r>
          <w:rPr>
            <w:noProof/>
            <w:webHidden/>
          </w:rPr>
          <w:fldChar w:fldCharType="begin"/>
        </w:r>
        <w:r>
          <w:rPr>
            <w:noProof/>
            <w:webHidden/>
          </w:rPr>
          <w:instrText xml:space="preserve"> PAGEREF _Toc111118451 \h </w:instrText>
        </w:r>
        <w:r>
          <w:rPr>
            <w:noProof/>
            <w:webHidden/>
          </w:rPr>
        </w:r>
        <w:r>
          <w:rPr>
            <w:noProof/>
            <w:webHidden/>
          </w:rPr>
          <w:fldChar w:fldCharType="separate"/>
        </w:r>
        <w:r>
          <w:rPr>
            <w:noProof/>
            <w:webHidden/>
          </w:rPr>
          <w:t>33</w:t>
        </w:r>
        <w:r>
          <w:rPr>
            <w:noProof/>
            <w:webHidden/>
          </w:rPr>
          <w:fldChar w:fldCharType="end"/>
        </w:r>
      </w:hyperlink>
    </w:p>
    <w:p w14:paraId="00BAFD88" w14:textId="3E706EB1" w:rsidR="00773299" w:rsidRDefault="00773299">
      <w:pPr>
        <w:pStyle w:val="Verzeichnis3"/>
        <w:rPr>
          <w:rFonts w:asciiTheme="minorHAnsi" w:eastAsiaTheme="minorEastAsia" w:hAnsiTheme="minorHAnsi" w:cstheme="minorBidi"/>
          <w:noProof/>
        </w:rPr>
      </w:pPr>
      <w:hyperlink w:anchor="_Toc111118452" w:history="1">
        <w:r w:rsidRPr="008F4F8A">
          <w:rPr>
            <w:rStyle w:val="Hyperlink"/>
            <w:noProof/>
          </w:rPr>
          <w:t>2.10.2</w:t>
        </w:r>
        <w:r>
          <w:rPr>
            <w:rFonts w:asciiTheme="minorHAnsi" w:eastAsiaTheme="minorEastAsia" w:hAnsiTheme="minorHAnsi" w:cstheme="minorBidi"/>
            <w:noProof/>
          </w:rPr>
          <w:tab/>
        </w:r>
        <w:r w:rsidRPr="008F4F8A">
          <w:rPr>
            <w:rStyle w:val="Hyperlink"/>
            <w:noProof/>
          </w:rPr>
          <w:t>Exit-Zeitreihentypen</w:t>
        </w:r>
        <w:r>
          <w:rPr>
            <w:noProof/>
            <w:webHidden/>
          </w:rPr>
          <w:tab/>
        </w:r>
        <w:r>
          <w:rPr>
            <w:noProof/>
            <w:webHidden/>
          </w:rPr>
          <w:fldChar w:fldCharType="begin"/>
        </w:r>
        <w:r>
          <w:rPr>
            <w:noProof/>
            <w:webHidden/>
          </w:rPr>
          <w:instrText xml:space="preserve"> PAGEREF _Toc111118452 \h </w:instrText>
        </w:r>
        <w:r>
          <w:rPr>
            <w:noProof/>
            <w:webHidden/>
          </w:rPr>
        </w:r>
        <w:r>
          <w:rPr>
            <w:noProof/>
            <w:webHidden/>
          </w:rPr>
          <w:fldChar w:fldCharType="separate"/>
        </w:r>
        <w:r>
          <w:rPr>
            <w:noProof/>
            <w:webHidden/>
          </w:rPr>
          <w:t>34</w:t>
        </w:r>
        <w:r>
          <w:rPr>
            <w:noProof/>
            <w:webHidden/>
          </w:rPr>
          <w:fldChar w:fldCharType="end"/>
        </w:r>
      </w:hyperlink>
    </w:p>
    <w:p w14:paraId="209CEE26" w14:textId="04A6B45B" w:rsidR="00773299" w:rsidRDefault="00773299">
      <w:pPr>
        <w:pStyle w:val="Verzeichnis3"/>
        <w:rPr>
          <w:rFonts w:asciiTheme="minorHAnsi" w:eastAsiaTheme="minorEastAsia" w:hAnsiTheme="minorHAnsi" w:cstheme="minorBidi"/>
          <w:noProof/>
        </w:rPr>
      </w:pPr>
      <w:hyperlink w:anchor="_Toc111118453" w:history="1">
        <w:r w:rsidRPr="008F4F8A">
          <w:rPr>
            <w:rStyle w:val="Hyperlink"/>
            <w:noProof/>
          </w:rPr>
          <w:t>2.10.3</w:t>
        </w:r>
        <w:r>
          <w:rPr>
            <w:rFonts w:asciiTheme="minorHAnsi" w:eastAsiaTheme="minorEastAsia" w:hAnsiTheme="minorHAnsi" w:cstheme="minorBidi"/>
            <w:noProof/>
          </w:rPr>
          <w:tab/>
        </w:r>
        <w:r w:rsidRPr="008F4F8A">
          <w:rPr>
            <w:rStyle w:val="Hyperlink"/>
            <w:noProof/>
          </w:rPr>
          <w:t>Bilanzierungszeitreihentypen (Netzkonten)</w:t>
        </w:r>
        <w:r>
          <w:rPr>
            <w:noProof/>
            <w:webHidden/>
          </w:rPr>
          <w:tab/>
        </w:r>
        <w:r>
          <w:rPr>
            <w:noProof/>
            <w:webHidden/>
          </w:rPr>
          <w:fldChar w:fldCharType="begin"/>
        </w:r>
        <w:r>
          <w:rPr>
            <w:noProof/>
            <w:webHidden/>
          </w:rPr>
          <w:instrText xml:space="preserve"> PAGEREF _Toc111118453 \h </w:instrText>
        </w:r>
        <w:r>
          <w:rPr>
            <w:noProof/>
            <w:webHidden/>
          </w:rPr>
        </w:r>
        <w:r>
          <w:rPr>
            <w:noProof/>
            <w:webHidden/>
          </w:rPr>
          <w:fldChar w:fldCharType="separate"/>
        </w:r>
        <w:r>
          <w:rPr>
            <w:noProof/>
            <w:webHidden/>
          </w:rPr>
          <w:t>35</w:t>
        </w:r>
        <w:r>
          <w:rPr>
            <w:noProof/>
            <w:webHidden/>
          </w:rPr>
          <w:fldChar w:fldCharType="end"/>
        </w:r>
      </w:hyperlink>
    </w:p>
    <w:p w14:paraId="3F68F3EF" w14:textId="67EDFD16" w:rsidR="00773299" w:rsidRDefault="00773299">
      <w:pPr>
        <w:pStyle w:val="Verzeichnis3"/>
        <w:rPr>
          <w:rFonts w:asciiTheme="minorHAnsi" w:eastAsiaTheme="minorEastAsia" w:hAnsiTheme="minorHAnsi" w:cstheme="minorBidi"/>
          <w:noProof/>
        </w:rPr>
      </w:pPr>
      <w:hyperlink w:anchor="_Toc111118454" w:history="1">
        <w:r w:rsidRPr="008F4F8A">
          <w:rPr>
            <w:rStyle w:val="Hyperlink"/>
            <w:noProof/>
          </w:rPr>
          <w:t>2.10.4</w:t>
        </w:r>
        <w:r>
          <w:rPr>
            <w:rFonts w:asciiTheme="minorHAnsi" w:eastAsiaTheme="minorEastAsia" w:hAnsiTheme="minorHAnsi" w:cstheme="minorBidi"/>
            <w:noProof/>
          </w:rPr>
          <w:tab/>
        </w:r>
        <w:r w:rsidRPr="008F4F8A">
          <w:rPr>
            <w:rStyle w:val="Hyperlink"/>
            <w:noProof/>
          </w:rPr>
          <w:t>Bilanzierungszeitreihentypen (Bilanzkreise)</w:t>
        </w:r>
        <w:r>
          <w:rPr>
            <w:noProof/>
            <w:webHidden/>
          </w:rPr>
          <w:tab/>
        </w:r>
        <w:r>
          <w:rPr>
            <w:noProof/>
            <w:webHidden/>
          </w:rPr>
          <w:fldChar w:fldCharType="begin"/>
        </w:r>
        <w:r>
          <w:rPr>
            <w:noProof/>
            <w:webHidden/>
          </w:rPr>
          <w:instrText xml:space="preserve"> PAGEREF _Toc111118454 \h </w:instrText>
        </w:r>
        <w:r>
          <w:rPr>
            <w:noProof/>
            <w:webHidden/>
          </w:rPr>
        </w:r>
        <w:r>
          <w:rPr>
            <w:noProof/>
            <w:webHidden/>
          </w:rPr>
          <w:fldChar w:fldCharType="separate"/>
        </w:r>
        <w:r>
          <w:rPr>
            <w:noProof/>
            <w:webHidden/>
          </w:rPr>
          <w:t>36</w:t>
        </w:r>
        <w:r>
          <w:rPr>
            <w:noProof/>
            <w:webHidden/>
          </w:rPr>
          <w:fldChar w:fldCharType="end"/>
        </w:r>
      </w:hyperlink>
    </w:p>
    <w:p w14:paraId="3862EBC8" w14:textId="398B01AB" w:rsidR="00773299" w:rsidRDefault="00773299">
      <w:pPr>
        <w:pStyle w:val="Verzeichnis3"/>
        <w:rPr>
          <w:rFonts w:asciiTheme="minorHAnsi" w:eastAsiaTheme="minorEastAsia" w:hAnsiTheme="minorHAnsi" w:cstheme="minorBidi"/>
          <w:noProof/>
        </w:rPr>
      </w:pPr>
      <w:hyperlink w:anchor="_Toc111118455" w:history="1">
        <w:r w:rsidRPr="008F4F8A">
          <w:rPr>
            <w:rStyle w:val="Hyperlink"/>
            <w:noProof/>
          </w:rPr>
          <w:t>2.10.5</w:t>
        </w:r>
        <w:r>
          <w:rPr>
            <w:rFonts w:asciiTheme="minorHAnsi" w:eastAsiaTheme="minorEastAsia" w:hAnsiTheme="minorHAnsi" w:cstheme="minorBidi"/>
            <w:noProof/>
          </w:rPr>
          <w:tab/>
        </w:r>
        <w:r w:rsidRPr="008F4F8A">
          <w:rPr>
            <w:rStyle w:val="Hyperlink"/>
            <w:noProof/>
          </w:rPr>
          <w:t>Biogas-Zeitreihentypen</w:t>
        </w:r>
        <w:r>
          <w:rPr>
            <w:noProof/>
            <w:webHidden/>
          </w:rPr>
          <w:tab/>
        </w:r>
        <w:r>
          <w:rPr>
            <w:noProof/>
            <w:webHidden/>
          </w:rPr>
          <w:fldChar w:fldCharType="begin"/>
        </w:r>
        <w:r>
          <w:rPr>
            <w:noProof/>
            <w:webHidden/>
          </w:rPr>
          <w:instrText xml:space="preserve"> PAGEREF _Toc111118455 \h </w:instrText>
        </w:r>
        <w:r>
          <w:rPr>
            <w:noProof/>
            <w:webHidden/>
          </w:rPr>
        </w:r>
        <w:r>
          <w:rPr>
            <w:noProof/>
            <w:webHidden/>
          </w:rPr>
          <w:fldChar w:fldCharType="separate"/>
        </w:r>
        <w:r>
          <w:rPr>
            <w:noProof/>
            <w:webHidden/>
          </w:rPr>
          <w:t>40</w:t>
        </w:r>
        <w:r>
          <w:rPr>
            <w:noProof/>
            <w:webHidden/>
          </w:rPr>
          <w:fldChar w:fldCharType="end"/>
        </w:r>
      </w:hyperlink>
    </w:p>
    <w:p w14:paraId="45FC329F" w14:textId="495345E9" w:rsidR="00773299" w:rsidRDefault="00773299">
      <w:pPr>
        <w:pStyle w:val="Verzeichnis3"/>
        <w:rPr>
          <w:rFonts w:asciiTheme="minorHAnsi" w:eastAsiaTheme="minorEastAsia" w:hAnsiTheme="minorHAnsi" w:cstheme="minorBidi"/>
          <w:noProof/>
        </w:rPr>
      </w:pPr>
      <w:hyperlink w:anchor="_Toc111118456" w:history="1">
        <w:r w:rsidRPr="008F4F8A">
          <w:rPr>
            <w:rStyle w:val="Hyperlink"/>
            <w:noProof/>
          </w:rPr>
          <w:t>2.10.6</w:t>
        </w:r>
        <w:r>
          <w:rPr>
            <w:rFonts w:asciiTheme="minorHAnsi" w:eastAsiaTheme="minorEastAsia" w:hAnsiTheme="minorHAnsi" w:cstheme="minorBidi"/>
            <w:noProof/>
          </w:rPr>
          <w:tab/>
        </w:r>
        <w:r w:rsidRPr="008F4F8A">
          <w:rPr>
            <w:rStyle w:val="Hyperlink"/>
            <w:noProof/>
          </w:rPr>
          <w:t>Tabellarische Darstellungen Zeitreihentypen</w:t>
        </w:r>
        <w:r>
          <w:rPr>
            <w:noProof/>
            <w:webHidden/>
          </w:rPr>
          <w:tab/>
        </w:r>
        <w:r>
          <w:rPr>
            <w:noProof/>
            <w:webHidden/>
          </w:rPr>
          <w:fldChar w:fldCharType="begin"/>
        </w:r>
        <w:r>
          <w:rPr>
            <w:noProof/>
            <w:webHidden/>
          </w:rPr>
          <w:instrText xml:space="preserve"> PAGEREF _Toc111118456 \h </w:instrText>
        </w:r>
        <w:r>
          <w:rPr>
            <w:noProof/>
            <w:webHidden/>
          </w:rPr>
        </w:r>
        <w:r>
          <w:rPr>
            <w:noProof/>
            <w:webHidden/>
          </w:rPr>
          <w:fldChar w:fldCharType="separate"/>
        </w:r>
        <w:r>
          <w:rPr>
            <w:noProof/>
            <w:webHidden/>
          </w:rPr>
          <w:t>42</w:t>
        </w:r>
        <w:r>
          <w:rPr>
            <w:noProof/>
            <w:webHidden/>
          </w:rPr>
          <w:fldChar w:fldCharType="end"/>
        </w:r>
      </w:hyperlink>
    </w:p>
    <w:p w14:paraId="772EC4DE" w14:textId="79A56C3C" w:rsidR="00773299" w:rsidRDefault="00773299">
      <w:pPr>
        <w:pStyle w:val="Verzeichnis1"/>
        <w:rPr>
          <w:rFonts w:asciiTheme="minorHAnsi" w:eastAsiaTheme="minorEastAsia" w:hAnsiTheme="minorHAnsi" w:cstheme="minorBidi"/>
        </w:rPr>
      </w:pPr>
      <w:hyperlink w:anchor="_Toc111118457" w:history="1">
        <w:r w:rsidRPr="008F4F8A">
          <w:rPr>
            <w:rStyle w:val="Hyperlink"/>
          </w:rPr>
          <w:t>3</w:t>
        </w:r>
        <w:r>
          <w:rPr>
            <w:rFonts w:asciiTheme="minorHAnsi" w:eastAsiaTheme="minorEastAsia" w:hAnsiTheme="minorHAnsi" w:cstheme="minorBidi"/>
          </w:rPr>
          <w:tab/>
        </w:r>
        <w:r w:rsidRPr="008F4F8A">
          <w:rPr>
            <w:rStyle w:val="Hyperlink"/>
          </w:rPr>
          <w:t>Vorgelagerte bilanzierungsrelevante Prozesse</w:t>
        </w:r>
        <w:r>
          <w:rPr>
            <w:webHidden/>
          </w:rPr>
          <w:tab/>
        </w:r>
        <w:r>
          <w:rPr>
            <w:webHidden/>
          </w:rPr>
          <w:fldChar w:fldCharType="begin"/>
        </w:r>
        <w:r>
          <w:rPr>
            <w:webHidden/>
          </w:rPr>
          <w:instrText xml:space="preserve"> PAGEREF _Toc111118457 \h </w:instrText>
        </w:r>
        <w:r>
          <w:rPr>
            <w:webHidden/>
          </w:rPr>
        </w:r>
        <w:r>
          <w:rPr>
            <w:webHidden/>
          </w:rPr>
          <w:fldChar w:fldCharType="separate"/>
        </w:r>
        <w:r>
          <w:rPr>
            <w:webHidden/>
          </w:rPr>
          <w:t>47</w:t>
        </w:r>
        <w:r>
          <w:rPr>
            <w:webHidden/>
          </w:rPr>
          <w:fldChar w:fldCharType="end"/>
        </w:r>
      </w:hyperlink>
    </w:p>
    <w:p w14:paraId="584360F3" w14:textId="0D9DEF72" w:rsidR="00773299" w:rsidRDefault="00773299">
      <w:pPr>
        <w:pStyle w:val="Verzeichnis2"/>
        <w:rPr>
          <w:rFonts w:asciiTheme="minorHAnsi" w:hAnsiTheme="minorHAnsi"/>
        </w:rPr>
      </w:pPr>
      <w:hyperlink w:anchor="_Toc111118458" w:history="1">
        <w:r w:rsidRPr="008F4F8A">
          <w:rPr>
            <w:rStyle w:val="Hyperlink"/>
          </w:rPr>
          <w:t>3.1</w:t>
        </w:r>
        <w:r>
          <w:rPr>
            <w:rFonts w:asciiTheme="minorHAnsi" w:hAnsiTheme="minorHAnsi"/>
          </w:rPr>
          <w:tab/>
        </w:r>
        <w:r w:rsidRPr="008F4F8A">
          <w:rPr>
            <w:rStyle w:val="Hyperlink"/>
          </w:rPr>
          <w:t>Übermittlung der zulässigen BK/SBK</w:t>
        </w:r>
        <w:r>
          <w:rPr>
            <w:webHidden/>
          </w:rPr>
          <w:tab/>
        </w:r>
        <w:r>
          <w:rPr>
            <w:webHidden/>
          </w:rPr>
          <w:fldChar w:fldCharType="begin"/>
        </w:r>
        <w:r>
          <w:rPr>
            <w:webHidden/>
          </w:rPr>
          <w:instrText xml:space="preserve"> PAGEREF _Toc111118458 \h </w:instrText>
        </w:r>
        <w:r>
          <w:rPr>
            <w:webHidden/>
          </w:rPr>
        </w:r>
        <w:r>
          <w:rPr>
            <w:webHidden/>
          </w:rPr>
          <w:fldChar w:fldCharType="separate"/>
        </w:r>
        <w:r>
          <w:rPr>
            <w:webHidden/>
          </w:rPr>
          <w:t>47</w:t>
        </w:r>
        <w:r>
          <w:rPr>
            <w:webHidden/>
          </w:rPr>
          <w:fldChar w:fldCharType="end"/>
        </w:r>
      </w:hyperlink>
    </w:p>
    <w:p w14:paraId="2BEB1E20" w14:textId="4009AE7D" w:rsidR="00773299" w:rsidRDefault="00773299">
      <w:pPr>
        <w:pStyle w:val="Verzeichnis2"/>
        <w:rPr>
          <w:rFonts w:asciiTheme="minorHAnsi" w:hAnsiTheme="minorHAnsi"/>
        </w:rPr>
      </w:pPr>
      <w:hyperlink w:anchor="_Toc111118459" w:history="1">
        <w:r w:rsidRPr="008F4F8A">
          <w:rPr>
            <w:rStyle w:val="Hyperlink"/>
          </w:rPr>
          <w:t>3.2</w:t>
        </w:r>
        <w:r>
          <w:rPr>
            <w:rFonts w:asciiTheme="minorHAnsi" w:hAnsiTheme="minorHAnsi"/>
          </w:rPr>
          <w:tab/>
        </w:r>
        <w:r w:rsidRPr="008F4F8A">
          <w:rPr>
            <w:rStyle w:val="Hyperlink"/>
          </w:rPr>
          <w:t>Durchführung des Fallgruppenwechsels</w:t>
        </w:r>
        <w:r>
          <w:rPr>
            <w:webHidden/>
          </w:rPr>
          <w:tab/>
        </w:r>
        <w:r>
          <w:rPr>
            <w:webHidden/>
          </w:rPr>
          <w:fldChar w:fldCharType="begin"/>
        </w:r>
        <w:r>
          <w:rPr>
            <w:webHidden/>
          </w:rPr>
          <w:instrText xml:space="preserve"> PAGEREF _Toc111118459 \h </w:instrText>
        </w:r>
        <w:r>
          <w:rPr>
            <w:webHidden/>
          </w:rPr>
        </w:r>
        <w:r>
          <w:rPr>
            <w:webHidden/>
          </w:rPr>
          <w:fldChar w:fldCharType="separate"/>
        </w:r>
        <w:r>
          <w:rPr>
            <w:webHidden/>
          </w:rPr>
          <w:t>49</w:t>
        </w:r>
        <w:r>
          <w:rPr>
            <w:webHidden/>
          </w:rPr>
          <w:fldChar w:fldCharType="end"/>
        </w:r>
      </w:hyperlink>
    </w:p>
    <w:p w14:paraId="75EF6EEA" w14:textId="68B404F0" w:rsidR="00773299" w:rsidRDefault="00773299">
      <w:pPr>
        <w:pStyle w:val="Verzeichnis2"/>
        <w:rPr>
          <w:rFonts w:asciiTheme="minorHAnsi" w:hAnsiTheme="minorHAnsi"/>
        </w:rPr>
      </w:pPr>
      <w:hyperlink w:anchor="_Toc111118460" w:history="1">
        <w:r w:rsidRPr="008F4F8A">
          <w:rPr>
            <w:rStyle w:val="Hyperlink"/>
          </w:rPr>
          <w:t>3.3</w:t>
        </w:r>
        <w:r>
          <w:rPr>
            <w:rFonts w:asciiTheme="minorHAnsi" w:hAnsiTheme="minorHAnsi"/>
          </w:rPr>
          <w:tab/>
        </w:r>
        <w:r w:rsidRPr="008F4F8A">
          <w:rPr>
            <w:rStyle w:val="Hyperlink"/>
          </w:rPr>
          <w:t>Erstellung und Versand von Deklarationslisten und Deklarationsmitteilungen</w:t>
        </w:r>
        <w:r>
          <w:rPr>
            <w:webHidden/>
          </w:rPr>
          <w:tab/>
        </w:r>
        <w:r>
          <w:rPr>
            <w:webHidden/>
          </w:rPr>
          <w:fldChar w:fldCharType="begin"/>
        </w:r>
        <w:r>
          <w:rPr>
            <w:webHidden/>
          </w:rPr>
          <w:instrText xml:space="preserve"> PAGEREF _Toc111118460 \h </w:instrText>
        </w:r>
        <w:r>
          <w:rPr>
            <w:webHidden/>
          </w:rPr>
        </w:r>
        <w:r>
          <w:rPr>
            <w:webHidden/>
          </w:rPr>
          <w:fldChar w:fldCharType="separate"/>
        </w:r>
        <w:r>
          <w:rPr>
            <w:webHidden/>
          </w:rPr>
          <w:t>49</w:t>
        </w:r>
        <w:r>
          <w:rPr>
            <w:webHidden/>
          </w:rPr>
          <w:fldChar w:fldCharType="end"/>
        </w:r>
      </w:hyperlink>
    </w:p>
    <w:p w14:paraId="7D7EF72C" w14:textId="6C0CF10E" w:rsidR="00773299" w:rsidRDefault="00773299">
      <w:pPr>
        <w:pStyle w:val="Verzeichnis3"/>
        <w:rPr>
          <w:rFonts w:asciiTheme="minorHAnsi" w:eastAsiaTheme="minorEastAsia" w:hAnsiTheme="minorHAnsi" w:cstheme="minorBidi"/>
          <w:noProof/>
        </w:rPr>
      </w:pPr>
      <w:hyperlink w:anchor="_Toc111118461" w:history="1">
        <w:r w:rsidRPr="008F4F8A">
          <w:rPr>
            <w:rStyle w:val="Hyperlink"/>
            <w:noProof/>
          </w:rPr>
          <w:t>3.3.1</w:t>
        </w:r>
        <w:r>
          <w:rPr>
            <w:rFonts w:asciiTheme="minorHAnsi" w:eastAsiaTheme="minorEastAsia" w:hAnsiTheme="minorHAnsi" w:cstheme="minorBidi"/>
            <w:noProof/>
          </w:rPr>
          <w:tab/>
        </w:r>
        <w:r w:rsidRPr="008F4F8A">
          <w:rPr>
            <w:rStyle w:val="Hyperlink"/>
            <w:noProof/>
          </w:rPr>
          <w:t>Monatliche Erstellung und Versand der Deklarationslisten und Deklarationsmitteilungen</w:t>
        </w:r>
        <w:r>
          <w:rPr>
            <w:noProof/>
            <w:webHidden/>
          </w:rPr>
          <w:tab/>
        </w:r>
        <w:r>
          <w:rPr>
            <w:noProof/>
            <w:webHidden/>
          </w:rPr>
          <w:fldChar w:fldCharType="begin"/>
        </w:r>
        <w:r>
          <w:rPr>
            <w:noProof/>
            <w:webHidden/>
          </w:rPr>
          <w:instrText xml:space="preserve"> PAGEREF _Toc111118461 \h </w:instrText>
        </w:r>
        <w:r>
          <w:rPr>
            <w:noProof/>
            <w:webHidden/>
          </w:rPr>
        </w:r>
        <w:r>
          <w:rPr>
            <w:noProof/>
            <w:webHidden/>
          </w:rPr>
          <w:fldChar w:fldCharType="separate"/>
        </w:r>
        <w:r>
          <w:rPr>
            <w:noProof/>
            <w:webHidden/>
          </w:rPr>
          <w:t>50</w:t>
        </w:r>
        <w:r>
          <w:rPr>
            <w:noProof/>
            <w:webHidden/>
          </w:rPr>
          <w:fldChar w:fldCharType="end"/>
        </w:r>
      </w:hyperlink>
    </w:p>
    <w:p w14:paraId="0ADD500B" w14:textId="2C8E3EC2" w:rsidR="00773299" w:rsidRDefault="00773299">
      <w:pPr>
        <w:pStyle w:val="Verzeichnis3"/>
        <w:rPr>
          <w:rFonts w:asciiTheme="minorHAnsi" w:eastAsiaTheme="minorEastAsia" w:hAnsiTheme="minorHAnsi" w:cstheme="minorBidi"/>
          <w:noProof/>
        </w:rPr>
      </w:pPr>
      <w:hyperlink w:anchor="_Toc111118462" w:history="1">
        <w:r w:rsidRPr="008F4F8A">
          <w:rPr>
            <w:rStyle w:val="Hyperlink"/>
            <w:noProof/>
          </w:rPr>
          <w:t>3.3.2</w:t>
        </w:r>
        <w:r>
          <w:rPr>
            <w:rFonts w:asciiTheme="minorHAnsi" w:eastAsiaTheme="minorEastAsia" w:hAnsiTheme="minorHAnsi" w:cstheme="minorBidi"/>
            <w:noProof/>
          </w:rPr>
          <w:tab/>
        </w:r>
        <w:r w:rsidRPr="008F4F8A">
          <w:rPr>
            <w:rStyle w:val="Hyperlink"/>
            <w:noProof/>
          </w:rPr>
          <w:t>Untermonatliche Erstellung und Versand der Deklarationslisten und Deklarationsmitteilungen</w:t>
        </w:r>
        <w:r>
          <w:rPr>
            <w:noProof/>
            <w:webHidden/>
          </w:rPr>
          <w:tab/>
        </w:r>
        <w:r>
          <w:rPr>
            <w:noProof/>
            <w:webHidden/>
          </w:rPr>
          <w:fldChar w:fldCharType="begin"/>
        </w:r>
        <w:r>
          <w:rPr>
            <w:noProof/>
            <w:webHidden/>
          </w:rPr>
          <w:instrText xml:space="preserve"> PAGEREF _Toc111118462 \h </w:instrText>
        </w:r>
        <w:r>
          <w:rPr>
            <w:noProof/>
            <w:webHidden/>
          </w:rPr>
        </w:r>
        <w:r>
          <w:rPr>
            <w:noProof/>
            <w:webHidden/>
          </w:rPr>
          <w:fldChar w:fldCharType="separate"/>
        </w:r>
        <w:r>
          <w:rPr>
            <w:noProof/>
            <w:webHidden/>
          </w:rPr>
          <w:t>51</w:t>
        </w:r>
        <w:r>
          <w:rPr>
            <w:noProof/>
            <w:webHidden/>
          </w:rPr>
          <w:fldChar w:fldCharType="end"/>
        </w:r>
      </w:hyperlink>
    </w:p>
    <w:p w14:paraId="67546F9D" w14:textId="0F918A75" w:rsidR="00773299" w:rsidRDefault="00773299">
      <w:pPr>
        <w:pStyle w:val="Verzeichnis2"/>
        <w:rPr>
          <w:rFonts w:asciiTheme="minorHAnsi" w:hAnsiTheme="minorHAnsi"/>
        </w:rPr>
      </w:pPr>
      <w:hyperlink w:anchor="_Toc111118463" w:history="1">
        <w:r w:rsidRPr="008F4F8A">
          <w:rPr>
            <w:rStyle w:val="Hyperlink"/>
          </w:rPr>
          <w:t>3.4</w:t>
        </w:r>
        <w:r>
          <w:rPr>
            <w:rFonts w:asciiTheme="minorHAnsi" w:hAnsiTheme="minorHAnsi"/>
          </w:rPr>
          <w:tab/>
        </w:r>
        <w:r w:rsidRPr="008F4F8A">
          <w:rPr>
            <w:rStyle w:val="Hyperlink"/>
          </w:rPr>
          <w:t>Deklarationsclearing</w:t>
        </w:r>
        <w:r>
          <w:rPr>
            <w:webHidden/>
          </w:rPr>
          <w:tab/>
        </w:r>
        <w:r>
          <w:rPr>
            <w:webHidden/>
          </w:rPr>
          <w:fldChar w:fldCharType="begin"/>
        </w:r>
        <w:r>
          <w:rPr>
            <w:webHidden/>
          </w:rPr>
          <w:instrText xml:space="preserve"> PAGEREF _Toc111118463 \h </w:instrText>
        </w:r>
        <w:r>
          <w:rPr>
            <w:webHidden/>
          </w:rPr>
        </w:r>
        <w:r>
          <w:rPr>
            <w:webHidden/>
          </w:rPr>
          <w:fldChar w:fldCharType="separate"/>
        </w:r>
        <w:r>
          <w:rPr>
            <w:webHidden/>
          </w:rPr>
          <w:t>51</w:t>
        </w:r>
        <w:r>
          <w:rPr>
            <w:webHidden/>
          </w:rPr>
          <w:fldChar w:fldCharType="end"/>
        </w:r>
      </w:hyperlink>
    </w:p>
    <w:p w14:paraId="2D4ACE07" w14:textId="7007738A" w:rsidR="00773299" w:rsidRDefault="00773299">
      <w:pPr>
        <w:pStyle w:val="Verzeichnis3"/>
        <w:rPr>
          <w:rFonts w:asciiTheme="minorHAnsi" w:eastAsiaTheme="minorEastAsia" w:hAnsiTheme="minorHAnsi" w:cstheme="minorBidi"/>
          <w:noProof/>
        </w:rPr>
      </w:pPr>
      <w:hyperlink w:anchor="_Toc111118464" w:history="1">
        <w:r w:rsidRPr="008F4F8A">
          <w:rPr>
            <w:rStyle w:val="Hyperlink"/>
            <w:noProof/>
          </w:rPr>
          <w:t>3.4.1</w:t>
        </w:r>
        <w:r>
          <w:rPr>
            <w:rFonts w:asciiTheme="minorHAnsi" w:eastAsiaTheme="minorEastAsia" w:hAnsiTheme="minorHAnsi" w:cstheme="minorBidi"/>
            <w:noProof/>
          </w:rPr>
          <w:tab/>
        </w:r>
        <w:r w:rsidRPr="008F4F8A">
          <w:rPr>
            <w:rStyle w:val="Hyperlink"/>
            <w:noProof/>
          </w:rPr>
          <w:t>Deklarationsclearing BKV</w:t>
        </w:r>
        <w:r>
          <w:rPr>
            <w:noProof/>
            <w:webHidden/>
          </w:rPr>
          <w:tab/>
        </w:r>
        <w:r>
          <w:rPr>
            <w:noProof/>
            <w:webHidden/>
          </w:rPr>
          <w:fldChar w:fldCharType="begin"/>
        </w:r>
        <w:r>
          <w:rPr>
            <w:noProof/>
            <w:webHidden/>
          </w:rPr>
          <w:instrText xml:space="preserve"> PAGEREF _Toc111118464 \h </w:instrText>
        </w:r>
        <w:r>
          <w:rPr>
            <w:noProof/>
            <w:webHidden/>
          </w:rPr>
        </w:r>
        <w:r>
          <w:rPr>
            <w:noProof/>
            <w:webHidden/>
          </w:rPr>
          <w:fldChar w:fldCharType="separate"/>
        </w:r>
        <w:r>
          <w:rPr>
            <w:noProof/>
            <w:webHidden/>
          </w:rPr>
          <w:t>52</w:t>
        </w:r>
        <w:r>
          <w:rPr>
            <w:noProof/>
            <w:webHidden/>
          </w:rPr>
          <w:fldChar w:fldCharType="end"/>
        </w:r>
      </w:hyperlink>
    </w:p>
    <w:p w14:paraId="29CE9CEA" w14:textId="5B9461FB" w:rsidR="00773299" w:rsidRDefault="00773299">
      <w:pPr>
        <w:pStyle w:val="Verzeichnis3"/>
        <w:rPr>
          <w:rFonts w:asciiTheme="minorHAnsi" w:eastAsiaTheme="minorEastAsia" w:hAnsiTheme="minorHAnsi" w:cstheme="minorBidi"/>
          <w:noProof/>
        </w:rPr>
      </w:pPr>
      <w:hyperlink w:anchor="_Toc111118465" w:history="1">
        <w:r w:rsidRPr="008F4F8A">
          <w:rPr>
            <w:rStyle w:val="Hyperlink"/>
            <w:noProof/>
          </w:rPr>
          <w:t>3.4.2</w:t>
        </w:r>
        <w:r>
          <w:rPr>
            <w:rFonts w:asciiTheme="minorHAnsi" w:eastAsiaTheme="minorEastAsia" w:hAnsiTheme="minorHAnsi" w:cstheme="minorBidi"/>
            <w:noProof/>
          </w:rPr>
          <w:tab/>
        </w:r>
        <w:r w:rsidRPr="008F4F8A">
          <w:rPr>
            <w:rStyle w:val="Hyperlink"/>
            <w:noProof/>
          </w:rPr>
          <w:t>Deklarationsclearing MGV</w:t>
        </w:r>
        <w:r>
          <w:rPr>
            <w:noProof/>
            <w:webHidden/>
          </w:rPr>
          <w:tab/>
        </w:r>
        <w:r>
          <w:rPr>
            <w:noProof/>
            <w:webHidden/>
          </w:rPr>
          <w:fldChar w:fldCharType="begin"/>
        </w:r>
        <w:r>
          <w:rPr>
            <w:noProof/>
            <w:webHidden/>
          </w:rPr>
          <w:instrText xml:space="preserve"> PAGEREF _Toc111118465 \h </w:instrText>
        </w:r>
        <w:r>
          <w:rPr>
            <w:noProof/>
            <w:webHidden/>
          </w:rPr>
        </w:r>
        <w:r>
          <w:rPr>
            <w:noProof/>
            <w:webHidden/>
          </w:rPr>
          <w:fldChar w:fldCharType="separate"/>
        </w:r>
        <w:r>
          <w:rPr>
            <w:noProof/>
            <w:webHidden/>
          </w:rPr>
          <w:t>53</w:t>
        </w:r>
        <w:r>
          <w:rPr>
            <w:noProof/>
            <w:webHidden/>
          </w:rPr>
          <w:fldChar w:fldCharType="end"/>
        </w:r>
      </w:hyperlink>
    </w:p>
    <w:p w14:paraId="76668396" w14:textId="355495AC" w:rsidR="00773299" w:rsidRDefault="00773299">
      <w:pPr>
        <w:pStyle w:val="Verzeichnis1"/>
        <w:rPr>
          <w:rFonts w:asciiTheme="minorHAnsi" w:eastAsiaTheme="minorEastAsia" w:hAnsiTheme="minorHAnsi" w:cstheme="minorBidi"/>
        </w:rPr>
      </w:pPr>
      <w:hyperlink w:anchor="_Toc111118466" w:history="1">
        <w:r w:rsidRPr="008F4F8A">
          <w:rPr>
            <w:rStyle w:val="Hyperlink"/>
          </w:rPr>
          <w:t>4</w:t>
        </w:r>
        <w:r>
          <w:rPr>
            <w:rFonts w:asciiTheme="minorHAnsi" w:eastAsiaTheme="minorEastAsia" w:hAnsiTheme="minorHAnsi" w:cstheme="minorBidi"/>
          </w:rPr>
          <w:tab/>
        </w:r>
        <w:r w:rsidRPr="008F4F8A">
          <w:rPr>
            <w:rStyle w:val="Hyperlink"/>
          </w:rPr>
          <w:t>Nominierung</w:t>
        </w:r>
        <w:r>
          <w:rPr>
            <w:webHidden/>
          </w:rPr>
          <w:tab/>
        </w:r>
        <w:r>
          <w:rPr>
            <w:webHidden/>
          </w:rPr>
          <w:fldChar w:fldCharType="begin"/>
        </w:r>
        <w:r>
          <w:rPr>
            <w:webHidden/>
          </w:rPr>
          <w:instrText xml:space="preserve"> PAGEREF _Toc111118466 \h </w:instrText>
        </w:r>
        <w:r>
          <w:rPr>
            <w:webHidden/>
          </w:rPr>
        </w:r>
        <w:r>
          <w:rPr>
            <w:webHidden/>
          </w:rPr>
          <w:fldChar w:fldCharType="separate"/>
        </w:r>
        <w:r>
          <w:rPr>
            <w:webHidden/>
          </w:rPr>
          <w:t>54</w:t>
        </w:r>
        <w:r>
          <w:rPr>
            <w:webHidden/>
          </w:rPr>
          <w:fldChar w:fldCharType="end"/>
        </w:r>
      </w:hyperlink>
    </w:p>
    <w:p w14:paraId="55D315BD" w14:textId="455006D6" w:rsidR="00773299" w:rsidRDefault="00773299">
      <w:pPr>
        <w:pStyle w:val="Verzeichnis2"/>
        <w:rPr>
          <w:rFonts w:asciiTheme="minorHAnsi" w:hAnsiTheme="minorHAnsi"/>
        </w:rPr>
      </w:pPr>
      <w:hyperlink w:anchor="_Toc111118467" w:history="1">
        <w:r w:rsidRPr="008F4F8A">
          <w:rPr>
            <w:rStyle w:val="Hyperlink"/>
          </w:rPr>
          <w:t>4.1</w:t>
        </w:r>
        <w:r>
          <w:rPr>
            <w:rFonts w:asciiTheme="minorHAnsi" w:hAnsiTheme="minorHAnsi"/>
          </w:rPr>
          <w:tab/>
        </w:r>
        <w:r w:rsidRPr="008F4F8A">
          <w:rPr>
            <w:rStyle w:val="Hyperlink"/>
          </w:rPr>
          <w:t>Nominierungen gegenüber dem NB</w:t>
        </w:r>
        <w:r>
          <w:rPr>
            <w:webHidden/>
          </w:rPr>
          <w:tab/>
        </w:r>
        <w:r>
          <w:rPr>
            <w:webHidden/>
          </w:rPr>
          <w:fldChar w:fldCharType="begin"/>
        </w:r>
        <w:r>
          <w:rPr>
            <w:webHidden/>
          </w:rPr>
          <w:instrText xml:space="preserve"> PAGEREF _Toc111118467 \h </w:instrText>
        </w:r>
        <w:r>
          <w:rPr>
            <w:webHidden/>
          </w:rPr>
        </w:r>
        <w:r>
          <w:rPr>
            <w:webHidden/>
          </w:rPr>
          <w:fldChar w:fldCharType="separate"/>
        </w:r>
        <w:r>
          <w:rPr>
            <w:webHidden/>
          </w:rPr>
          <w:t>55</w:t>
        </w:r>
        <w:r>
          <w:rPr>
            <w:webHidden/>
          </w:rPr>
          <w:fldChar w:fldCharType="end"/>
        </w:r>
      </w:hyperlink>
    </w:p>
    <w:p w14:paraId="1DF5E46E" w14:textId="2E6813A6" w:rsidR="00773299" w:rsidRDefault="00773299">
      <w:pPr>
        <w:pStyle w:val="Verzeichnis3"/>
        <w:rPr>
          <w:rFonts w:asciiTheme="minorHAnsi" w:eastAsiaTheme="minorEastAsia" w:hAnsiTheme="minorHAnsi" w:cstheme="minorBidi"/>
          <w:noProof/>
        </w:rPr>
      </w:pPr>
      <w:hyperlink w:anchor="_Toc111118468" w:history="1">
        <w:r w:rsidRPr="008F4F8A">
          <w:rPr>
            <w:rStyle w:val="Hyperlink"/>
            <w:noProof/>
          </w:rPr>
          <w:t>4.1.1</w:t>
        </w:r>
        <w:r>
          <w:rPr>
            <w:rFonts w:asciiTheme="minorHAnsi" w:eastAsiaTheme="minorEastAsia" w:hAnsiTheme="minorHAnsi" w:cstheme="minorBidi"/>
            <w:noProof/>
          </w:rPr>
          <w:tab/>
        </w:r>
        <w:r w:rsidRPr="008F4F8A">
          <w:rPr>
            <w:rStyle w:val="Hyperlink"/>
            <w:noProof/>
          </w:rPr>
          <w:t>Beschränkungen der Renominierungsrechte an Grenzübergangspunkten</w:t>
        </w:r>
        <w:r>
          <w:rPr>
            <w:noProof/>
            <w:webHidden/>
          </w:rPr>
          <w:tab/>
        </w:r>
        <w:r>
          <w:rPr>
            <w:noProof/>
            <w:webHidden/>
          </w:rPr>
          <w:fldChar w:fldCharType="begin"/>
        </w:r>
        <w:r>
          <w:rPr>
            <w:noProof/>
            <w:webHidden/>
          </w:rPr>
          <w:instrText xml:space="preserve"> PAGEREF _Toc111118468 \h </w:instrText>
        </w:r>
        <w:r>
          <w:rPr>
            <w:noProof/>
            <w:webHidden/>
          </w:rPr>
        </w:r>
        <w:r>
          <w:rPr>
            <w:noProof/>
            <w:webHidden/>
          </w:rPr>
          <w:fldChar w:fldCharType="separate"/>
        </w:r>
        <w:r>
          <w:rPr>
            <w:noProof/>
            <w:webHidden/>
          </w:rPr>
          <w:t>58</w:t>
        </w:r>
        <w:r>
          <w:rPr>
            <w:noProof/>
            <w:webHidden/>
          </w:rPr>
          <w:fldChar w:fldCharType="end"/>
        </w:r>
      </w:hyperlink>
    </w:p>
    <w:p w14:paraId="7D491198" w14:textId="3A941718" w:rsidR="00773299" w:rsidRDefault="00773299">
      <w:pPr>
        <w:pStyle w:val="Verzeichnis3"/>
        <w:rPr>
          <w:rFonts w:asciiTheme="minorHAnsi" w:eastAsiaTheme="minorEastAsia" w:hAnsiTheme="minorHAnsi" w:cstheme="minorBidi"/>
          <w:noProof/>
        </w:rPr>
      </w:pPr>
      <w:hyperlink w:anchor="_Toc111118469" w:history="1">
        <w:r w:rsidRPr="008F4F8A">
          <w:rPr>
            <w:rStyle w:val="Hyperlink"/>
            <w:noProof/>
          </w:rPr>
          <w:t>4.1.2</w:t>
        </w:r>
        <w:r>
          <w:rPr>
            <w:rFonts w:asciiTheme="minorHAnsi" w:eastAsiaTheme="minorEastAsia" w:hAnsiTheme="minorHAnsi" w:cstheme="minorBidi"/>
            <w:noProof/>
          </w:rPr>
          <w:tab/>
        </w:r>
        <w:r w:rsidRPr="008F4F8A">
          <w:rPr>
            <w:rStyle w:val="Hyperlink"/>
            <w:noProof/>
          </w:rPr>
          <w:t>Tägliche Kapazitätsbestandsmeldung und Mitteilung Renominierungsgrenze</w:t>
        </w:r>
        <w:r>
          <w:rPr>
            <w:noProof/>
            <w:webHidden/>
          </w:rPr>
          <w:tab/>
        </w:r>
        <w:r>
          <w:rPr>
            <w:noProof/>
            <w:webHidden/>
          </w:rPr>
          <w:fldChar w:fldCharType="begin"/>
        </w:r>
        <w:r>
          <w:rPr>
            <w:noProof/>
            <w:webHidden/>
          </w:rPr>
          <w:instrText xml:space="preserve"> PAGEREF _Toc111118469 \h </w:instrText>
        </w:r>
        <w:r>
          <w:rPr>
            <w:noProof/>
            <w:webHidden/>
          </w:rPr>
        </w:r>
        <w:r>
          <w:rPr>
            <w:noProof/>
            <w:webHidden/>
          </w:rPr>
          <w:fldChar w:fldCharType="separate"/>
        </w:r>
        <w:r>
          <w:rPr>
            <w:noProof/>
            <w:webHidden/>
          </w:rPr>
          <w:t>60</w:t>
        </w:r>
        <w:r>
          <w:rPr>
            <w:noProof/>
            <w:webHidden/>
          </w:rPr>
          <w:fldChar w:fldCharType="end"/>
        </w:r>
      </w:hyperlink>
    </w:p>
    <w:p w14:paraId="7734F8EA" w14:textId="2E2EFF31" w:rsidR="00773299" w:rsidRDefault="00773299">
      <w:pPr>
        <w:pStyle w:val="Verzeichnis2"/>
        <w:rPr>
          <w:rFonts w:asciiTheme="minorHAnsi" w:hAnsiTheme="minorHAnsi"/>
        </w:rPr>
      </w:pPr>
      <w:hyperlink w:anchor="_Toc111118470" w:history="1">
        <w:r w:rsidRPr="008F4F8A">
          <w:rPr>
            <w:rStyle w:val="Hyperlink"/>
          </w:rPr>
          <w:t>4.2</w:t>
        </w:r>
        <w:r>
          <w:rPr>
            <w:rFonts w:asciiTheme="minorHAnsi" w:hAnsiTheme="minorHAnsi"/>
          </w:rPr>
          <w:tab/>
        </w:r>
        <w:r w:rsidRPr="008F4F8A">
          <w:rPr>
            <w:rStyle w:val="Hyperlink"/>
          </w:rPr>
          <w:t>Nominierungen gegenüber einem MGV am VHP</w:t>
        </w:r>
        <w:r>
          <w:rPr>
            <w:webHidden/>
          </w:rPr>
          <w:tab/>
        </w:r>
        <w:r>
          <w:rPr>
            <w:webHidden/>
          </w:rPr>
          <w:fldChar w:fldCharType="begin"/>
        </w:r>
        <w:r>
          <w:rPr>
            <w:webHidden/>
          </w:rPr>
          <w:instrText xml:space="preserve"> PAGEREF _Toc111118470 \h </w:instrText>
        </w:r>
        <w:r>
          <w:rPr>
            <w:webHidden/>
          </w:rPr>
        </w:r>
        <w:r>
          <w:rPr>
            <w:webHidden/>
          </w:rPr>
          <w:fldChar w:fldCharType="separate"/>
        </w:r>
        <w:r>
          <w:rPr>
            <w:webHidden/>
          </w:rPr>
          <w:t>60</w:t>
        </w:r>
        <w:r>
          <w:rPr>
            <w:webHidden/>
          </w:rPr>
          <w:fldChar w:fldCharType="end"/>
        </w:r>
      </w:hyperlink>
    </w:p>
    <w:p w14:paraId="463E1D39" w14:textId="4D49796B" w:rsidR="00773299" w:rsidRDefault="00773299">
      <w:pPr>
        <w:pStyle w:val="Verzeichnis2"/>
        <w:rPr>
          <w:rFonts w:asciiTheme="minorHAnsi" w:hAnsiTheme="minorHAnsi"/>
        </w:rPr>
      </w:pPr>
      <w:hyperlink w:anchor="_Toc111118471" w:history="1">
        <w:r w:rsidRPr="008F4F8A">
          <w:rPr>
            <w:rStyle w:val="Hyperlink"/>
          </w:rPr>
          <w:t>4.3</w:t>
        </w:r>
        <w:r>
          <w:rPr>
            <w:rFonts w:asciiTheme="minorHAnsi" w:hAnsiTheme="minorHAnsi"/>
          </w:rPr>
          <w:tab/>
        </w:r>
        <w:r w:rsidRPr="008F4F8A">
          <w:rPr>
            <w:rStyle w:val="Hyperlink"/>
          </w:rPr>
          <w:t>Nominierungsersatzverfahren</w:t>
        </w:r>
        <w:r>
          <w:rPr>
            <w:webHidden/>
          </w:rPr>
          <w:tab/>
        </w:r>
        <w:r>
          <w:rPr>
            <w:webHidden/>
          </w:rPr>
          <w:fldChar w:fldCharType="begin"/>
        </w:r>
        <w:r>
          <w:rPr>
            <w:webHidden/>
          </w:rPr>
          <w:instrText xml:space="preserve"> PAGEREF _Toc111118471 \h </w:instrText>
        </w:r>
        <w:r>
          <w:rPr>
            <w:webHidden/>
          </w:rPr>
        </w:r>
        <w:r>
          <w:rPr>
            <w:webHidden/>
          </w:rPr>
          <w:fldChar w:fldCharType="separate"/>
        </w:r>
        <w:r>
          <w:rPr>
            <w:webHidden/>
          </w:rPr>
          <w:t>61</w:t>
        </w:r>
        <w:r>
          <w:rPr>
            <w:webHidden/>
          </w:rPr>
          <w:fldChar w:fldCharType="end"/>
        </w:r>
      </w:hyperlink>
    </w:p>
    <w:p w14:paraId="57F3E30E" w14:textId="61B1A05E" w:rsidR="00773299" w:rsidRDefault="00773299">
      <w:pPr>
        <w:pStyle w:val="Verzeichnis2"/>
        <w:rPr>
          <w:rFonts w:asciiTheme="minorHAnsi" w:hAnsiTheme="minorHAnsi"/>
        </w:rPr>
      </w:pPr>
      <w:hyperlink w:anchor="_Toc111118472" w:history="1">
        <w:r w:rsidRPr="008F4F8A">
          <w:rPr>
            <w:rStyle w:val="Hyperlink"/>
          </w:rPr>
          <w:t>4.4</w:t>
        </w:r>
        <w:r>
          <w:rPr>
            <w:rFonts w:asciiTheme="minorHAnsi" w:hAnsiTheme="minorHAnsi"/>
          </w:rPr>
          <w:tab/>
        </w:r>
        <w:r w:rsidRPr="008F4F8A">
          <w:rPr>
            <w:rStyle w:val="Hyperlink"/>
          </w:rPr>
          <w:t>Technische Mengenmeldung für einzelne Ein- oder Ausspeisepunkte</w:t>
        </w:r>
        <w:r>
          <w:rPr>
            <w:webHidden/>
          </w:rPr>
          <w:tab/>
        </w:r>
        <w:r>
          <w:rPr>
            <w:webHidden/>
          </w:rPr>
          <w:fldChar w:fldCharType="begin"/>
        </w:r>
        <w:r>
          <w:rPr>
            <w:webHidden/>
          </w:rPr>
          <w:instrText xml:space="preserve"> PAGEREF _Toc111118472 \h </w:instrText>
        </w:r>
        <w:r>
          <w:rPr>
            <w:webHidden/>
          </w:rPr>
        </w:r>
        <w:r>
          <w:rPr>
            <w:webHidden/>
          </w:rPr>
          <w:fldChar w:fldCharType="separate"/>
        </w:r>
        <w:r>
          <w:rPr>
            <w:webHidden/>
          </w:rPr>
          <w:t>61</w:t>
        </w:r>
        <w:r>
          <w:rPr>
            <w:webHidden/>
          </w:rPr>
          <w:fldChar w:fldCharType="end"/>
        </w:r>
      </w:hyperlink>
    </w:p>
    <w:p w14:paraId="425A77A3" w14:textId="07219260" w:rsidR="00773299" w:rsidRDefault="00773299">
      <w:pPr>
        <w:pStyle w:val="Verzeichnis2"/>
        <w:rPr>
          <w:rFonts w:asciiTheme="minorHAnsi" w:hAnsiTheme="minorHAnsi"/>
        </w:rPr>
      </w:pPr>
      <w:hyperlink w:anchor="_Toc111118473" w:history="1">
        <w:r w:rsidRPr="008F4F8A">
          <w:rPr>
            <w:rStyle w:val="Hyperlink"/>
          </w:rPr>
          <w:t>4.5</w:t>
        </w:r>
        <w:r>
          <w:rPr>
            <w:rFonts w:asciiTheme="minorHAnsi" w:hAnsiTheme="minorHAnsi"/>
          </w:rPr>
          <w:tab/>
        </w:r>
        <w:r w:rsidRPr="008F4F8A">
          <w:rPr>
            <w:rStyle w:val="Hyperlink"/>
          </w:rPr>
          <w:t>Netzrelevantes Nominierungsmanagement zwischen einzelnen Netzbetreibern (Mengenanmeldung)</w:t>
        </w:r>
        <w:r>
          <w:rPr>
            <w:webHidden/>
          </w:rPr>
          <w:tab/>
        </w:r>
        <w:r>
          <w:rPr>
            <w:webHidden/>
          </w:rPr>
          <w:fldChar w:fldCharType="begin"/>
        </w:r>
        <w:r>
          <w:rPr>
            <w:webHidden/>
          </w:rPr>
          <w:instrText xml:space="preserve"> PAGEREF _Toc111118473 \h </w:instrText>
        </w:r>
        <w:r>
          <w:rPr>
            <w:webHidden/>
          </w:rPr>
        </w:r>
        <w:r>
          <w:rPr>
            <w:webHidden/>
          </w:rPr>
          <w:fldChar w:fldCharType="separate"/>
        </w:r>
        <w:r>
          <w:rPr>
            <w:webHidden/>
          </w:rPr>
          <w:t>62</w:t>
        </w:r>
        <w:r>
          <w:rPr>
            <w:webHidden/>
          </w:rPr>
          <w:fldChar w:fldCharType="end"/>
        </w:r>
      </w:hyperlink>
    </w:p>
    <w:p w14:paraId="23AC831B" w14:textId="22A1A1F7" w:rsidR="00773299" w:rsidRDefault="00773299">
      <w:pPr>
        <w:pStyle w:val="Verzeichnis1"/>
        <w:rPr>
          <w:rFonts w:asciiTheme="minorHAnsi" w:eastAsiaTheme="minorEastAsia" w:hAnsiTheme="minorHAnsi" w:cstheme="minorBidi"/>
        </w:rPr>
      </w:pPr>
      <w:hyperlink w:anchor="_Toc111118474" w:history="1">
        <w:r w:rsidRPr="008F4F8A">
          <w:rPr>
            <w:rStyle w:val="Hyperlink"/>
          </w:rPr>
          <w:t>5</w:t>
        </w:r>
        <w:r>
          <w:rPr>
            <w:rFonts w:asciiTheme="minorHAnsi" w:eastAsiaTheme="minorEastAsia" w:hAnsiTheme="minorHAnsi" w:cstheme="minorBidi"/>
          </w:rPr>
          <w:tab/>
        </w:r>
        <w:r w:rsidRPr="008F4F8A">
          <w:rPr>
            <w:rStyle w:val="Hyperlink"/>
          </w:rPr>
          <w:t>Allokation</w:t>
        </w:r>
        <w:r>
          <w:rPr>
            <w:webHidden/>
          </w:rPr>
          <w:tab/>
        </w:r>
        <w:r>
          <w:rPr>
            <w:webHidden/>
          </w:rPr>
          <w:fldChar w:fldCharType="begin"/>
        </w:r>
        <w:r>
          <w:rPr>
            <w:webHidden/>
          </w:rPr>
          <w:instrText xml:space="preserve"> PAGEREF _Toc111118474 \h </w:instrText>
        </w:r>
        <w:r>
          <w:rPr>
            <w:webHidden/>
          </w:rPr>
        </w:r>
        <w:r>
          <w:rPr>
            <w:webHidden/>
          </w:rPr>
          <w:fldChar w:fldCharType="separate"/>
        </w:r>
        <w:r>
          <w:rPr>
            <w:webHidden/>
          </w:rPr>
          <w:t>62</w:t>
        </w:r>
        <w:r>
          <w:rPr>
            <w:webHidden/>
          </w:rPr>
          <w:fldChar w:fldCharType="end"/>
        </w:r>
      </w:hyperlink>
    </w:p>
    <w:p w14:paraId="2C2E62F3" w14:textId="70818740" w:rsidR="00773299" w:rsidRDefault="00773299">
      <w:pPr>
        <w:pStyle w:val="Verzeichnis2"/>
        <w:rPr>
          <w:rFonts w:asciiTheme="minorHAnsi" w:hAnsiTheme="minorHAnsi"/>
        </w:rPr>
      </w:pPr>
      <w:hyperlink w:anchor="_Toc111118475" w:history="1">
        <w:r w:rsidRPr="008F4F8A">
          <w:rPr>
            <w:rStyle w:val="Hyperlink"/>
          </w:rPr>
          <w:t>5.1</w:t>
        </w:r>
        <w:r>
          <w:rPr>
            <w:rFonts w:asciiTheme="minorHAnsi" w:hAnsiTheme="minorHAnsi"/>
          </w:rPr>
          <w:tab/>
        </w:r>
        <w:r w:rsidRPr="008F4F8A">
          <w:rPr>
            <w:rStyle w:val="Hyperlink"/>
          </w:rPr>
          <w:t>Definition der verschiedenen Allokationsverfahren</w:t>
        </w:r>
        <w:r>
          <w:rPr>
            <w:webHidden/>
          </w:rPr>
          <w:tab/>
        </w:r>
        <w:r>
          <w:rPr>
            <w:webHidden/>
          </w:rPr>
          <w:fldChar w:fldCharType="begin"/>
        </w:r>
        <w:r>
          <w:rPr>
            <w:webHidden/>
          </w:rPr>
          <w:instrText xml:space="preserve"> PAGEREF _Toc111118475 \h </w:instrText>
        </w:r>
        <w:r>
          <w:rPr>
            <w:webHidden/>
          </w:rPr>
        </w:r>
        <w:r>
          <w:rPr>
            <w:webHidden/>
          </w:rPr>
          <w:fldChar w:fldCharType="separate"/>
        </w:r>
        <w:r>
          <w:rPr>
            <w:webHidden/>
          </w:rPr>
          <w:t>62</w:t>
        </w:r>
        <w:r>
          <w:rPr>
            <w:webHidden/>
          </w:rPr>
          <w:fldChar w:fldCharType="end"/>
        </w:r>
      </w:hyperlink>
    </w:p>
    <w:p w14:paraId="0A96CA57" w14:textId="39CF8688" w:rsidR="00773299" w:rsidRDefault="00773299">
      <w:pPr>
        <w:pStyle w:val="Verzeichnis2"/>
        <w:rPr>
          <w:rFonts w:asciiTheme="minorHAnsi" w:hAnsiTheme="minorHAnsi"/>
        </w:rPr>
      </w:pPr>
      <w:hyperlink w:anchor="_Toc111118476" w:history="1">
        <w:r w:rsidRPr="008F4F8A">
          <w:rPr>
            <w:rStyle w:val="Hyperlink"/>
          </w:rPr>
          <w:t>5.2</w:t>
        </w:r>
        <w:r>
          <w:rPr>
            <w:rFonts w:asciiTheme="minorHAnsi" w:hAnsiTheme="minorHAnsi"/>
          </w:rPr>
          <w:tab/>
        </w:r>
        <w:r w:rsidRPr="008F4F8A">
          <w:rPr>
            <w:rStyle w:val="Hyperlink"/>
          </w:rPr>
          <w:t>Bestimmung des Bilanzierungsbrennwerts</w:t>
        </w:r>
        <w:r>
          <w:rPr>
            <w:webHidden/>
          </w:rPr>
          <w:tab/>
        </w:r>
        <w:r>
          <w:rPr>
            <w:webHidden/>
          </w:rPr>
          <w:fldChar w:fldCharType="begin"/>
        </w:r>
        <w:r>
          <w:rPr>
            <w:webHidden/>
          </w:rPr>
          <w:instrText xml:space="preserve"> PAGEREF _Toc111118476 \h </w:instrText>
        </w:r>
        <w:r>
          <w:rPr>
            <w:webHidden/>
          </w:rPr>
        </w:r>
        <w:r>
          <w:rPr>
            <w:webHidden/>
          </w:rPr>
          <w:fldChar w:fldCharType="separate"/>
        </w:r>
        <w:r>
          <w:rPr>
            <w:webHidden/>
          </w:rPr>
          <w:t>63</w:t>
        </w:r>
        <w:r>
          <w:rPr>
            <w:webHidden/>
          </w:rPr>
          <w:fldChar w:fldCharType="end"/>
        </w:r>
      </w:hyperlink>
    </w:p>
    <w:p w14:paraId="55DD18B6" w14:textId="08E0543D" w:rsidR="00773299" w:rsidRDefault="00773299">
      <w:pPr>
        <w:pStyle w:val="Verzeichnis2"/>
        <w:rPr>
          <w:rFonts w:asciiTheme="minorHAnsi" w:hAnsiTheme="minorHAnsi"/>
        </w:rPr>
      </w:pPr>
      <w:hyperlink w:anchor="_Toc111118477" w:history="1">
        <w:r w:rsidRPr="008F4F8A">
          <w:rPr>
            <w:rStyle w:val="Hyperlink"/>
          </w:rPr>
          <w:t>5.3</w:t>
        </w:r>
        <w:r>
          <w:rPr>
            <w:rFonts w:asciiTheme="minorHAnsi" w:hAnsiTheme="minorHAnsi"/>
          </w:rPr>
          <w:tab/>
        </w:r>
        <w:r w:rsidRPr="008F4F8A">
          <w:rPr>
            <w:rStyle w:val="Hyperlink"/>
          </w:rPr>
          <w:t>Bereitstellung von Gasbeschaffenheitswerten</w:t>
        </w:r>
        <w:r>
          <w:rPr>
            <w:webHidden/>
          </w:rPr>
          <w:tab/>
        </w:r>
        <w:r>
          <w:rPr>
            <w:webHidden/>
          </w:rPr>
          <w:fldChar w:fldCharType="begin"/>
        </w:r>
        <w:r>
          <w:rPr>
            <w:webHidden/>
          </w:rPr>
          <w:instrText xml:space="preserve"> PAGEREF _Toc111118477 \h </w:instrText>
        </w:r>
        <w:r>
          <w:rPr>
            <w:webHidden/>
          </w:rPr>
        </w:r>
        <w:r>
          <w:rPr>
            <w:webHidden/>
          </w:rPr>
          <w:fldChar w:fldCharType="separate"/>
        </w:r>
        <w:r>
          <w:rPr>
            <w:webHidden/>
          </w:rPr>
          <w:t>65</w:t>
        </w:r>
        <w:r>
          <w:rPr>
            <w:webHidden/>
          </w:rPr>
          <w:fldChar w:fldCharType="end"/>
        </w:r>
      </w:hyperlink>
    </w:p>
    <w:p w14:paraId="1E09E54C" w14:textId="2E8CAB94" w:rsidR="00773299" w:rsidRDefault="00773299">
      <w:pPr>
        <w:pStyle w:val="Verzeichnis2"/>
        <w:rPr>
          <w:rFonts w:asciiTheme="minorHAnsi" w:hAnsiTheme="minorHAnsi"/>
        </w:rPr>
      </w:pPr>
      <w:hyperlink w:anchor="_Toc111118478" w:history="1">
        <w:r w:rsidRPr="008F4F8A">
          <w:rPr>
            <w:rStyle w:val="Hyperlink"/>
          </w:rPr>
          <w:t>5.4</w:t>
        </w:r>
        <w:r>
          <w:rPr>
            <w:rFonts w:asciiTheme="minorHAnsi" w:hAnsiTheme="minorHAnsi"/>
          </w:rPr>
          <w:tab/>
        </w:r>
        <w:r w:rsidRPr="008F4F8A">
          <w:rPr>
            <w:rStyle w:val="Hyperlink"/>
          </w:rPr>
          <w:t>Stammdatenaustausch am NKP</w:t>
        </w:r>
        <w:r>
          <w:rPr>
            <w:webHidden/>
          </w:rPr>
          <w:tab/>
        </w:r>
        <w:r>
          <w:rPr>
            <w:webHidden/>
          </w:rPr>
          <w:fldChar w:fldCharType="begin"/>
        </w:r>
        <w:r>
          <w:rPr>
            <w:webHidden/>
          </w:rPr>
          <w:instrText xml:space="preserve"> PAGEREF _Toc111118478 \h </w:instrText>
        </w:r>
        <w:r>
          <w:rPr>
            <w:webHidden/>
          </w:rPr>
        </w:r>
        <w:r>
          <w:rPr>
            <w:webHidden/>
          </w:rPr>
          <w:fldChar w:fldCharType="separate"/>
        </w:r>
        <w:r>
          <w:rPr>
            <w:webHidden/>
          </w:rPr>
          <w:t>66</w:t>
        </w:r>
        <w:r>
          <w:rPr>
            <w:webHidden/>
          </w:rPr>
          <w:fldChar w:fldCharType="end"/>
        </w:r>
      </w:hyperlink>
    </w:p>
    <w:p w14:paraId="7CAE4CA7" w14:textId="20048D3A" w:rsidR="00773299" w:rsidRDefault="00773299">
      <w:pPr>
        <w:pStyle w:val="Verzeichnis2"/>
        <w:rPr>
          <w:rFonts w:asciiTheme="minorHAnsi" w:hAnsiTheme="minorHAnsi"/>
        </w:rPr>
      </w:pPr>
      <w:hyperlink w:anchor="_Toc111118479" w:history="1">
        <w:r w:rsidRPr="008F4F8A">
          <w:rPr>
            <w:rStyle w:val="Hyperlink"/>
          </w:rPr>
          <w:t>5.5</w:t>
        </w:r>
        <w:r>
          <w:rPr>
            <w:rFonts w:asciiTheme="minorHAnsi" w:hAnsiTheme="minorHAnsi"/>
          </w:rPr>
          <w:tab/>
        </w:r>
        <w:r w:rsidRPr="008F4F8A">
          <w:rPr>
            <w:rStyle w:val="Hyperlink"/>
          </w:rPr>
          <w:t>Allokation der verschiedenen Zeitreihentypen</w:t>
        </w:r>
        <w:r>
          <w:rPr>
            <w:webHidden/>
          </w:rPr>
          <w:tab/>
        </w:r>
        <w:r>
          <w:rPr>
            <w:webHidden/>
          </w:rPr>
          <w:fldChar w:fldCharType="begin"/>
        </w:r>
        <w:r>
          <w:rPr>
            <w:webHidden/>
          </w:rPr>
          <w:instrText xml:space="preserve"> PAGEREF _Toc111118479 \h </w:instrText>
        </w:r>
        <w:r>
          <w:rPr>
            <w:webHidden/>
          </w:rPr>
        </w:r>
        <w:r>
          <w:rPr>
            <w:webHidden/>
          </w:rPr>
          <w:fldChar w:fldCharType="separate"/>
        </w:r>
        <w:r>
          <w:rPr>
            <w:webHidden/>
          </w:rPr>
          <w:t>67</w:t>
        </w:r>
        <w:r>
          <w:rPr>
            <w:webHidden/>
          </w:rPr>
          <w:fldChar w:fldCharType="end"/>
        </w:r>
      </w:hyperlink>
    </w:p>
    <w:p w14:paraId="45BF9DC6" w14:textId="54E9C45C" w:rsidR="00773299" w:rsidRDefault="00773299">
      <w:pPr>
        <w:pStyle w:val="Verzeichnis3"/>
        <w:rPr>
          <w:rFonts w:asciiTheme="minorHAnsi" w:eastAsiaTheme="minorEastAsia" w:hAnsiTheme="minorHAnsi" w:cstheme="minorBidi"/>
          <w:noProof/>
        </w:rPr>
      </w:pPr>
      <w:hyperlink w:anchor="_Toc111118480" w:history="1">
        <w:r w:rsidRPr="008F4F8A">
          <w:rPr>
            <w:rStyle w:val="Hyperlink"/>
            <w:noProof/>
          </w:rPr>
          <w:t>5.5.1</w:t>
        </w:r>
        <w:r>
          <w:rPr>
            <w:rFonts w:asciiTheme="minorHAnsi" w:eastAsiaTheme="minorEastAsia" w:hAnsiTheme="minorHAnsi" w:cstheme="minorBidi"/>
            <w:noProof/>
          </w:rPr>
          <w:tab/>
        </w:r>
        <w:r w:rsidRPr="008F4F8A">
          <w:rPr>
            <w:rStyle w:val="Hyperlink"/>
            <w:noProof/>
          </w:rPr>
          <w:t>Allokation von SLP- Marktlokationen (Zeitreihentypen SLPsyn und SLPana)</w:t>
        </w:r>
        <w:r>
          <w:rPr>
            <w:noProof/>
            <w:webHidden/>
          </w:rPr>
          <w:tab/>
        </w:r>
        <w:r>
          <w:rPr>
            <w:noProof/>
            <w:webHidden/>
          </w:rPr>
          <w:fldChar w:fldCharType="begin"/>
        </w:r>
        <w:r>
          <w:rPr>
            <w:noProof/>
            <w:webHidden/>
          </w:rPr>
          <w:instrText xml:space="preserve"> PAGEREF _Toc111118480 \h </w:instrText>
        </w:r>
        <w:r>
          <w:rPr>
            <w:noProof/>
            <w:webHidden/>
          </w:rPr>
        </w:r>
        <w:r>
          <w:rPr>
            <w:noProof/>
            <w:webHidden/>
          </w:rPr>
          <w:fldChar w:fldCharType="separate"/>
        </w:r>
        <w:r>
          <w:rPr>
            <w:noProof/>
            <w:webHidden/>
          </w:rPr>
          <w:t>67</w:t>
        </w:r>
        <w:r>
          <w:rPr>
            <w:noProof/>
            <w:webHidden/>
          </w:rPr>
          <w:fldChar w:fldCharType="end"/>
        </w:r>
      </w:hyperlink>
    </w:p>
    <w:p w14:paraId="63149F8D" w14:textId="15F74673" w:rsidR="00773299" w:rsidRDefault="00773299">
      <w:pPr>
        <w:pStyle w:val="Verzeichnis4"/>
        <w:rPr>
          <w:rFonts w:asciiTheme="minorHAnsi" w:eastAsiaTheme="minorEastAsia" w:hAnsiTheme="minorHAnsi" w:cstheme="minorBidi"/>
          <w:noProof/>
        </w:rPr>
      </w:pPr>
      <w:hyperlink w:anchor="_Toc111118481" w:history="1">
        <w:r w:rsidRPr="008F4F8A">
          <w:rPr>
            <w:rStyle w:val="Hyperlink"/>
            <w:noProof/>
          </w:rPr>
          <w:t>5.5.1.1</w:t>
        </w:r>
        <w:r>
          <w:rPr>
            <w:rFonts w:asciiTheme="minorHAnsi" w:eastAsiaTheme="minorEastAsia" w:hAnsiTheme="minorHAnsi" w:cstheme="minorBidi"/>
            <w:noProof/>
          </w:rPr>
          <w:tab/>
        </w:r>
        <w:r w:rsidRPr="008F4F8A">
          <w:rPr>
            <w:rStyle w:val="Hyperlink"/>
            <w:noProof/>
          </w:rPr>
          <w:t>Allokation von SLP- Marktlokationen im synthetischen Verfahren (SLPsyn)</w:t>
        </w:r>
        <w:r>
          <w:rPr>
            <w:noProof/>
            <w:webHidden/>
          </w:rPr>
          <w:tab/>
        </w:r>
        <w:r>
          <w:rPr>
            <w:noProof/>
            <w:webHidden/>
          </w:rPr>
          <w:fldChar w:fldCharType="begin"/>
        </w:r>
        <w:r>
          <w:rPr>
            <w:noProof/>
            <w:webHidden/>
          </w:rPr>
          <w:instrText xml:space="preserve"> PAGEREF _Toc111118481 \h </w:instrText>
        </w:r>
        <w:r>
          <w:rPr>
            <w:noProof/>
            <w:webHidden/>
          </w:rPr>
        </w:r>
        <w:r>
          <w:rPr>
            <w:noProof/>
            <w:webHidden/>
          </w:rPr>
          <w:fldChar w:fldCharType="separate"/>
        </w:r>
        <w:r>
          <w:rPr>
            <w:noProof/>
            <w:webHidden/>
          </w:rPr>
          <w:t>67</w:t>
        </w:r>
        <w:r>
          <w:rPr>
            <w:noProof/>
            <w:webHidden/>
          </w:rPr>
          <w:fldChar w:fldCharType="end"/>
        </w:r>
      </w:hyperlink>
    </w:p>
    <w:p w14:paraId="2939D045" w14:textId="163FD497" w:rsidR="00773299" w:rsidRDefault="00773299">
      <w:pPr>
        <w:pStyle w:val="Verzeichnis4"/>
        <w:rPr>
          <w:rFonts w:asciiTheme="minorHAnsi" w:eastAsiaTheme="minorEastAsia" w:hAnsiTheme="minorHAnsi" w:cstheme="minorBidi"/>
          <w:noProof/>
        </w:rPr>
      </w:pPr>
      <w:hyperlink w:anchor="_Toc111118482" w:history="1">
        <w:r w:rsidRPr="008F4F8A">
          <w:rPr>
            <w:rStyle w:val="Hyperlink"/>
            <w:noProof/>
          </w:rPr>
          <w:t>5.5.1.2</w:t>
        </w:r>
        <w:r>
          <w:rPr>
            <w:rFonts w:asciiTheme="minorHAnsi" w:eastAsiaTheme="minorEastAsia" w:hAnsiTheme="minorHAnsi" w:cstheme="minorBidi"/>
            <w:noProof/>
          </w:rPr>
          <w:tab/>
        </w:r>
        <w:r w:rsidRPr="008F4F8A">
          <w:rPr>
            <w:rStyle w:val="Hyperlink"/>
            <w:noProof/>
          </w:rPr>
          <w:t>Allokation von SLP- Marktlokationen im analytischen Verfahren (SLPana)</w:t>
        </w:r>
        <w:r>
          <w:rPr>
            <w:noProof/>
            <w:webHidden/>
          </w:rPr>
          <w:tab/>
        </w:r>
        <w:r>
          <w:rPr>
            <w:noProof/>
            <w:webHidden/>
          </w:rPr>
          <w:fldChar w:fldCharType="begin"/>
        </w:r>
        <w:r>
          <w:rPr>
            <w:noProof/>
            <w:webHidden/>
          </w:rPr>
          <w:instrText xml:space="preserve"> PAGEREF _Toc111118482 \h </w:instrText>
        </w:r>
        <w:r>
          <w:rPr>
            <w:noProof/>
            <w:webHidden/>
          </w:rPr>
        </w:r>
        <w:r>
          <w:rPr>
            <w:noProof/>
            <w:webHidden/>
          </w:rPr>
          <w:fldChar w:fldCharType="separate"/>
        </w:r>
        <w:r>
          <w:rPr>
            <w:noProof/>
            <w:webHidden/>
          </w:rPr>
          <w:t>67</w:t>
        </w:r>
        <w:r>
          <w:rPr>
            <w:noProof/>
            <w:webHidden/>
          </w:rPr>
          <w:fldChar w:fldCharType="end"/>
        </w:r>
      </w:hyperlink>
    </w:p>
    <w:p w14:paraId="29F7BE0F" w14:textId="0DE0F9AD" w:rsidR="00773299" w:rsidRDefault="00773299">
      <w:pPr>
        <w:pStyle w:val="Verzeichnis4"/>
        <w:rPr>
          <w:rFonts w:asciiTheme="minorHAnsi" w:eastAsiaTheme="minorEastAsia" w:hAnsiTheme="minorHAnsi" w:cstheme="minorBidi"/>
          <w:noProof/>
        </w:rPr>
      </w:pPr>
      <w:hyperlink w:anchor="_Toc111118483" w:history="1">
        <w:r w:rsidRPr="008F4F8A">
          <w:rPr>
            <w:rStyle w:val="Hyperlink"/>
            <w:noProof/>
          </w:rPr>
          <w:t>5.5.1.3</w:t>
        </w:r>
        <w:r>
          <w:rPr>
            <w:rFonts w:asciiTheme="minorHAnsi" w:eastAsiaTheme="minorEastAsia" w:hAnsiTheme="minorHAnsi" w:cstheme="minorBidi"/>
            <w:noProof/>
          </w:rPr>
          <w:tab/>
        </w:r>
        <w:r w:rsidRPr="008F4F8A">
          <w:rPr>
            <w:rStyle w:val="Hyperlink"/>
            <w:noProof/>
          </w:rPr>
          <w:t>Täglicher Datenaustausch der SLP-Allokationsdaten</w:t>
        </w:r>
        <w:r>
          <w:rPr>
            <w:noProof/>
            <w:webHidden/>
          </w:rPr>
          <w:tab/>
        </w:r>
        <w:r>
          <w:rPr>
            <w:noProof/>
            <w:webHidden/>
          </w:rPr>
          <w:fldChar w:fldCharType="begin"/>
        </w:r>
        <w:r>
          <w:rPr>
            <w:noProof/>
            <w:webHidden/>
          </w:rPr>
          <w:instrText xml:space="preserve"> PAGEREF _Toc111118483 \h </w:instrText>
        </w:r>
        <w:r>
          <w:rPr>
            <w:noProof/>
            <w:webHidden/>
          </w:rPr>
        </w:r>
        <w:r>
          <w:rPr>
            <w:noProof/>
            <w:webHidden/>
          </w:rPr>
          <w:fldChar w:fldCharType="separate"/>
        </w:r>
        <w:r>
          <w:rPr>
            <w:noProof/>
            <w:webHidden/>
          </w:rPr>
          <w:t>67</w:t>
        </w:r>
        <w:r>
          <w:rPr>
            <w:noProof/>
            <w:webHidden/>
          </w:rPr>
          <w:fldChar w:fldCharType="end"/>
        </w:r>
      </w:hyperlink>
    </w:p>
    <w:p w14:paraId="20431ADF" w14:textId="1C6F81AB" w:rsidR="00773299" w:rsidRDefault="00773299">
      <w:pPr>
        <w:pStyle w:val="Verzeichnis4"/>
        <w:rPr>
          <w:rFonts w:asciiTheme="minorHAnsi" w:eastAsiaTheme="minorEastAsia" w:hAnsiTheme="minorHAnsi" w:cstheme="minorBidi"/>
          <w:noProof/>
        </w:rPr>
      </w:pPr>
      <w:hyperlink w:anchor="_Toc111118484" w:history="1">
        <w:r w:rsidRPr="008F4F8A">
          <w:rPr>
            <w:rStyle w:val="Hyperlink"/>
            <w:noProof/>
          </w:rPr>
          <w:t>5.5.1.4</w:t>
        </w:r>
        <w:r>
          <w:rPr>
            <w:rFonts w:asciiTheme="minorHAnsi" w:eastAsiaTheme="minorEastAsia" w:hAnsiTheme="minorHAnsi" w:cstheme="minorBidi"/>
            <w:noProof/>
          </w:rPr>
          <w:tab/>
        </w:r>
        <w:r w:rsidRPr="008F4F8A">
          <w:rPr>
            <w:rStyle w:val="Hyperlink"/>
            <w:noProof/>
          </w:rPr>
          <w:t>SLP-Ersatzwertbildung durch den MGV</w:t>
        </w:r>
        <w:r>
          <w:rPr>
            <w:noProof/>
            <w:webHidden/>
          </w:rPr>
          <w:tab/>
        </w:r>
        <w:r>
          <w:rPr>
            <w:noProof/>
            <w:webHidden/>
          </w:rPr>
          <w:fldChar w:fldCharType="begin"/>
        </w:r>
        <w:r>
          <w:rPr>
            <w:noProof/>
            <w:webHidden/>
          </w:rPr>
          <w:instrText xml:space="preserve"> PAGEREF _Toc111118484 \h </w:instrText>
        </w:r>
        <w:r>
          <w:rPr>
            <w:noProof/>
            <w:webHidden/>
          </w:rPr>
        </w:r>
        <w:r>
          <w:rPr>
            <w:noProof/>
            <w:webHidden/>
          </w:rPr>
          <w:fldChar w:fldCharType="separate"/>
        </w:r>
        <w:r>
          <w:rPr>
            <w:noProof/>
            <w:webHidden/>
          </w:rPr>
          <w:t>68</w:t>
        </w:r>
        <w:r>
          <w:rPr>
            <w:noProof/>
            <w:webHidden/>
          </w:rPr>
          <w:fldChar w:fldCharType="end"/>
        </w:r>
      </w:hyperlink>
    </w:p>
    <w:p w14:paraId="496A932F" w14:textId="7B558C16" w:rsidR="00773299" w:rsidRDefault="00773299">
      <w:pPr>
        <w:pStyle w:val="Verzeichnis4"/>
        <w:rPr>
          <w:rFonts w:asciiTheme="minorHAnsi" w:eastAsiaTheme="minorEastAsia" w:hAnsiTheme="minorHAnsi" w:cstheme="minorBidi"/>
          <w:noProof/>
        </w:rPr>
      </w:pPr>
      <w:hyperlink w:anchor="_Toc111118485" w:history="1">
        <w:r w:rsidRPr="008F4F8A">
          <w:rPr>
            <w:rStyle w:val="Hyperlink"/>
            <w:noProof/>
          </w:rPr>
          <w:t>5.5.1.5</w:t>
        </w:r>
        <w:r>
          <w:rPr>
            <w:rFonts w:asciiTheme="minorHAnsi" w:eastAsiaTheme="minorEastAsia" w:hAnsiTheme="minorHAnsi" w:cstheme="minorBidi"/>
            <w:noProof/>
          </w:rPr>
          <w:tab/>
        </w:r>
        <w:r w:rsidRPr="008F4F8A">
          <w:rPr>
            <w:rStyle w:val="Hyperlink"/>
            <w:noProof/>
          </w:rPr>
          <w:t>Versand von anwendungsspezifischen SLP Parametern</w:t>
        </w:r>
        <w:r>
          <w:rPr>
            <w:noProof/>
            <w:webHidden/>
          </w:rPr>
          <w:tab/>
        </w:r>
        <w:r>
          <w:rPr>
            <w:noProof/>
            <w:webHidden/>
          </w:rPr>
          <w:fldChar w:fldCharType="begin"/>
        </w:r>
        <w:r>
          <w:rPr>
            <w:noProof/>
            <w:webHidden/>
          </w:rPr>
          <w:instrText xml:space="preserve"> PAGEREF _Toc111118485 \h </w:instrText>
        </w:r>
        <w:r>
          <w:rPr>
            <w:noProof/>
            <w:webHidden/>
          </w:rPr>
        </w:r>
        <w:r>
          <w:rPr>
            <w:noProof/>
            <w:webHidden/>
          </w:rPr>
          <w:fldChar w:fldCharType="separate"/>
        </w:r>
        <w:r>
          <w:rPr>
            <w:noProof/>
            <w:webHidden/>
          </w:rPr>
          <w:t>69</w:t>
        </w:r>
        <w:r>
          <w:rPr>
            <w:noProof/>
            <w:webHidden/>
          </w:rPr>
          <w:fldChar w:fldCharType="end"/>
        </w:r>
      </w:hyperlink>
    </w:p>
    <w:p w14:paraId="189D586E" w14:textId="2272FAA9" w:rsidR="00773299" w:rsidRDefault="00773299">
      <w:pPr>
        <w:pStyle w:val="Verzeichnis3"/>
        <w:rPr>
          <w:rFonts w:asciiTheme="minorHAnsi" w:eastAsiaTheme="minorEastAsia" w:hAnsiTheme="minorHAnsi" w:cstheme="minorBidi"/>
          <w:noProof/>
        </w:rPr>
      </w:pPr>
      <w:hyperlink w:anchor="_Toc111118486" w:history="1">
        <w:r w:rsidRPr="008F4F8A">
          <w:rPr>
            <w:rStyle w:val="Hyperlink"/>
            <w:noProof/>
          </w:rPr>
          <w:t>5.5.2</w:t>
        </w:r>
        <w:r>
          <w:rPr>
            <w:rFonts w:asciiTheme="minorHAnsi" w:eastAsiaTheme="minorEastAsia" w:hAnsiTheme="minorHAnsi" w:cstheme="minorBidi"/>
            <w:noProof/>
          </w:rPr>
          <w:tab/>
        </w:r>
        <w:r w:rsidRPr="008F4F8A">
          <w:rPr>
            <w:rStyle w:val="Hyperlink"/>
            <w:noProof/>
          </w:rPr>
          <w:t>Allokation von ausspeisenden RLM-Marktlokationen</w:t>
        </w:r>
        <w:r>
          <w:rPr>
            <w:noProof/>
            <w:webHidden/>
          </w:rPr>
          <w:tab/>
        </w:r>
        <w:r>
          <w:rPr>
            <w:noProof/>
            <w:webHidden/>
          </w:rPr>
          <w:fldChar w:fldCharType="begin"/>
        </w:r>
        <w:r>
          <w:rPr>
            <w:noProof/>
            <w:webHidden/>
          </w:rPr>
          <w:instrText xml:space="preserve"> PAGEREF _Toc111118486 \h </w:instrText>
        </w:r>
        <w:r>
          <w:rPr>
            <w:noProof/>
            <w:webHidden/>
          </w:rPr>
        </w:r>
        <w:r>
          <w:rPr>
            <w:noProof/>
            <w:webHidden/>
          </w:rPr>
          <w:fldChar w:fldCharType="separate"/>
        </w:r>
        <w:r>
          <w:rPr>
            <w:noProof/>
            <w:webHidden/>
          </w:rPr>
          <w:t>69</w:t>
        </w:r>
        <w:r>
          <w:rPr>
            <w:noProof/>
            <w:webHidden/>
          </w:rPr>
          <w:fldChar w:fldCharType="end"/>
        </w:r>
      </w:hyperlink>
    </w:p>
    <w:p w14:paraId="67562C15" w14:textId="664E64C1" w:rsidR="00773299" w:rsidRDefault="00773299">
      <w:pPr>
        <w:pStyle w:val="Verzeichnis4"/>
        <w:rPr>
          <w:rFonts w:asciiTheme="minorHAnsi" w:eastAsiaTheme="minorEastAsia" w:hAnsiTheme="minorHAnsi" w:cstheme="minorBidi"/>
          <w:noProof/>
        </w:rPr>
      </w:pPr>
      <w:hyperlink w:anchor="_Toc111118487" w:history="1">
        <w:r w:rsidRPr="008F4F8A">
          <w:rPr>
            <w:rStyle w:val="Hyperlink"/>
            <w:noProof/>
          </w:rPr>
          <w:t>5.5.2.1</w:t>
        </w:r>
        <w:r>
          <w:rPr>
            <w:rFonts w:asciiTheme="minorHAnsi" w:eastAsiaTheme="minorEastAsia" w:hAnsiTheme="minorHAnsi" w:cstheme="minorBidi"/>
            <w:noProof/>
          </w:rPr>
          <w:tab/>
        </w:r>
        <w:r w:rsidRPr="008F4F8A">
          <w:rPr>
            <w:rStyle w:val="Hyperlink"/>
            <w:noProof/>
          </w:rPr>
          <w:t>Stündliche Energiedatenübermittlung NB an LF</w:t>
        </w:r>
        <w:r>
          <w:rPr>
            <w:noProof/>
            <w:webHidden/>
          </w:rPr>
          <w:tab/>
        </w:r>
        <w:r>
          <w:rPr>
            <w:noProof/>
            <w:webHidden/>
          </w:rPr>
          <w:fldChar w:fldCharType="begin"/>
        </w:r>
        <w:r>
          <w:rPr>
            <w:noProof/>
            <w:webHidden/>
          </w:rPr>
          <w:instrText xml:space="preserve"> PAGEREF _Toc111118487 \h </w:instrText>
        </w:r>
        <w:r>
          <w:rPr>
            <w:noProof/>
            <w:webHidden/>
          </w:rPr>
        </w:r>
        <w:r>
          <w:rPr>
            <w:noProof/>
            <w:webHidden/>
          </w:rPr>
          <w:fldChar w:fldCharType="separate"/>
        </w:r>
        <w:r>
          <w:rPr>
            <w:noProof/>
            <w:webHidden/>
          </w:rPr>
          <w:t>71</w:t>
        </w:r>
        <w:r>
          <w:rPr>
            <w:noProof/>
            <w:webHidden/>
          </w:rPr>
          <w:fldChar w:fldCharType="end"/>
        </w:r>
      </w:hyperlink>
    </w:p>
    <w:p w14:paraId="6FE5FD57" w14:textId="7951330A" w:rsidR="00773299" w:rsidRDefault="00773299">
      <w:pPr>
        <w:pStyle w:val="Verzeichnis3"/>
        <w:rPr>
          <w:rFonts w:asciiTheme="minorHAnsi" w:eastAsiaTheme="minorEastAsia" w:hAnsiTheme="minorHAnsi" w:cstheme="minorBidi"/>
          <w:noProof/>
        </w:rPr>
      </w:pPr>
      <w:hyperlink w:anchor="_Toc111118488" w:history="1">
        <w:r w:rsidRPr="008F4F8A">
          <w:rPr>
            <w:rStyle w:val="Hyperlink"/>
            <w:noProof/>
          </w:rPr>
          <w:t>5.5.3</w:t>
        </w:r>
        <w:r>
          <w:rPr>
            <w:rFonts w:asciiTheme="minorHAnsi" w:eastAsiaTheme="minorEastAsia" w:hAnsiTheme="minorHAnsi" w:cstheme="minorBidi"/>
            <w:noProof/>
          </w:rPr>
          <w:tab/>
        </w:r>
        <w:r w:rsidRPr="008F4F8A">
          <w:rPr>
            <w:rStyle w:val="Hyperlink"/>
            <w:noProof/>
          </w:rPr>
          <w:t>Allokation von Nominierungen</w:t>
        </w:r>
        <w:r>
          <w:rPr>
            <w:noProof/>
            <w:webHidden/>
          </w:rPr>
          <w:tab/>
        </w:r>
        <w:r>
          <w:rPr>
            <w:noProof/>
            <w:webHidden/>
          </w:rPr>
          <w:fldChar w:fldCharType="begin"/>
        </w:r>
        <w:r>
          <w:rPr>
            <w:noProof/>
            <w:webHidden/>
          </w:rPr>
          <w:instrText xml:space="preserve"> PAGEREF _Toc111118488 \h </w:instrText>
        </w:r>
        <w:r>
          <w:rPr>
            <w:noProof/>
            <w:webHidden/>
          </w:rPr>
        </w:r>
        <w:r>
          <w:rPr>
            <w:noProof/>
            <w:webHidden/>
          </w:rPr>
          <w:fldChar w:fldCharType="separate"/>
        </w:r>
        <w:r>
          <w:rPr>
            <w:noProof/>
            <w:webHidden/>
          </w:rPr>
          <w:t>72</w:t>
        </w:r>
        <w:r>
          <w:rPr>
            <w:noProof/>
            <w:webHidden/>
          </w:rPr>
          <w:fldChar w:fldCharType="end"/>
        </w:r>
      </w:hyperlink>
    </w:p>
    <w:p w14:paraId="6534D908" w14:textId="598B79BD" w:rsidR="00773299" w:rsidRDefault="00773299">
      <w:pPr>
        <w:pStyle w:val="Verzeichnis4"/>
        <w:rPr>
          <w:rFonts w:asciiTheme="minorHAnsi" w:eastAsiaTheme="minorEastAsia" w:hAnsiTheme="minorHAnsi" w:cstheme="minorBidi"/>
          <w:noProof/>
        </w:rPr>
      </w:pPr>
      <w:hyperlink w:anchor="_Toc111118489" w:history="1">
        <w:r w:rsidRPr="008F4F8A">
          <w:rPr>
            <w:rStyle w:val="Hyperlink"/>
            <w:noProof/>
          </w:rPr>
          <w:t>5.5.3.1</w:t>
        </w:r>
        <w:r>
          <w:rPr>
            <w:rFonts w:asciiTheme="minorHAnsi" w:eastAsiaTheme="minorEastAsia" w:hAnsiTheme="minorHAnsi" w:cstheme="minorBidi"/>
            <w:noProof/>
          </w:rPr>
          <w:tab/>
        </w:r>
        <w:r w:rsidRPr="008F4F8A">
          <w:rPr>
            <w:rStyle w:val="Hyperlink"/>
            <w:noProof/>
          </w:rPr>
          <w:t>Allokation von Nominierungen gegenüber dem NB</w:t>
        </w:r>
        <w:r>
          <w:rPr>
            <w:noProof/>
            <w:webHidden/>
          </w:rPr>
          <w:tab/>
        </w:r>
        <w:r>
          <w:rPr>
            <w:noProof/>
            <w:webHidden/>
          </w:rPr>
          <w:fldChar w:fldCharType="begin"/>
        </w:r>
        <w:r>
          <w:rPr>
            <w:noProof/>
            <w:webHidden/>
          </w:rPr>
          <w:instrText xml:space="preserve"> PAGEREF _Toc111118489 \h </w:instrText>
        </w:r>
        <w:r>
          <w:rPr>
            <w:noProof/>
            <w:webHidden/>
          </w:rPr>
        </w:r>
        <w:r>
          <w:rPr>
            <w:noProof/>
            <w:webHidden/>
          </w:rPr>
          <w:fldChar w:fldCharType="separate"/>
        </w:r>
        <w:r>
          <w:rPr>
            <w:noProof/>
            <w:webHidden/>
          </w:rPr>
          <w:t>72</w:t>
        </w:r>
        <w:r>
          <w:rPr>
            <w:noProof/>
            <w:webHidden/>
          </w:rPr>
          <w:fldChar w:fldCharType="end"/>
        </w:r>
      </w:hyperlink>
    </w:p>
    <w:p w14:paraId="3776ED6F" w14:textId="478503B5" w:rsidR="00773299" w:rsidRDefault="00773299">
      <w:pPr>
        <w:pStyle w:val="Verzeichnis4"/>
        <w:rPr>
          <w:rFonts w:asciiTheme="minorHAnsi" w:eastAsiaTheme="minorEastAsia" w:hAnsiTheme="minorHAnsi" w:cstheme="minorBidi"/>
          <w:noProof/>
        </w:rPr>
      </w:pPr>
      <w:hyperlink w:anchor="_Toc111118490" w:history="1">
        <w:r w:rsidRPr="008F4F8A">
          <w:rPr>
            <w:rStyle w:val="Hyperlink"/>
            <w:noProof/>
          </w:rPr>
          <w:t>5.5.3.2</w:t>
        </w:r>
        <w:r>
          <w:rPr>
            <w:rFonts w:asciiTheme="minorHAnsi" w:eastAsiaTheme="minorEastAsia" w:hAnsiTheme="minorHAnsi" w:cstheme="minorBidi"/>
            <w:noProof/>
          </w:rPr>
          <w:tab/>
        </w:r>
        <w:r w:rsidRPr="008F4F8A">
          <w:rPr>
            <w:rStyle w:val="Hyperlink"/>
            <w:noProof/>
          </w:rPr>
          <w:t>Allokation von Nominierungen gegenüber dem MGV</w:t>
        </w:r>
        <w:r>
          <w:rPr>
            <w:noProof/>
            <w:webHidden/>
          </w:rPr>
          <w:tab/>
        </w:r>
        <w:r>
          <w:rPr>
            <w:noProof/>
            <w:webHidden/>
          </w:rPr>
          <w:fldChar w:fldCharType="begin"/>
        </w:r>
        <w:r>
          <w:rPr>
            <w:noProof/>
            <w:webHidden/>
          </w:rPr>
          <w:instrText xml:space="preserve"> PAGEREF _Toc111118490 \h </w:instrText>
        </w:r>
        <w:r>
          <w:rPr>
            <w:noProof/>
            <w:webHidden/>
          </w:rPr>
        </w:r>
        <w:r>
          <w:rPr>
            <w:noProof/>
            <w:webHidden/>
          </w:rPr>
          <w:fldChar w:fldCharType="separate"/>
        </w:r>
        <w:r>
          <w:rPr>
            <w:noProof/>
            <w:webHidden/>
          </w:rPr>
          <w:t>72</w:t>
        </w:r>
        <w:r>
          <w:rPr>
            <w:noProof/>
            <w:webHidden/>
          </w:rPr>
          <w:fldChar w:fldCharType="end"/>
        </w:r>
      </w:hyperlink>
    </w:p>
    <w:p w14:paraId="687F99E2" w14:textId="2E8CD56F" w:rsidR="00773299" w:rsidRDefault="00773299">
      <w:pPr>
        <w:pStyle w:val="Verzeichnis3"/>
        <w:rPr>
          <w:rFonts w:asciiTheme="minorHAnsi" w:eastAsiaTheme="minorEastAsia" w:hAnsiTheme="minorHAnsi" w:cstheme="minorBidi"/>
          <w:noProof/>
        </w:rPr>
      </w:pPr>
      <w:hyperlink w:anchor="_Toc111118491" w:history="1">
        <w:r w:rsidRPr="008F4F8A">
          <w:rPr>
            <w:rStyle w:val="Hyperlink"/>
            <w:noProof/>
          </w:rPr>
          <w:t>5.5.4</w:t>
        </w:r>
        <w:r>
          <w:rPr>
            <w:rFonts w:asciiTheme="minorHAnsi" w:eastAsiaTheme="minorEastAsia" w:hAnsiTheme="minorHAnsi" w:cstheme="minorBidi"/>
            <w:noProof/>
          </w:rPr>
          <w:tab/>
        </w:r>
        <w:r w:rsidRPr="008F4F8A">
          <w:rPr>
            <w:rStyle w:val="Hyperlink"/>
            <w:noProof/>
          </w:rPr>
          <w:t>Allokation von sonstigen Messungen</w:t>
        </w:r>
        <w:r>
          <w:rPr>
            <w:noProof/>
            <w:webHidden/>
          </w:rPr>
          <w:tab/>
        </w:r>
        <w:r>
          <w:rPr>
            <w:noProof/>
            <w:webHidden/>
          </w:rPr>
          <w:fldChar w:fldCharType="begin"/>
        </w:r>
        <w:r>
          <w:rPr>
            <w:noProof/>
            <w:webHidden/>
          </w:rPr>
          <w:instrText xml:space="preserve"> PAGEREF _Toc111118491 \h </w:instrText>
        </w:r>
        <w:r>
          <w:rPr>
            <w:noProof/>
            <w:webHidden/>
          </w:rPr>
        </w:r>
        <w:r>
          <w:rPr>
            <w:noProof/>
            <w:webHidden/>
          </w:rPr>
          <w:fldChar w:fldCharType="separate"/>
        </w:r>
        <w:r>
          <w:rPr>
            <w:noProof/>
            <w:webHidden/>
          </w:rPr>
          <w:t>72</w:t>
        </w:r>
        <w:r>
          <w:rPr>
            <w:noProof/>
            <w:webHidden/>
          </w:rPr>
          <w:fldChar w:fldCharType="end"/>
        </w:r>
      </w:hyperlink>
    </w:p>
    <w:p w14:paraId="023F55C9" w14:textId="23AAB28D" w:rsidR="00773299" w:rsidRDefault="00773299">
      <w:pPr>
        <w:pStyle w:val="Verzeichnis3"/>
        <w:rPr>
          <w:rFonts w:asciiTheme="minorHAnsi" w:eastAsiaTheme="minorEastAsia" w:hAnsiTheme="minorHAnsi" w:cstheme="minorBidi"/>
          <w:noProof/>
        </w:rPr>
      </w:pPr>
      <w:hyperlink w:anchor="_Toc111118492" w:history="1">
        <w:r w:rsidRPr="008F4F8A">
          <w:rPr>
            <w:rStyle w:val="Hyperlink"/>
            <w:noProof/>
          </w:rPr>
          <w:t>5.5.5</w:t>
        </w:r>
        <w:r>
          <w:rPr>
            <w:rFonts w:asciiTheme="minorHAnsi" w:eastAsiaTheme="minorEastAsia" w:hAnsiTheme="minorHAnsi" w:cstheme="minorBidi"/>
            <w:noProof/>
          </w:rPr>
          <w:tab/>
        </w:r>
        <w:r w:rsidRPr="008F4F8A">
          <w:rPr>
            <w:rStyle w:val="Hyperlink"/>
            <w:noProof/>
          </w:rPr>
          <w:t>Allokation von Netzkopplungspunkten (Zeitreihentyp „Entry NKP“)</w:t>
        </w:r>
        <w:r>
          <w:rPr>
            <w:noProof/>
            <w:webHidden/>
          </w:rPr>
          <w:tab/>
        </w:r>
        <w:r>
          <w:rPr>
            <w:noProof/>
            <w:webHidden/>
          </w:rPr>
          <w:fldChar w:fldCharType="begin"/>
        </w:r>
        <w:r>
          <w:rPr>
            <w:noProof/>
            <w:webHidden/>
          </w:rPr>
          <w:instrText xml:space="preserve"> PAGEREF _Toc111118492 \h </w:instrText>
        </w:r>
        <w:r>
          <w:rPr>
            <w:noProof/>
            <w:webHidden/>
          </w:rPr>
        </w:r>
        <w:r>
          <w:rPr>
            <w:noProof/>
            <w:webHidden/>
          </w:rPr>
          <w:fldChar w:fldCharType="separate"/>
        </w:r>
        <w:r>
          <w:rPr>
            <w:noProof/>
            <w:webHidden/>
          </w:rPr>
          <w:t>74</w:t>
        </w:r>
        <w:r>
          <w:rPr>
            <w:noProof/>
            <w:webHidden/>
          </w:rPr>
          <w:fldChar w:fldCharType="end"/>
        </w:r>
      </w:hyperlink>
    </w:p>
    <w:p w14:paraId="52CABBF6" w14:textId="2D320A9C" w:rsidR="00773299" w:rsidRDefault="00773299">
      <w:pPr>
        <w:pStyle w:val="Verzeichnis4"/>
        <w:rPr>
          <w:rFonts w:asciiTheme="minorHAnsi" w:eastAsiaTheme="minorEastAsia" w:hAnsiTheme="minorHAnsi" w:cstheme="minorBidi"/>
          <w:noProof/>
        </w:rPr>
      </w:pPr>
      <w:hyperlink w:anchor="_Toc111118493" w:history="1">
        <w:r w:rsidRPr="008F4F8A">
          <w:rPr>
            <w:rStyle w:val="Hyperlink"/>
            <w:noProof/>
          </w:rPr>
          <w:t>5.5.5.1</w:t>
        </w:r>
        <w:r>
          <w:rPr>
            <w:rFonts w:asciiTheme="minorHAnsi" w:eastAsiaTheme="minorEastAsia" w:hAnsiTheme="minorHAnsi" w:cstheme="minorBidi"/>
            <w:noProof/>
          </w:rPr>
          <w:tab/>
        </w:r>
        <w:r w:rsidRPr="008F4F8A">
          <w:rPr>
            <w:rStyle w:val="Hyperlink"/>
            <w:noProof/>
          </w:rPr>
          <w:t>Allokation von Netzkopplungspunkten bei Instandhaltungsmaßnahmen nach § 24 KoV</w:t>
        </w:r>
        <w:r>
          <w:rPr>
            <w:noProof/>
            <w:webHidden/>
          </w:rPr>
          <w:tab/>
        </w:r>
        <w:r>
          <w:rPr>
            <w:noProof/>
            <w:webHidden/>
          </w:rPr>
          <w:fldChar w:fldCharType="begin"/>
        </w:r>
        <w:r>
          <w:rPr>
            <w:noProof/>
            <w:webHidden/>
          </w:rPr>
          <w:instrText xml:space="preserve"> PAGEREF _Toc111118493 \h </w:instrText>
        </w:r>
        <w:r>
          <w:rPr>
            <w:noProof/>
            <w:webHidden/>
          </w:rPr>
        </w:r>
        <w:r>
          <w:rPr>
            <w:noProof/>
            <w:webHidden/>
          </w:rPr>
          <w:fldChar w:fldCharType="separate"/>
        </w:r>
        <w:r>
          <w:rPr>
            <w:noProof/>
            <w:webHidden/>
          </w:rPr>
          <w:t>76</w:t>
        </w:r>
        <w:r>
          <w:rPr>
            <w:noProof/>
            <w:webHidden/>
          </w:rPr>
          <w:fldChar w:fldCharType="end"/>
        </w:r>
      </w:hyperlink>
    </w:p>
    <w:p w14:paraId="4699B232" w14:textId="642927B6" w:rsidR="00773299" w:rsidRDefault="00773299">
      <w:pPr>
        <w:pStyle w:val="Verzeichnis3"/>
        <w:rPr>
          <w:rFonts w:asciiTheme="minorHAnsi" w:eastAsiaTheme="minorEastAsia" w:hAnsiTheme="minorHAnsi" w:cstheme="minorBidi"/>
          <w:noProof/>
        </w:rPr>
      </w:pPr>
      <w:hyperlink w:anchor="_Toc111118494" w:history="1">
        <w:r w:rsidRPr="008F4F8A">
          <w:rPr>
            <w:rStyle w:val="Hyperlink"/>
            <w:noProof/>
          </w:rPr>
          <w:t>5.5.6</w:t>
        </w:r>
        <w:r>
          <w:rPr>
            <w:rFonts w:asciiTheme="minorHAnsi" w:eastAsiaTheme="minorEastAsia" w:hAnsiTheme="minorHAnsi" w:cstheme="minorBidi"/>
            <w:noProof/>
          </w:rPr>
          <w:tab/>
        </w:r>
        <w:r w:rsidRPr="008F4F8A">
          <w:rPr>
            <w:rStyle w:val="Hyperlink"/>
            <w:noProof/>
          </w:rPr>
          <w:t>Allokation im Falle einer L-/H-Gas-Marktraumumstellung</w:t>
        </w:r>
        <w:r>
          <w:rPr>
            <w:noProof/>
            <w:webHidden/>
          </w:rPr>
          <w:tab/>
        </w:r>
        <w:r>
          <w:rPr>
            <w:noProof/>
            <w:webHidden/>
          </w:rPr>
          <w:fldChar w:fldCharType="begin"/>
        </w:r>
        <w:r>
          <w:rPr>
            <w:noProof/>
            <w:webHidden/>
          </w:rPr>
          <w:instrText xml:space="preserve"> PAGEREF _Toc111118494 \h </w:instrText>
        </w:r>
        <w:r>
          <w:rPr>
            <w:noProof/>
            <w:webHidden/>
          </w:rPr>
        </w:r>
        <w:r>
          <w:rPr>
            <w:noProof/>
            <w:webHidden/>
          </w:rPr>
          <w:fldChar w:fldCharType="separate"/>
        </w:r>
        <w:r>
          <w:rPr>
            <w:noProof/>
            <w:webHidden/>
          </w:rPr>
          <w:t>78</w:t>
        </w:r>
        <w:r>
          <w:rPr>
            <w:noProof/>
            <w:webHidden/>
          </w:rPr>
          <w:fldChar w:fldCharType="end"/>
        </w:r>
      </w:hyperlink>
    </w:p>
    <w:p w14:paraId="1156133D" w14:textId="1C79E39B" w:rsidR="00773299" w:rsidRDefault="00773299">
      <w:pPr>
        <w:pStyle w:val="Verzeichnis4"/>
        <w:rPr>
          <w:rFonts w:asciiTheme="minorHAnsi" w:eastAsiaTheme="minorEastAsia" w:hAnsiTheme="minorHAnsi" w:cstheme="minorBidi"/>
          <w:noProof/>
        </w:rPr>
      </w:pPr>
      <w:hyperlink w:anchor="_Toc111118495" w:history="1">
        <w:r w:rsidRPr="008F4F8A">
          <w:rPr>
            <w:rStyle w:val="Hyperlink"/>
            <w:noProof/>
          </w:rPr>
          <w:t>5.5.6.1</w:t>
        </w:r>
        <w:r>
          <w:rPr>
            <w:rFonts w:asciiTheme="minorHAnsi" w:eastAsiaTheme="minorEastAsia" w:hAnsiTheme="minorHAnsi" w:cstheme="minorBidi"/>
            <w:noProof/>
          </w:rPr>
          <w:tab/>
        </w:r>
        <w:r w:rsidRPr="008F4F8A">
          <w:rPr>
            <w:rStyle w:val="Hyperlink"/>
            <w:noProof/>
          </w:rPr>
          <w:t>Termine und Allokationsbeispiel</w:t>
        </w:r>
        <w:r>
          <w:rPr>
            <w:noProof/>
            <w:webHidden/>
          </w:rPr>
          <w:tab/>
        </w:r>
        <w:r>
          <w:rPr>
            <w:noProof/>
            <w:webHidden/>
          </w:rPr>
          <w:fldChar w:fldCharType="begin"/>
        </w:r>
        <w:r>
          <w:rPr>
            <w:noProof/>
            <w:webHidden/>
          </w:rPr>
          <w:instrText xml:space="preserve"> PAGEREF _Toc111118495 \h </w:instrText>
        </w:r>
        <w:r>
          <w:rPr>
            <w:noProof/>
            <w:webHidden/>
          </w:rPr>
        </w:r>
        <w:r>
          <w:rPr>
            <w:noProof/>
            <w:webHidden/>
          </w:rPr>
          <w:fldChar w:fldCharType="separate"/>
        </w:r>
        <w:r>
          <w:rPr>
            <w:noProof/>
            <w:webHidden/>
          </w:rPr>
          <w:t>78</w:t>
        </w:r>
        <w:r>
          <w:rPr>
            <w:noProof/>
            <w:webHidden/>
          </w:rPr>
          <w:fldChar w:fldCharType="end"/>
        </w:r>
      </w:hyperlink>
    </w:p>
    <w:p w14:paraId="2E2CD44B" w14:textId="118747C1" w:rsidR="00773299" w:rsidRDefault="00773299">
      <w:pPr>
        <w:pStyle w:val="Verzeichnis4"/>
        <w:rPr>
          <w:rFonts w:asciiTheme="minorHAnsi" w:eastAsiaTheme="minorEastAsia" w:hAnsiTheme="minorHAnsi" w:cstheme="minorBidi"/>
          <w:noProof/>
        </w:rPr>
      </w:pPr>
      <w:hyperlink w:anchor="_Toc111118496" w:history="1">
        <w:r w:rsidRPr="008F4F8A">
          <w:rPr>
            <w:rStyle w:val="Hyperlink"/>
            <w:noProof/>
          </w:rPr>
          <w:t>5.5.6.2</w:t>
        </w:r>
        <w:r>
          <w:rPr>
            <w:rFonts w:asciiTheme="minorHAnsi" w:eastAsiaTheme="minorEastAsia" w:hAnsiTheme="minorHAnsi" w:cstheme="minorBidi"/>
            <w:noProof/>
          </w:rPr>
          <w:tab/>
        </w:r>
        <w:r w:rsidRPr="008F4F8A">
          <w:rPr>
            <w:rStyle w:val="Hyperlink"/>
            <w:noProof/>
          </w:rPr>
          <w:t>Teilbilanz und Verrechnung gemäß § 9 Ziffer 1 f) KoV</w:t>
        </w:r>
        <w:r>
          <w:rPr>
            <w:noProof/>
            <w:webHidden/>
          </w:rPr>
          <w:tab/>
        </w:r>
        <w:r>
          <w:rPr>
            <w:noProof/>
            <w:webHidden/>
          </w:rPr>
          <w:fldChar w:fldCharType="begin"/>
        </w:r>
        <w:r>
          <w:rPr>
            <w:noProof/>
            <w:webHidden/>
          </w:rPr>
          <w:instrText xml:space="preserve"> PAGEREF _Toc111118496 \h </w:instrText>
        </w:r>
        <w:r>
          <w:rPr>
            <w:noProof/>
            <w:webHidden/>
          </w:rPr>
        </w:r>
        <w:r>
          <w:rPr>
            <w:noProof/>
            <w:webHidden/>
          </w:rPr>
          <w:fldChar w:fldCharType="separate"/>
        </w:r>
        <w:r>
          <w:rPr>
            <w:noProof/>
            <w:webHidden/>
          </w:rPr>
          <w:t>80</w:t>
        </w:r>
        <w:r>
          <w:rPr>
            <w:noProof/>
            <w:webHidden/>
          </w:rPr>
          <w:fldChar w:fldCharType="end"/>
        </w:r>
      </w:hyperlink>
    </w:p>
    <w:p w14:paraId="08D8FF84" w14:textId="2D3382E7" w:rsidR="00773299" w:rsidRDefault="00773299">
      <w:pPr>
        <w:pStyle w:val="Verzeichnis3"/>
        <w:rPr>
          <w:rFonts w:asciiTheme="minorHAnsi" w:eastAsiaTheme="minorEastAsia" w:hAnsiTheme="minorHAnsi" w:cstheme="minorBidi"/>
          <w:noProof/>
        </w:rPr>
      </w:pPr>
      <w:hyperlink w:anchor="_Toc111118497" w:history="1">
        <w:r w:rsidRPr="008F4F8A">
          <w:rPr>
            <w:rStyle w:val="Hyperlink"/>
            <w:noProof/>
          </w:rPr>
          <w:t>5.5.7</w:t>
        </w:r>
        <w:r>
          <w:rPr>
            <w:rFonts w:asciiTheme="minorHAnsi" w:eastAsiaTheme="minorEastAsia" w:hAnsiTheme="minorHAnsi" w:cstheme="minorBidi"/>
            <w:noProof/>
          </w:rPr>
          <w:tab/>
        </w:r>
        <w:r w:rsidRPr="008F4F8A">
          <w:rPr>
            <w:rStyle w:val="Hyperlink"/>
            <w:noProof/>
          </w:rPr>
          <w:t>Allokation Netzpufferfahrweisen und OBA (Zeitreihentypen Entryso und Exitso)</w:t>
        </w:r>
        <w:r>
          <w:rPr>
            <w:noProof/>
            <w:webHidden/>
          </w:rPr>
          <w:tab/>
        </w:r>
        <w:r>
          <w:rPr>
            <w:noProof/>
            <w:webHidden/>
          </w:rPr>
          <w:fldChar w:fldCharType="begin"/>
        </w:r>
        <w:r>
          <w:rPr>
            <w:noProof/>
            <w:webHidden/>
          </w:rPr>
          <w:instrText xml:space="preserve"> PAGEREF _Toc111118497 \h </w:instrText>
        </w:r>
        <w:r>
          <w:rPr>
            <w:noProof/>
            <w:webHidden/>
          </w:rPr>
        </w:r>
        <w:r>
          <w:rPr>
            <w:noProof/>
            <w:webHidden/>
          </w:rPr>
          <w:fldChar w:fldCharType="separate"/>
        </w:r>
        <w:r>
          <w:rPr>
            <w:noProof/>
            <w:webHidden/>
          </w:rPr>
          <w:t>82</w:t>
        </w:r>
        <w:r>
          <w:rPr>
            <w:noProof/>
            <w:webHidden/>
          </w:rPr>
          <w:fldChar w:fldCharType="end"/>
        </w:r>
      </w:hyperlink>
    </w:p>
    <w:p w14:paraId="07CF1C42" w14:textId="252E2A15" w:rsidR="00773299" w:rsidRDefault="00773299">
      <w:pPr>
        <w:pStyle w:val="Verzeichnis2"/>
        <w:rPr>
          <w:rFonts w:asciiTheme="minorHAnsi" w:hAnsiTheme="minorHAnsi"/>
        </w:rPr>
      </w:pPr>
      <w:hyperlink w:anchor="_Toc111118498" w:history="1">
        <w:r w:rsidRPr="008F4F8A">
          <w:rPr>
            <w:rStyle w:val="Hyperlink"/>
          </w:rPr>
          <w:t>5.6</w:t>
        </w:r>
        <w:r>
          <w:rPr>
            <w:rFonts w:asciiTheme="minorHAnsi" w:hAnsiTheme="minorHAnsi"/>
          </w:rPr>
          <w:tab/>
        </w:r>
        <w:r w:rsidRPr="008F4F8A">
          <w:rPr>
            <w:rStyle w:val="Hyperlink"/>
          </w:rPr>
          <w:t>Ausspeisung von Biogas an Letztverbraucher</w:t>
        </w:r>
        <w:r>
          <w:rPr>
            <w:webHidden/>
          </w:rPr>
          <w:tab/>
        </w:r>
        <w:r>
          <w:rPr>
            <w:webHidden/>
          </w:rPr>
          <w:fldChar w:fldCharType="begin"/>
        </w:r>
        <w:r>
          <w:rPr>
            <w:webHidden/>
          </w:rPr>
          <w:instrText xml:space="preserve"> PAGEREF _Toc111118498 \h </w:instrText>
        </w:r>
        <w:r>
          <w:rPr>
            <w:webHidden/>
          </w:rPr>
        </w:r>
        <w:r>
          <w:rPr>
            <w:webHidden/>
          </w:rPr>
          <w:fldChar w:fldCharType="separate"/>
        </w:r>
        <w:r>
          <w:rPr>
            <w:webHidden/>
          </w:rPr>
          <w:t>85</w:t>
        </w:r>
        <w:r>
          <w:rPr>
            <w:webHidden/>
          </w:rPr>
          <w:fldChar w:fldCharType="end"/>
        </w:r>
      </w:hyperlink>
    </w:p>
    <w:p w14:paraId="2F7BD762" w14:textId="15C1C76F" w:rsidR="00773299" w:rsidRDefault="00773299">
      <w:pPr>
        <w:pStyle w:val="Verzeichnis1"/>
        <w:rPr>
          <w:rFonts w:asciiTheme="minorHAnsi" w:eastAsiaTheme="minorEastAsia" w:hAnsiTheme="minorHAnsi" w:cstheme="minorBidi"/>
        </w:rPr>
      </w:pPr>
      <w:hyperlink w:anchor="_Toc111118499" w:history="1">
        <w:r w:rsidRPr="008F4F8A">
          <w:rPr>
            <w:rStyle w:val="Hyperlink"/>
          </w:rPr>
          <w:t>6</w:t>
        </w:r>
        <w:r>
          <w:rPr>
            <w:rFonts w:asciiTheme="minorHAnsi" w:eastAsiaTheme="minorEastAsia" w:hAnsiTheme="minorHAnsi" w:cstheme="minorBidi"/>
          </w:rPr>
          <w:tab/>
        </w:r>
        <w:r w:rsidRPr="008F4F8A">
          <w:rPr>
            <w:rStyle w:val="Hyperlink"/>
          </w:rPr>
          <w:t>Ermittlung der Bilanzkreisstatus und Anreizsystem</w:t>
        </w:r>
        <w:r>
          <w:rPr>
            <w:webHidden/>
          </w:rPr>
          <w:tab/>
        </w:r>
        <w:r>
          <w:rPr>
            <w:webHidden/>
          </w:rPr>
          <w:fldChar w:fldCharType="begin"/>
        </w:r>
        <w:r>
          <w:rPr>
            <w:webHidden/>
          </w:rPr>
          <w:instrText xml:space="preserve"> PAGEREF _Toc111118499 \h </w:instrText>
        </w:r>
        <w:r>
          <w:rPr>
            <w:webHidden/>
          </w:rPr>
        </w:r>
        <w:r>
          <w:rPr>
            <w:webHidden/>
          </w:rPr>
          <w:fldChar w:fldCharType="separate"/>
        </w:r>
        <w:r>
          <w:rPr>
            <w:webHidden/>
          </w:rPr>
          <w:t>89</w:t>
        </w:r>
        <w:r>
          <w:rPr>
            <w:webHidden/>
          </w:rPr>
          <w:fldChar w:fldCharType="end"/>
        </w:r>
      </w:hyperlink>
    </w:p>
    <w:p w14:paraId="3D02A86A" w14:textId="3C3D6B89" w:rsidR="00773299" w:rsidRDefault="00773299">
      <w:pPr>
        <w:pStyle w:val="Verzeichnis2"/>
        <w:rPr>
          <w:rFonts w:asciiTheme="minorHAnsi" w:hAnsiTheme="minorHAnsi"/>
        </w:rPr>
      </w:pPr>
      <w:hyperlink w:anchor="_Toc111118500" w:history="1">
        <w:r w:rsidRPr="008F4F8A">
          <w:rPr>
            <w:rStyle w:val="Hyperlink"/>
          </w:rPr>
          <w:t>6.1</w:t>
        </w:r>
        <w:r>
          <w:rPr>
            <w:rFonts w:asciiTheme="minorHAnsi" w:hAnsiTheme="minorHAnsi"/>
          </w:rPr>
          <w:tab/>
        </w:r>
        <w:r w:rsidRPr="008F4F8A">
          <w:rPr>
            <w:rStyle w:val="Hyperlink"/>
          </w:rPr>
          <w:t>Ermittlung der Bilanzkreisstatus</w:t>
        </w:r>
        <w:r>
          <w:rPr>
            <w:webHidden/>
          </w:rPr>
          <w:tab/>
        </w:r>
        <w:r>
          <w:rPr>
            <w:webHidden/>
          </w:rPr>
          <w:fldChar w:fldCharType="begin"/>
        </w:r>
        <w:r>
          <w:rPr>
            <w:webHidden/>
          </w:rPr>
          <w:instrText xml:space="preserve"> PAGEREF _Toc111118500 \h </w:instrText>
        </w:r>
        <w:r>
          <w:rPr>
            <w:webHidden/>
          </w:rPr>
        </w:r>
        <w:r>
          <w:rPr>
            <w:webHidden/>
          </w:rPr>
          <w:fldChar w:fldCharType="separate"/>
        </w:r>
        <w:r>
          <w:rPr>
            <w:webHidden/>
          </w:rPr>
          <w:t>89</w:t>
        </w:r>
        <w:r>
          <w:rPr>
            <w:webHidden/>
          </w:rPr>
          <w:fldChar w:fldCharType="end"/>
        </w:r>
      </w:hyperlink>
    </w:p>
    <w:p w14:paraId="2A03ADDF" w14:textId="0E6E3784" w:rsidR="00773299" w:rsidRDefault="00773299">
      <w:pPr>
        <w:pStyle w:val="Verzeichnis2"/>
        <w:rPr>
          <w:rFonts w:asciiTheme="minorHAnsi" w:hAnsiTheme="minorHAnsi"/>
        </w:rPr>
      </w:pPr>
      <w:hyperlink w:anchor="_Toc111118501" w:history="1">
        <w:r w:rsidRPr="008F4F8A">
          <w:rPr>
            <w:rStyle w:val="Hyperlink"/>
          </w:rPr>
          <w:t>6.2</w:t>
        </w:r>
        <w:r>
          <w:rPr>
            <w:rFonts w:asciiTheme="minorHAnsi" w:hAnsiTheme="minorHAnsi"/>
          </w:rPr>
          <w:tab/>
        </w:r>
        <w:r w:rsidRPr="008F4F8A">
          <w:rPr>
            <w:rStyle w:val="Hyperlink"/>
          </w:rPr>
          <w:t>Untertägige Verpflichtungen für Erdgasbilanzkreise</w:t>
        </w:r>
        <w:r>
          <w:rPr>
            <w:webHidden/>
          </w:rPr>
          <w:tab/>
        </w:r>
        <w:r>
          <w:rPr>
            <w:webHidden/>
          </w:rPr>
          <w:fldChar w:fldCharType="begin"/>
        </w:r>
        <w:r>
          <w:rPr>
            <w:webHidden/>
          </w:rPr>
          <w:instrText xml:space="preserve"> PAGEREF _Toc111118501 \h </w:instrText>
        </w:r>
        <w:r>
          <w:rPr>
            <w:webHidden/>
          </w:rPr>
        </w:r>
        <w:r>
          <w:rPr>
            <w:webHidden/>
          </w:rPr>
          <w:fldChar w:fldCharType="separate"/>
        </w:r>
        <w:r>
          <w:rPr>
            <w:webHidden/>
          </w:rPr>
          <w:t>93</w:t>
        </w:r>
        <w:r>
          <w:rPr>
            <w:webHidden/>
          </w:rPr>
          <w:fldChar w:fldCharType="end"/>
        </w:r>
      </w:hyperlink>
    </w:p>
    <w:p w14:paraId="6A3202CD" w14:textId="28A458AF" w:rsidR="00773299" w:rsidRDefault="00773299">
      <w:pPr>
        <w:pStyle w:val="Verzeichnis3"/>
        <w:rPr>
          <w:rFonts w:asciiTheme="minorHAnsi" w:eastAsiaTheme="minorEastAsia" w:hAnsiTheme="minorHAnsi" w:cstheme="minorBidi"/>
          <w:noProof/>
        </w:rPr>
      </w:pPr>
      <w:hyperlink w:anchor="_Toc111118502" w:history="1">
        <w:r w:rsidRPr="008F4F8A">
          <w:rPr>
            <w:rStyle w:val="Hyperlink"/>
            <w:noProof/>
          </w:rPr>
          <w:t>6.2.1</w:t>
        </w:r>
        <w:r>
          <w:rPr>
            <w:rFonts w:asciiTheme="minorHAnsi" w:eastAsiaTheme="minorEastAsia" w:hAnsiTheme="minorHAnsi" w:cstheme="minorBidi"/>
            <w:noProof/>
          </w:rPr>
          <w:tab/>
        </w:r>
        <w:r w:rsidRPr="008F4F8A">
          <w:rPr>
            <w:rStyle w:val="Hyperlink"/>
            <w:noProof/>
          </w:rPr>
          <w:t>Ermittlung von Toleranzen für Zeitreihentypen</w:t>
        </w:r>
        <w:r>
          <w:rPr>
            <w:noProof/>
            <w:webHidden/>
          </w:rPr>
          <w:tab/>
        </w:r>
        <w:r>
          <w:rPr>
            <w:noProof/>
            <w:webHidden/>
          </w:rPr>
          <w:fldChar w:fldCharType="begin"/>
        </w:r>
        <w:r>
          <w:rPr>
            <w:noProof/>
            <w:webHidden/>
          </w:rPr>
          <w:instrText xml:space="preserve"> PAGEREF _Toc111118502 \h </w:instrText>
        </w:r>
        <w:r>
          <w:rPr>
            <w:noProof/>
            <w:webHidden/>
          </w:rPr>
        </w:r>
        <w:r>
          <w:rPr>
            <w:noProof/>
            <w:webHidden/>
          </w:rPr>
          <w:fldChar w:fldCharType="separate"/>
        </w:r>
        <w:r>
          <w:rPr>
            <w:noProof/>
            <w:webHidden/>
          </w:rPr>
          <w:t>94</w:t>
        </w:r>
        <w:r>
          <w:rPr>
            <w:noProof/>
            <w:webHidden/>
          </w:rPr>
          <w:fldChar w:fldCharType="end"/>
        </w:r>
      </w:hyperlink>
    </w:p>
    <w:p w14:paraId="1BA2548E" w14:textId="211DBC25" w:rsidR="00773299" w:rsidRDefault="00773299">
      <w:pPr>
        <w:pStyle w:val="Verzeichnis3"/>
        <w:rPr>
          <w:rFonts w:asciiTheme="minorHAnsi" w:eastAsiaTheme="minorEastAsia" w:hAnsiTheme="minorHAnsi" w:cstheme="minorBidi"/>
          <w:noProof/>
        </w:rPr>
      </w:pPr>
      <w:hyperlink w:anchor="_Toc111118503" w:history="1">
        <w:r w:rsidRPr="008F4F8A">
          <w:rPr>
            <w:rStyle w:val="Hyperlink"/>
            <w:noProof/>
          </w:rPr>
          <w:t>6.2.2</w:t>
        </w:r>
        <w:r>
          <w:rPr>
            <w:rFonts w:asciiTheme="minorHAnsi" w:eastAsiaTheme="minorEastAsia" w:hAnsiTheme="minorHAnsi" w:cstheme="minorBidi"/>
            <w:noProof/>
          </w:rPr>
          <w:tab/>
        </w:r>
        <w:r w:rsidRPr="008F4F8A">
          <w:rPr>
            <w:rStyle w:val="Hyperlink"/>
            <w:noProof/>
          </w:rPr>
          <w:t>Berechnung der Flexibilitätskosten</w:t>
        </w:r>
        <w:r>
          <w:rPr>
            <w:noProof/>
            <w:webHidden/>
          </w:rPr>
          <w:tab/>
        </w:r>
        <w:r>
          <w:rPr>
            <w:noProof/>
            <w:webHidden/>
          </w:rPr>
          <w:fldChar w:fldCharType="begin"/>
        </w:r>
        <w:r>
          <w:rPr>
            <w:noProof/>
            <w:webHidden/>
          </w:rPr>
          <w:instrText xml:space="preserve"> PAGEREF _Toc111118503 \h </w:instrText>
        </w:r>
        <w:r>
          <w:rPr>
            <w:noProof/>
            <w:webHidden/>
          </w:rPr>
        </w:r>
        <w:r>
          <w:rPr>
            <w:noProof/>
            <w:webHidden/>
          </w:rPr>
          <w:fldChar w:fldCharType="separate"/>
        </w:r>
        <w:r>
          <w:rPr>
            <w:noProof/>
            <w:webHidden/>
          </w:rPr>
          <w:t>95</w:t>
        </w:r>
        <w:r>
          <w:rPr>
            <w:noProof/>
            <w:webHidden/>
          </w:rPr>
          <w:fldChar w:fldCharType="end"/>
        </w:r>
      </w:hyperlink>
    </w:p>
    <w:p w14:paraId="3D929C82" w14:textId="4B749F0A" w:rsidR="00773299" w:rsidRDefault="00773299">
      <w:pPr>
        <w:pStyle w:val="Verzeichnis3"/>
        <w:rPr>
          <w:rFonts w:asciiTheme="minorHAnsi" w:eastAsiaTheme="minorEastAsia" w:hAnsiTheme="minorHAnsi" w:cstheme="minorBidi"/>
          <w:noProof/>
        </w:rPr>
      </w:pPr>
      <w:hyperlink w:anchor="_Toc111118504" w:history="1">
        <w:r w:rsidRPr="008F4F8A">
          <w:rPr>
            <w:rStyle w:val="Hyperlink"/>
            <w:noProof/>
          </w:rPr>
          <w:t>6.2.3</w:t>
        </w:r>
        <w:r>
          <w:rPr>
            <w:rFonts w:asciiTheme="minorHAnsi" w:eastAsiaTheme="minorEastAsia" w:hAnsiTheme="minorHAnsi" w:cstheme="minorBidi"/>
            <w:noProof/>
          </w:rPr>
          <w:tab/>
        </w:r>
        <w:r w:rsidRPr="008F4F8A">
          <w:rPr>
            <w:rStyle w:val="Hyperlink"/>
            <w:noProof/>
          </w:rPr>
          <w:t>Beispiel zur Berechnung der Flexibilitätskosten</w:t>
        </w:r>
        <w:r>
          <w:rPr>
            <w:noProof/>
            <w:webHidden/>
          </w:rPr>
          <w:tab/>
        </w:r>
        <w:r>
          <w:rPr>
            <w:noProof/>
            <w:webHidden/>
          </w:rPr>
          <w:fldChar w:fldCharType="begin"/>
        </w:r>
        <w:r>
          <w:rPr>
            <w:noProof/>
            <w:webHidden/>
          </w:rPr>
          <w:instrText xml:space="preserve"> PAGEREF _Toc111118504 \h </w:instrText>
        </w:r>
        <w:r>
          <w:rPr>
            <w:noProof/>
            <w:webHidden/>
          </w:rPr>
        </w:r>
        <w:r>
          <w:rPr>
            <w:noProof/>
            <w:webHidden/>
          </w:rPr>
          <w:fldChar w:fldCharType="separate"/>
        </w:r>
        <w:r>
          <w:rPr>
            <w:noProof/>
            <w:webHidden/>
          </w:rPr>
          <w:t>95</w:t>
        </w:r>
        <w:r>
          <w:rPr>
            <w:noProof/>
            <w:webHidden/>
          </w:rPr>
          <w:fldChar w:fldCharType="end"/>
        </w:r>
      </w:hyperlink>
    </w:p>
    <w:p w14:paraId="3C8B07A9" w14:textId="1A21105C" w:rsidR="00773299" w:rsidRDefault="00773299">
      <w:pPr>
        <w:pStyle w:val="Verzeichnis2"/>
        <w:rPr>
          <w:rFonts w:asciiTheme="minorHAnsi" w:hAnsiTheme="minorHAnsi"/>
        </w:rPr>
      </w:pPr>
      <w:hyperlink w:anchor="_Toc111118505" w:history="1">
        <w:r w:rsidRPr="008F4F8A">
          <w:rPr>
            <w:rStyle w:val="Hyperlink"/>
          </w:rPr>
          <w:t>6.3</w:t>
        </w:r>
        <w:r>
          <w:rPr>
            <w:rFonts w:asciiTheme="minorHAnsi" w:hAnsiTheme="minorHAnsi"/>
          </w:rPr>
          <w:tab/>
        </w:r>
        <w:r w:rsidRPr="008F4F8A">
          <w:rPr>
            <w:rStyle w:val="Hyperlink"/>
          </w:rPr>
          <w:t>Biogasbilanzierung</w:t>
        </w:r>
        <w:r>
          <w:rPr>
            <w:webHidden/>
          </w:rPr>
          <w:tab/>
        </w:r>
        <w:r>
          <w:rPr>
            <w:webHidden/>
          </w:rPr>
          <w:fldChar w:fldCharType="begin"/>
        </w:r>
        <w:r>
          <w:rPr>
            <w:webHidden/>
          </w:rPr>
          <w:instrText xml:space="preserve"> PAGEREF _Toc111118505 \h </w:instrText>
        </w:r>
        <w:r>
          <w:rPr>
            <w:webHidden/>
          </w:rPr>
        </w:r>
        <w:r>
          <w:rPr>
            <w:webHidden/>
          </w:rPr>
          <w:fldChar w:fldCharType="separate"/>
        </w:r>
        <w:r>
          <w:rPr>
            <w:webHidden/>
          </w:rPr>
          <w:t>99</w:t>
        </w:r>
        <w:r>
          <w:rPr>
            <w:webHidden/>
          </w:rPr>
          <w:fldChar w:fldCharType="end"/>
        </w:r>
      </w:hyperlink>
    </w:p>
    <w:p w14:paraId="3CB1AF78" w14:textId="50077D61" w:rsidR="00773299" w:rsidRDefault="00773299">
      <w:pPr>
        <w:pStyle w:val="Verzeichnis3"/>
        <w:rPr>
          <w:rFonts w:asciiTheme="minorHAnsi" w:eastAsiaTheme="minorEastAsia" w:hAnsiTheme="minorHAnsi" w:cstheme="minorBidi"/>
          <w:noProof/>
        </w:rPr>
      </w:pPr>
      <w:hyperlink w:anchor="_Toc111118506" w:history="1">
        <w:r w:rsidRPr="008F4F8A">
          <w:rPr>
            <w:rStyle w:val="Hyperlink"/>
            <w:noProof/>
          </w:rPr>
          <w:t>6.3.1</w:t>
        </w:r>
        <w:r>
          <w:rPr>
            <w:rFonts w:asciiTheme="minorHAnsi" w:eastAsiaTheme="minorEastAsia" w:hAnsiTheme="minorHAnsi" w:cstheme="minorBidi"/>
            <w:noProof/>
          </w:rPr>
          <w:tab/>
        </w:r>
        <w:r w:rsidRPr="008F4F8A">
          <w:rPr>
            <w:rStyle w:val="Hyperlink"/>
            <w:noProof/>
          </w:rPr>
          <w:t>Bilanzierungszeitraum für Biogasbilanzkreise</w:t>
        </w:r>
        <w:r>
          <w:rPr>
            <w:noProof/>
            <w:webHidden/>
          </w:rPr>
          <w:tab/>
        </w:r>
        <w:r>
          <w:rPr>
            <w:noProof/>
            <w:webHidden/>
          </w:rPr>
          <w:fldChar w:fldCharType="begin"/>
        </w:r>
        <w:r>
          <w:rPr>
            <w:noProof/>
            <w:webHidden/>
          </w:rPr>
          <w:instrText xml:space="preserve"> PAGEREF _Toc111118506 \h </w:instrText>
        </w:r>
        <w:r>
          <w:rPr>
            <w:noProof/>
            <w:webHidden/>
          </w:rPr>
        </w:r>
        <w:r>
          <w:rPr>
            <w:noProof/>
            <w:webHidden/>
          </w:rPr>
          <w:fldChar w:fldCharType="separate"/>
        </w:r>
        <w:r>
          <w:rPr>
            <w:noProof/>
            <w:webHidden/>
          </w:rPr>
          <w:t>99</w:t>
        </w:r>
        <w:r>
          <w:rPr>
            <w:noProof/>
            <w:webHidden/>
          </w:rPr>
          <w:fldChar w:fldCharType="end"/>
        </w:r>
      </w:hyperlink>
    </w:p>
    <w:p w14:paraId="07A5569B" w14:textId="61C38A55" w:rsidR="00773299" w:rsidRDefault="00773299">
      <w:pPr>
        <w:pStyle w:val="Verzeichnis3"/>
        <w:rPr>
          <w:rFonts w:asciiTheme="minorHAnsi" w:eastAsiaTheme="minorEastAsia" w:hAnsiTheme="minorHAnsi" w:cstheme="minorBidi"/>
          <w:noProof/>
        </w:rPr>
      </w:pPr>
      <w:hyperlink w:anchor="_Toc111118507" w:history="1">
        <w:r w:rsidRPr="008F4F8A">
          <w:rPr>
            <w:rStyle w:val="Hyperlink"/>
            <w:noProof/>
          </w:rPr>
          <w:t>6.3.2</w:t>
        </w:r>
        <w:r>
          <w:rPr>
            <w:rFonts w:asciiTheme="minorHAnsi" w:eastAsiaTheme="minorEastAsia" w:hAnsiTheme="minorHAnsi" w:cstheme="minorBidi"/>
            <w:noProof/>
          </w:rPr>
          <w:tab/>
        </w:r>
        <w:r w:rsidRPr="008F4F8A">
          <w:rPr>
            <w:rStyle w:val="Hyperlink"/>
            <w:noProof/>
          </w:rPr>
          <w:t>Bilanzierung von RLM-Allokationen für Biogasbilanzkreise</w:t>
        </w:r>
        <w:r>
          <w:rPr>
            <w:noProof/>
            <w:webHidden/>
          </w:rPr>
          <w:tab/>
        </w:r>
        <w:r>
          <w:rPr>
            <w:noProof/>
            <w:webHidden/>
          </w:rPr>
          <w:fldChar w:fldCharType="begin"/>
        </w:r>
        <w:r>
          <w:rPr>
            <w:noProof/>
            <w:webHidden/>
          </w:rPr>
          <w:instrText xml:space="preserve"> PAGEREF _Toc111118507 \h </w:instrText>
        </w:r>
        <w:r>
          <w:rPr>
            <w:noProof/>
            <w:webHidden/>
          </w:rPr>
        </w:r>
        <w:r>
          <w:rPr>
            <w:noProof/>
            <w:webHidden/>
          </w:rPr>
          <w:fldChar w:fldCharType="separate"/>
        </w:r>
        <w:r>
          <w:rPr>
            <w:noProof/>
            <w:webHidden/>
          </w:rPr>
          <w:t>99</w:t>
        </w:r>
        <w:r>
          <w:rPr>
            <w:noProof/>
            <w:webHidden/>
          </w:rPr>
          <w:fldChar w:fldCharType="end"/>
        </w:r>
      </w:hyperlink>
    </w:p>
    <w:p w14:paraId="6CF81AC6" w14:textId="67FE5285" w:rsidR="00773299" w:rsidRDefault="00773299">
      <w:pPr>
        <w:pStyle w:val="Verzeichnis3"/>
        <w:rPr>
          <w:rFonts w:asciiTheme="minorHAnsi" w:eastAsiaTheme="minorEastAsia" w:hAnsiTheme="minorHAnsi" w:cstheme="minorBidi"/>
          <w:noProof/>
        </w:rPr>
      </w:pPr>
      <w:hyperlink w:anchor="_Toc111118508" w:history="1">
        <w:r w:rsidRPr="008F4F8A">
          <w:rPr>
            <w:rStyle w:val="Hyperlink"/>
            <w:noProof/>
          </w:rPr>
          <w:t>6.3.3</w:t>
        </w:r>
        <w:r>
          <w:rPr>
            <w:rFonts w:asciiTheme="minorHAnsi" w:eastAsiaTheme="minorEastAsia" w:hAnsiTheme="minorHAnsi" w:cstheme="minorBidi"/>
            <w:noProof/>
          </w:rPr>
          <w:tab/>
        </w:r>
        <w:r w:rsidRPr="008F4F8A">
          <w:rPr>
            <w:rStyle w:val="Hyperlink"/>
            <w:noProof/>
          </w:rPr>
          <w:t>Übertragung von Flexibilitäten für Biogasbilanzkreise</w:t>
        </w:r>
        <w:r>
          <w:rPr>
            <w:noProof/>
            <w:webHidden/>
          </w:rPr>
          <w:tab/>
        </w:r>
        <w:r>
          <w:rPr>
            <w:noProof/>
            <w:webHidden/>
          </w:rPr>
          <w:fldChar w:fldCharType="begin"/>
        </w:r>
        <w:r>
          <w:rPr>
            <w:noProof/>
            <w:webHidden/>
          </w:rPr>
          <w:instrText xml:space="preserve"> PAGEREF _Toc111118508 \h </w:instrText>
        </w:r>
        <w:r>
          <w:rPr>
            <w:noProof/>
            <w:webHidden/>
          </w:rPr>
        </w:r>
        <w:r>
          <w:rPr>
            <w:noProof/>
            <w:webHidden/>
          </w:rPr>
          <w:fldChar w:fldCharType="separate"/>
        </w:r>
        <w:r>
          <w:rPr>
            <w:noProof/>
            <w:webHidden/>
          </w:rPr>
          <w:t>99</w:t>
        </w:r>
        <w:r>
          <w:rPr>
            <w:noProof/>
            <w:webHidden/>
          </w:rPr>
          <w:fldChar w:fldCharType="end"/>
        </w:r>
      </w:hyperlink>
    </w:p>
    <w:p w14:paraId="05280D0D" w14:textId="4208CC0E" w:rsidR="00773299" w:rsidRDefault="00773299">
      <w:pPr>
        <w:pStyle w:val="Verzeichnis3"/>
        <w:rPr>
          <w:rFonts w:asciiTheme="minorHAnsi" w:eastAsiaTheme="minorEastAsia" w:hAnsiTheme="minorHAnsi" w:cstheme="minorBidi"/>
          <w:noProof/>
        </w:rPr>
      </w:pPr>
      <w:hyperlink w:anchor="_Toc111118509" w:history="1">
        <w:r w:rsidRPr="008F4F8A">
          <w:rPr>
            <w:rStyle w:val="Hyperlink"/>
            <w:noProof/>
          </w:rPr>
          <w:t>6.3.4</w:t>
        </w:r>
        <w:r>
          <w:rPr>
            <w:rFonts w:asciiTheme="minorHAnsi" w:eastAsiaTheme="minorEastAsia" w:hAnsiTheme="minorHAnsi" w:cstheme="minorBidi"/>
            <w:noProof/>
          </w:rPr>
          <w:tab/>
        </w:r>
        <w:r w:rsidRPr="008F4F8A">
          <w:rPr>
            <w:rStyle w:val="Hyperlink"/>
            <w:noProof/>
          </w:rPr>
          <w:t>Berechnung der absoluten Flexibilität für Biogasbilanzkreise</w:t>
        </w:r>
        <w:r>
          <w:rPr>
            <w:noProof/>
            <w:webHidden/>
          </w:rPr>
          <w:tab/>
        </w:r>
        <w:r>
          <w:rPr>
            <w:noProof/>
            <w:webHidden/>
          </w:rPr>
          <w:fldChar w:fldCharType="begin"/>
        </w:r>
        <w:r>
          <w:rPr>
            <w:noProof/>
            <w:webHidden/>
          </w:rPr>
          <w:instrText xml:space="preserve"> PAGEREF _Toc111118509 \h </w:instrText>
        </w:r>
        <w:r>
          <w:rPr>
            <w:noProof/>
            <w:webHidden/>
          </w:rPr>
        </w:r>
        <w:r>
          <w:rPr>
            <w:noProof/>
            <w:webHidden/>
          </w:rPr>
          <w:fldChar w:fldCharType="separate"/>
        </w:r>
        <w:r>
          <w:rPr>
            <w:noProof/>
            <w:webHidden/>
          </w:rPr>
          <w:t>100</w:t>
        </w:r>
        <w:r>
          <w:rPr>
            <w:noProof/>
            <w:webHidden/>
          </w:rPr>
          <w:fldChar w:fldCharType="end"/>
        </w:r>
      </w:hyperlink>
    </w:p>
    <w:p w14:paraId="6C896D95" w14:textId="333FED62" w:rsidR="00773299" w:rsidRDefault="00773299">
      <w:pPr>
        <w:pStyle w:val="Verzeichnis3"/>
        <w:rPr>
          <w:rFonts w:asciiTheme="minorHAnsi" w:eastAsiaTheme="minorEastAsia" w:hAnsiTheme="minorHAnsi" w:cstheme="minorBidi"/>
          <w:noProof/>
        </w:rPr>
      </w:pPr>
      <w:hyperlink w:anchor="_Toc111118510" w:history="1">
        <w:r w:rsidRPr="008F4F8A">
          <w:rPr>
            <w:rStyle w:val="Hyperlink"/>
            <w:noProof/>
          </w:rPr>
          <w:t>6.3.5</w:t>
        </w:r>
        <w:r>
          <w:rPr>
            <w:rFonts w:asciiTheme="minorHAnsi" w:eastAsiaTheme="minorEastAsia" w:hAnsiTheme="minorHAnsi" w:cstheme="minorBidi"/>
            <w:noProof/>
          </w:rPr>
          <w:tab/>
        </w:r>
        <w:r w:rsidRPr="008F4F8A">
          <w:rPr>
            <w:rStyle w:val="Hyperlink"/>
            <w:noProof/>
          </w:rPr>
          <w:t>Regeln der Flexibilitätsübertragung</w:t>
        </w:r>
        <w:r>
          <w:rPr>
            <w:noProof/>
            <w:webHidden/>
          </w:rPr>
          <w:tab/>
        </w:r>
        <w:r>
          <w:rPr>
            <w:noProof/>
            <w:webHidden/>
          </w:rPr>
          <w:fldChar w:fldCharType="begin"/>
        </w:r>
        <w:r>
          <w:rPr>
            <w:noProof/>
            <w:webHidden/>
          </w:rPr>
          <w:instrText xml:space="preserve"> PAGEREF _Toc111118510 \h </w:instrText>
        </w:r>
        <w:r>
          <w:rPr>
            <w:noProof/>
            <w:webHidden/>
          </w:rPr>
        </w:r>
        <w:r>
          <w:rPr>
            <w:noProof/>
            <w:webHidden/>
          </w:rPr>
          <w:fldChar w:fldCharType="separate"/>
        </w:r>
        <w:r>
          <w:rPr>
            <w:noProof/>
            <w:webHidden/>
          </w:rPr>
          <w:t>100</w:t>
        </w:r>
        <w:r>
          <w:rPr>
            <w:noProof/>
            <w:webHidden/>
          </w:rPr>
          <w:fldChar w:fldCharType="end"/>
        </w:r>
      </w:hyperlink>
    </w:p>
    <w:p w14:paraId="6F3DE05E" w14:textId="323F0D78" w:rsidR="00773299" w:rsidRDefault="00773299">
      <w:pPr>
        <w:pStyle w:val="Verzeichnis2"/>
        <w:rPr>
          <w:rFonts w:asciiTheme="minorHAnsi" w:hAnsiTheme="minorHAnsi"/>
        </w:rPr>
      </w:pPr>
      <w:hyperlink w:anchor="_Toc111118511" w:history="1">
        <w:r w:rsidRPr="008F4F8A">
          <w:rPr>
            <w:rStyle w:val="Hyperlink"/>
          </w:rPr>
          <w:t>6.4</w:t>
        </w:r>
        <w:r>
          <w:rPr>
            <w:rFonts w:asciiTheme="minorHAnsi" w:hAnsiTheme="minorHAnsi"/>
          </w:rPr>
          <w:tab/>
        </w:r>
        <w:r w:rsidRPr="008F4F8A">
          <w:rPr>
            <w:rStyle w:val="Hyperlink"/>
          </w:rPr>
          <w:t>Speicherung von Biogas</w:t>
        </w:r>
        <w:r>
          <w:rPr>
            <w:webHidden/>
          </w:rPr>
          <w:tab/>
        </w:r>
        <w:r>
          <w:rPr>
            <w:webHidden/>
          </w:rPr>
          <w:fldChar w:fldCharType="begin"/>
        </w:r>
        <w:r>
          <w:rPr>
            <w:webHidden/>
          </w:rPr>
          <w:instrText xml:space="preserve"> PAGEREF _Toc111118511 \h </w:instrText>
        </w:r>
        <w:r>
          <w:rPr>
            <w:webHidden/>
          </w:rPr>
        </w:r>
        <w:r>
          <w:rPr>
            <w:webHidden/>
          </w:rPr>
          <w:fldChar w:fldCharType="separate"/>
        </w:r>
        <w:r>
          <w:rPr>
            <w:webHidden/>
          </w:rPr>
          <w:t>102</w:t>
        </w:r>
        <w:r>
          <w:rPr>
            <w:webHidden/>
          </w:rPr>
          <w:fldChar w:fldCharType="end"/>
        </w:r>
      </w:hyperlink>
    </w:p>
    <w:p w14:paraId="33D55E13" w14:textId="2688EA15" w:rsidR="00773299" w:rsidRDefault="00773299">
      <w:pPr>
        <w:pStyle w:val="Verzeichnis1"/>
        <w:rPr>
          <w:rFonts w:asciiTheme="minorHAnsi" w:eastAsiaTheme="minorEastAsia" w:hAnsiTheme="minorHAnsi" w:cstheme="minorBidi"/>
        </w:rPr>
      </w:pPr>
      <w:hyperlink w:anchor="_Toc111118512" w:history="1">
        <w:r w:rsidRPr="008F4F8A">
          <w:rPr>
            <w:rStyle w:val="Hyperlink"/>
          </w:rPr>
          <w:t>7</w:t>
        </w:r>
        <w:r>
          <w:rPr>
            <w:rFonts w:asciiTheme="minorHAnsi" w:eastAsiaTheme="minorEastAsia" w:hAnsiTheme="minorHAnsi" w:cstheme="minorBidi"/>
          </w:rPr>
          <w:tab/>
        </w:r>
        <w:r w:rsidRPr="008F4F8A">
          <w:rPr>
            <w:rStyle w:val="Hyperlink"/>
          </w:rPr>
          <w:t>Konvertierung und Konvertierungsumlage</w:t>
        </w:r>
        <w:r>
          <w:rPr>
            <w:webHidden/>
          </w:rPr>
          <w:tab/>
        </w:r>
        <w:r>
          <w:rPr>
            <w:webHidden/>
          </w:rPr>
          <w:fldChar w:fldCharType="begin"/>
        </w:r>
        <w:r>
          <w:rPr>
            <w:webHidden/>
          </w:rPr>
          <w:instrText xml:space="preserve"> PAGEREF _Toc111118512 \h </w:instrText>
        </w:r>
        <w:r>
          <w:rPr>
            <w:webHidden/>
          </w:rPr>
        </w:r>
        <w:r>
          <w:rPr>
            <w:webHidden/>
          </w:rPr>
          <w:fldChar w:fldCharType="separate"/>
        </w:r>
        <w:r>
          <w:rPr>
            <w:webHidden/>
          </w:rPr>
          <w:t>104</w:t>
        </w:r>
        <w:r>
          <w:rPr>
            <w:webHidden/>
          </w:rPr>
          <w:fldChar w:fldCharType="end"/>
        </w:r>
      </w:hyperlink>
    </w:p>
    <w:p w14:paraId="1B86D659" w14:textId="5F561AD6" w:rsidR="00773299" w:rsidRDefault="00773299">
      <w:pPr>
        <w:pStyle w:val="Verzeichnis2"/>
        <w:rPr>
          <w:rFonts w:asciiTheme="minorHAnsi" w:hAnsiTheme="minorHAnsi"/>
        </w:rPr>
      </w:pPr>
      <w:hyperlink w:anchor="_Toc111118513" w:history="1">
        <w:r w:rsidRPr="008F4F8A">
          <w:rPr>
            <w:rStyle w:val="Hyperlink"/>
          </w:rPr>
          <w:t>7.1</w:t>
        </w:r>
        <w:r>
          <w:rPr>
            <w:rFonts w:asciiTheme="minorHAnsi" w:hAnsiTheme="minorHAnsi"/>
          </w:rPr>
          <w:tab/>
        </w:r>
        <w:r w:rsidRPr="008F4F8A">
          <w:rPr>
            <w:rStyle w:val="Hyperlink"/>
          </w:rPr>
          <w:t>Grundsätze der Konvertierung</w:t>
        </w:r>
        <w:r>
          <w:rPr>
            <w:webHidden/>
          </w:rPr>
          <w:tab/>
        </w:r>
        <w:r>
          <w:rPr>
            <w:webHidden/>
          </w:rPr>
          <w:fldChar w:fldCharType="begin"/>
        </w:r>
        <w:r>
          <w:rPr>
            <w:webHidden/>
          </w:rPr>
          <w:instrText xml:space="preserve"> PAGEREF _Toc111118513 \h </w:instrText>
        </w:r>
        <w:r>
          <w:rPr>
            <w:webHidden/>
          </w:rPr>
        </w:r>
        <w:r>
          <w:rPr>
            <w:webHidden/>
          </w:rPr>
          <w:fldChar w:fldCharType="separate"/>
        </w:r>
        <w:r>
          <w:rPr>
            <w:webHidden/>
          </w:rPr>
          <w:t>104</w:t>
        </w:r>
        <w:r>
          <w:rPr>
            <w:webHidden/>
          </w:rPr>
          <w:fldChar w:fldCharType="end"/>
        </w:r>
      </w:hyperlink>
    </w:p>
    <w:p w14:paraId="1ED9C6D6" w14:textId="46BC26FF" w:rsidR="00773299" w:rsidRDefault="00773299">
      <w:pPr>
        <w:pStyle w:val="Verzeichnis2"/>
        <w:rPr>
          <w:rFonts w:asciiTheme="minorHAnsi" w:hAnsiTheme="minorHAnsi"/>
        </w:rPr>
      </w:pPr>
      <w:hyperlink w:anchor="_Toc111118514" w:history="1">
        <w:r w:rsidRPr="008F4F8A">
          <w:rPr>
            <w:rStyle w:val="Hyperlink"/>
          </w:rPr>
          <w:t>7.2</w:t>
        </w:r>
        <w:r>
          <w:rPr>
            <w:rFonts w:asciiTheme="minorHAnsi" w:hAnsiTheme="minorHAnsi"/>
          </w:rPr>
          <w:tab/>
        </w:r>
        <w:r w:rsidRPr="008F4F8A">
          <w:rPr>
            <w:rStyle w:val="Hyperlink"/>
          </w:rPr>
          <w:t>Qualitätsübergreifende Bilanzierung Erdgas</w:t>
        </w:r>
        <w:r>
          <w:rPr>
            <w:webHidden/>
          </w:rPr>
          <w:tab/>
        </w:r>
        <w:r>
          <w:rPr>
            <w:webHidden/>
          </w:rPr>
          <w:fldChar w:fldCharType="begin"/>
        </w:r>
        <w:r>
          <w:rPr>
            <w:webHidden/>
          </w:rPr>
          <w:instrText xml:space="preserve"> PAGEREF _Toc111118514 \h </w:instrText>
        </w:r>
        <w:r>
          <w:rPr>
            <w:webHidden/>
          </w:rPr>
        </w:r>
        <w:r>
          <w:rPr>
            <w:webHidden/>
          </w:rPr>
          <w:fldChar w:fldCharType="separate"/>
        </w:r>
        <w:r>
          <w:rPr>
            <w:webHidden/>
          </w:rPr>
          <w:t>105</w:t>
        </w:r>
        <w:r>
          <w:rPr>
            <w:webHidden/>
          </w:rPr>
          <w:fldChar w:fldCharType="end"/>
        </w:r>
      </w:hyperlink>
    </w:p>
    <w:p w14:paraId="23ADC38E" w14:textId="48208BAA" w:rsidR="00773299" w:rsidRDefault="00773299">
      <w:pPr>
        <w:pStyle w:val="Verzeichnis2"/>
        <w:rPr>
          <w:rFonts w:asciiTheme="minorHAnsi" w:hAnsiTheme="minorHAnsi"/>
        </w:rPr>
      </w:pPr>
      <w:hyperlink w:anchor="_Toc111118515" w:history="1">
        <w:r w:rsidRPr="008F4F8A">
          <w:rPr>
            <w:rStyle w:val="Hyperlink"/>
          </w:rPr>
          <w:t>7.3</w:t>
        </w:r>
        <w:r>
          <w:rPr>
            <w:rFonts w:asciiTheme="minorHAnsi" w:hAnsiTheme="minorHAnsi"/>
          </w:rPr>
          <w:tab/>
        </w:r>
        <w:r w:rsidRPr="008F4F8A">
          <w:rPr>
            <w:rStyle w:val="Hyperlink"/>
          </w:rPr>
          <w:t>Untertägige Verpflichtung bei einer qualitätsübergreifenden Bilanzierung</w:t>
        </w:r>
        <w:r>
          <w:rPr>
            <w:webHidden/>
          </w:rPr>
          <w:tab/>
        </w:r>
        <w:r>
          <w:rPr>
            <w:webHidden/>
          </w:rPr>
          <w:fldChar w:fldCharType="begin"/>
        </w:r>
        <w:r>
          <w:rPr>
            <w:webHidden/>
          </w:rPr>
          <w:instrText xml:space="preserve"> PAGEREF _Toc111118515 \h </w:instrText>
        </w:r>
        <w:r>
          <w:rPr>
            <w:webHidden/>
          </w:rPr>
        </w:r>
        <w:r>
          <w:rPr>
            <w:webHidden/>
          </w:rPr>
          <w:fldChar w:fldCharType="separate"/>
        </w:r>
        <w:r>
          <w:rPr>
            <w:webHidden/>
          </w:rPr>
          <w:t>105</w:t>
        </w:r>
        <w:r>
          <w:rPr>
            <w:webHidden/>
          </w:rPr>
          <w:fldChar w:fldCharType="end"/>
        </w:r>
      </w:hyperlink>
    </w:p>
    <w:p w14:paraId="5C33E0D2" w14:textId="201ED5D2" w:rsidR="00773299" w:rsidRDefault="00773299">
      <w:pPr>
        <w:pStyle w:val="Verzeichnis2"/>
        <w:rPr>
          <w:rFonts w:asciiTheme="minorHAnsi" w:hAnsiTheme="minorHAnsi"/>
        </w:rPr>
      </w:pPr>
      <w:hyperlink w:anchor="_Toc111118516" w:history="1">
        <w:r w:rsidRPr="008F4F8A">
          <w:rPr>
            <w:rStyle w:val="Hyperlink"/>
          </w:rPr>
          <w:t>7.4</w:t>
        </w:r>
        <w:r>
          <w:rPr>
            <w:rFonts w:asciiTheme="minorHAnsi" w:hAnsiTheme="minorHAnsi"/>
          </w:rPr>
          <w:tab/>
        </w:r>
        <w:r w:rsidRPr="008F4F8A">
          <w:rPr>
            <w:rStyle w:val="Hyperlink"/>
          </w:rPr>
          <w:t>Berechnung und Abrechnung der Konvertierungsmenge in Erdgasbilanzkreisen</w:t>
        </w:r>
        <w:r>
          <w:rPr>
            <w:webHidden/>
          </w:rPr>
          <w:tab/>
        </w:r>
        <w:r>
          <w:rPr>
            <w:webHidden/>
          </w:rPr>
          <w:fldChar w:fldCharType="begin"/>
        </w:r>
        <w:r>
          <w:rPr>
            <w:webHidden/>
          </w:rPr>
          <w:instrText xml:space="preserve"> PAGEREF _Toc111118516 \h </w:instrText>
        </w:r>
        <w:r>
          <w:rPr>
            <w:webHidden/>
          </w:rPr>
        </w:r>
        <w:r>
          <w:rPr>
            <w:webHidden/>
          </w:rPr>
          <w:fldChar w:fldCharType="separate"/>
        </w:r>
        <w:r>
          <w:rPr>
            <w:webHidden/>
          </w:rPr>
          <w:t>105</w:t>
        </w:r>
        <w:r>
          <w:rPr>
            <w:webHidden/>
          </w:rPr>
          <w:fldChar w:fldCharType="end"/>
        </w:r>
      </w:hyperlink>
    </w:p>
    <w:p w14:paraId="4D44C802" w14:textId="5AEC20F1" w:rsidR="00773299" w:rsidRDefault="00773299">
      <w:pPr>
        <w:pStyle w:val="Verzeichnis2"/>
        <w:rPr>
          <w:rFonts w:asciiTheme="minorHAnsi" w:hAnsiTheme="minorHAnsi"/>
        </w:rPr>
      </w:pPr>
      <w:hyperlink w:anchor="_Toc111118517" w:history="1">
        <w:r w:rsidRPr="008F4F8A">
          <w:rPr>
            <w:rStyle w:val="Hyperlink"/>
          </w:rPr>
          <w:t>7.5</w:t>
        </w:r>
        <w:r>
          <w:rPr>
            <w:rFonts w:asciiTheme="minorHAnsi" w:hAnsiTheme="minorHAnsi"/>
          </w:rPr>
          <w:tab/>
        </w:r>
        <w:r w:rsidRPr="008F4F8A">
          <w:rPr>
            <w:rStyle w:val="Hyperlink"/>
          </w:rPr>
          <w:t>Konvertierungsentgelt in Biogasbilanzkreisen</w:t>
        </w:r>
        <w:r>
          <w:rPr>
            <w:webHidden/>
          </w:rPr>
          <w:tab/>
        </w:r>
        <w:r>
          <w:rPr>
            <w:webHidden/>
          </w:rPr>
          <w:fldChar w:fldCharType="begin"/>
        </w:r>
        <w:r>
          <w:rPr>
            <w:webHidden/>
          </w:rPr>
          <w:instrText xml:space="preserve"> PAGEREF _Toc111118517 \h </w:instrText>
        </w:r>
        <w:r>
          <w:rPr>
            <w:webHidden/>
          </w:rPr>
        </w:r>
        <w:r>
          <w:rPr>
            <w:webHidden/>
          </w:rPr>
          <w:fldChar w:fldCharType="separate"/>
        </w:r>
        <w:r>
          <w:rPr>
            <w:webHidden/>
          </w:rPr>
          <w:t>109</w:t>
        </w:r>
        <w:r>
          <w:rPr>
            <w:webHidden/>
          </w:rPr>
          <w:fldChar w:fldCharType="end"/>
        </w:r>
      </w:hyperlink>
    </w:p>
    <w:p w14:paraId="62B9C7E5" w14:textId="0AC8A1B8" w:rsidR="00773299" w:rsidRDefault="00773299">
      <w:pPr>
        <w:pStyle w:val="Verzeichnis2"/>
        <w:rPr>
          <w:rFonts w:asciiTheme="minorHAnsi" w:hAnsiTheme="minorHAnsi"/>
        </w:rPr>
      </w:pPr>
      <w:hyperlink w:anchor="_Toc111118518" w:history="1">
        <w:r w:rsidRPr="008F4F8A">
          <w:rPr>
            <w:rStyle w:val="Hyperlink"/>
          </w:rPr>
          <w:t>7.6</w:t>
        </w:r>
        <w:r>
          <w:rPr>
            <w:rFonts w:asciiTheme="minorHAnsi" w:hAnsiTheme="minorHAnsi"/>
          </w:rPr>
          <w:tab/>
        </w:r>
        <w:r w:rsidRPr="008F4F8A">
          <w:rPr>
            <w:rStyle w:val="Hyperlink"/>
          </w:rPr>
          <w:t>Konvertierungsumlage</w:t>
        </w:r>
        <w:r>
          <w:rPr>
            <w:webHidden/>
          </w:rPr>
          <w:tab/>
        </w:r>
        <w:r>
          <w:rPr>
            <w:webHidden/>
          </w:rPr>
          <w:fldChar w:fldCharType="begin"/>
        </w:r>
        <w:r>
          <w:rPr>
            <w:webHidden/>
          </w:rPr>
          <w:instrText xml:space="preserve"> PAGEREF _Toc111118518 \h </w:instrText>
        </w:r>
        <w:r>
          <w:rPr>
            <w:webHidden/>
          </w:rPr>
        </w:r>
        <w:r>
          <w:rPr>
            <w:webHidden/>
          </w:rPr>
          <w:fldChar w:fldCharType="separate"/>
        </w:r>
        <w:r>
          <w:rPr>
            <w:webHidden/>
          </w:rPr>
          <w:t>110</w:t>
        </w:r>
        <w:r>
          <w:rPr>
            <w:webHidden/>
          </w:rPr>
          <w:fldChar w:fldCharType="end"/>
        </w:r>
      </w:hyperlink>
    </w:p>
    <w:p w14:paraId="0C368DDC" w14:textId="76BAB205" w:rsidR="00773299" w:rsidRDefault="00773299">
      <w:pPr>
        <w:pStyle w:val="Verzeichnis1"/>
        <w:rPr>
          <w:rFonts w:asciiTheme="minorHAnsi" w:eastAsiaTheme="minorEastAsia" w:hAnsiTheme="minorHAnsi" w:cstheme="minorBidi"/>
        </w:rPr>
      </w:pPr>
      <w:hyperlink w:anchor="_Toc111118519" w:history="1">
        <w:r w:rsidRPr="008F4F8A">
          <w:rPr>
            <w:rStyle w:val="Hyperlink"/>
          </w:rPr>
          <w:t>8</w:t>
        </w:r>
        <w:r>
          <w:rPr>
            <w:rFonts w:asciiTheme="minorHAnsi" w:eastAsiaTheme="minorEastAsia" w:hAnsiTheme="minorHAnsi" w:cstheme="minorBidi"/>
          </w:rPr>
          <w:tab/>
        </w:r>
        <w:r w:rsidRPr="008F4F8A">
          <w:rPr>
            <w:rStyle w:val="Hyperlink"/>
          </w:rPr>
          <w:t>Allokationsclearing</w:t>
        </w:r>
        <w:r>
          <w:rPr>
            <w:webHidden/>
          </w:rPr>
          <w:tab/>
        </w:r>
        <w:r>
          <w:rPr>
            <w:webHidden/>
          </w:rPr>
          <w:fldChar w:fldCharType="begin"/>
        </w:r>
        <w:r>
          <w:rPr>
            <w:webHidden/>
          </w:rPr>
          <w:instrText xml:space="preserve"> PAGEREF _Toc111118519 \h </w:instrText>
        </w:r>
        <w:r>
          <w:rPr>
            <w:webHidden/>
          </w:rPr>
        </w:r>
        <w:r>
          <w:rPr>
            <w:webHidden/>
          </w:rPr>
          <w:fldChar w:fldCharType="separate"/>
        </w:r>
        <w:r>
          <w:rPr>
            <w:webHidden/>
          </w:rPr>
          <w:t>111</w:t>
        </w:r>
        <w:r>
          <w:rPr>
            <w:webHidden/>
          </w:rPr>
          <w:fldChar w:fldCharType="end"/>
        </w:r>
      </w:hyperlink>
    </w:p>
    <w:p w14:paraId="23ECF974" w14:textId="3DEC6F32" w:rsidR="00773299" w:rsidRDefault="00773299">
      <w:pPr>
        <w:pStyle w:val="Verzeichnis2"/>
        <w:rPr>
          <w:rFonts w:asciiTheme="minorHAnsi" w:hAnsiTheme="minorHAnsi"/>
        </w:rPr>
      </w:pPr>
      <w:hyperlink w:anchor="_Toc111118520" w:history="1">
        <w:r w:rsidRPr="008F4F8A">
          <w:rPr>
            <w:rStyle w:val="Hyperlink"/>
          </w:rPr>
          <w:t>8.1</w:t>
        </w:r>
        <w:r>
          <w:rPr>
            <w:rFonts w:asciiTheme="minorHAnsi" w:hAnsiTheme="minorHAnsi"/>
          </w:rPr>
          <w:tab/>
        </w:r>
        <w:r w:rsidRPr="008F4F8A">
          <w:rPr>
            <w:rStyle w:val="Hyperlink"/>
          </w:rPr>
          <w:t>Allokationsclearing SLP</w:t>
        </w:r>
        <w:r>
          <w:rPr>
            <w:webHidden/>
          </w:rPr>
          <w:tab/>
        </w:r>
        <w:r>
          <w:rPr>
            <w:webHidden/>
          </w:rPr>
          <w:fldChar w:fldCharType="begin"/>
        </w:r>
        <w:r>
          <w:rPr>
            <w:webHidden/>
          </w:rPr>
          <w:instrText xml:space="preserve"> PAGEREF _Toc111118520 \h </w:instrText>
        </w:r>
        <w:r>
          <w:rPr>
            <w:webHidden/>
          </w:rPr>
        </w:r>
        <w:r>
          <w:rPr>
            <w:webHidden/>
          </w:rPr>
          <w:fldChar w:fldCharType="separate"/>
        </w:r>
        <w:r>
          <w:rPr>
            <w:webHidden/>
          </w:rPr>
          <w:t>112</w:t>
        </w:r>
        <w:r>
          <w:rPr>
            <w:webHidden/>
          </w:rPr>
          <w:fldChar w:fldCharType="end"/>
        </w:r>
      </w:hyperlink>
    </w:p>
    <w:p w14:paraId="552AAA63" w14:textId="235D6714" w:rsidR="00773299" w:rsidRDefault="00773299">
      <w:pPr>
        <w:pStyle w:val="Verzeichnis3"/>
        <w:rPr>
          <w:rFonts w:asciiTheme="minorHAnsi" w:eastAsiaTheme="minorEastAsia" w:hAnsiTheme="minorHAnsi" w:cstheme="minorBidi"/>
          <w:noProof/>
        </w:rPr>
      </w:pPr>
      <w:hyperlink w:anchor="_Toc111118521" w:history="1">
        <w:r w:rsidRPr="008F4F8A">
          <w:rPr>
            <w:rStyle w:val="Hyperlink"/>
            <w:noProof/>
          </w:rPr>
          <w:t>8.1.1</w:t>
        </w:r>
        <w:r>
          <w:rPr>
            <w:rFonts w:asciiTheme="minorHAnsi" w:eastAsiaTheme="minorEastAsia" w:hAnsiTheme="minorHAnsi" w:cstheme="minorBidi"/>
            <w:noProof/>
          </w:rPr>
          <w:tab/>
        </w:r>
        <w:r w:rsidRPr="008F4F8A">
          <w:rPr>
            <w:rStyle w:val="Hyperlink"/>
            <w:noProof/>
          </w:rPr>
          <w:t>Abwicklung des Allokationsclearing SLP</w:t>
        </w:r>
        <w:r>
          <w:rPr>
            <w:noProof/>
            <w:webHidden/>
          </w:rPr>
          <w:tab/>
        </w:r>
        <w:r>
          <w:rPr>
            <w:noProof/>
            <w:webHidden/>
          </w:rPr>
          <w:fldChar w:fldCharType="begin"/>
        </w:r>
        <w:r>
          <w:rPr>
            <w:noProof/>
            <w:webHidden/>
          </w:rPr>
          <w:instrText xml:space="preserve"> PAGEREF _Toc111118521 \h </w:instrText>
        </w:r>
        <w:r>
          <w:rPr>
            <w:noProof/>
            <w:webHidden/>
          </w:rPr>
        </w:r>
        <w:r>
          <w:rPr>
            <w:noProof/>
            <w:webHidden/>
          </w:rPr>
          <w:fldChar w:fldCharType="separate"/>
        </w:r>
        <w:r>
          <w:rPr>
            <w:noProof/>
            <w:webHidden/>
          </w:rPr>
          <w:t>114</w:t>
        </w:r>
        <w:r>
          <w:rPr>
            <w:noProof/>
            <w:webHidden/>
          </w:rPr>
          <w:fldChar w:fldCharType="end"/>
        </w:r>
      </w:hyperlink>
    </w:p>
    <w:p w14:paraId="60D76A3C" w14:textId="2C260D4D" w:rsidR="00773299" w:rsidRDefault="00773299">
      <w:pPr>
        <w:pStyle w:val="Verzeichnis3"/>
        <w:rPr>
          <w:rFonts w:asciiTheme="minorHAnsi" w:eastAsiaTheme="minorEastAsia" w:hAnsiTheme="minorHAnsi" w:cstheme="minorBidi"/>
          <w:noProof/>
        </w:rPr>
      </w:pPr>
      <w:hyperlink w:anchor="_Toc111118522" w:history="1">
        <w:r w:rsidRPr="008F4F8A">
          <w:rPr>
            <w:rStyle w:val="Hyperlink"/>
            <w:noProof/>
          </w:rPr>
          <w:t>8.1.2</w:t>
        </w:r>
        <w:r>
          <w:rPr>
            <w:rFonts w:asciiTheme="minorHAnsi" w:eastAsiaTheme="minorEastAsia" w:hAnsiTheme="minorHAnsi" w:cstheme="minorBidi"/>
            <w:noProof/>
          </w:rPr>
          <w:tab/>
        </w:r>
        <w:r w:rsidRPr="008F4F8A">
          <w:rPr>
            <w:rStyle w:val="Hyperlink"/>
            <w:noProof/>
          </w:rPr>
          <w:t>SLP-Summenprüfung</w:t>
        </w:r>
        <w:r>
          <w:rPr>
            <w:noProof/>
            <w:webHidden/>
          </w:rPr>
          <w:tab/>
        </w:r>
        <w:r>
          <w:rPr>
            <w:noProof/>
            <w:webHidden/>
          </w:rPr>
          <w:fldChar w:fldCharType="begin"/>
        </w:r>
        <w:r>
          <w:rPr>
            <w:noProof/>
            <w:webHidden/>
          </w:rPr>
          <w:instrText xml:space="preserve"> PAGEREF _Toc111118522 \h </w:instrText>
        </w:r>
        <w:r>
          <w:rPr>
            <w:noProof/>
            <w:webHidden/>
          </w:rPr>
        </w:r>
        <w:r>
          <w:rPr>
            <w:noProof/>
            <w:webHidden/>
          </w:rPr>
          <w:fldChar w:fldCharType="separate"/>
        </w:r>
        <w:r>
          <w:rPr>
            <w:noProof/>
            <w:webHidden/>
          </w:rPr>
          <w:t>115</w:t>
        </w:r>
        <w:r>
          <w:rPr>
            <w:noProof/>
            <w:webHidden/>
          </w:rPr>
          <w:fldChar w:fldCharType="end"/>
        </w:r>
      </w:hyperlink>
    </w:p>
    <w:p w14:paraId="43136A92" w14:textId="10862CDC" w:rsidR="00773299" w:rsidRDefault="00773299">
      <w:pPr>
        <w:pStyle w:val="Verzeichnis2"/>
        <w:rPr>
          <w:rFonts w:asciiTheme="minorHAnsi" w:hAnsiTheme="minorHAnsi"/>
        </w:rPr>
      </w:pPr>
      <w:hyperlink w:anchor="_Toc111118523" w:history="1">
        <w:r w:rsidRPr="008F4F8A">
          <w:rPr>
            <w:rStyle w:val="Hyperlink"/>
          </w:rPr>
          <w:t>8.2</w:t>
        </w:r>
        <w:r>
          <w:rPr>
            <w:rFonts w:asciiTheme="minorHAnsi" w:hAnsiTheme="minorHAnsi"/>
          </w:rPr>
          <w:tab/>
        </w:r>
        <w:r w:rsidRPr="008F4F8A">
          <w:rPr>
            <w:rStyle w:val="Hyperlink"/>
          </w:rPr>
          <w:t>Allokationsclearing physischer Zeitreihentypen außer SLP</w:t>
        </w:r>
        <w:r>
          <w:rPr>
            <w:webHidden/>
          </w:rPr>
          <w:tab/>
        </w:r>
        <w:r>
          <w:rPr>
            <w:webHidden/>
          </w:rPr>
          <w:fldChar w:fldCharType="begin"/>
        </w:r>
        <w:r>
          <w:rPr>
            <w:webHidden/>
          </w:rPr>
          <w:instrText xml:space="preserve"> PAGEREF _Toc111118523 \h </w:instrText>
        </w:r>
        <w:r>
          <w:rPr>
            <w:webHidden/>
          </w:rPr>
        </w:r>
        <w:r>
          <w:rPr>
            <w:webHidden/>
          </w:rPr>
          <w:fldChar w:fldCharType="separate"/>
        </w:r>
        <w:r>
          <w:rPr>
            <w:webHidden/>
          </w:rPr>
          <w:t>116</w:t>
        </w:r>
        <w:r>
          <w:rPr>
            <w:webHidden/>
          </w:rPr>
          <w:fldChar w:fldCharType="end"/>
        </w:r>
      </w:hyperlink>
    </w:p>
    <w:p w14:paraId="5AEC36A8" w14:textId="348FBAAD" w:rsidR="00773299" w:rsidRDefault="00773299">
      <w:pPr>
        <w:pStyle w:val="Verzeichnis3"/>
        <w:rPr>
          <w:rFonts w:asciiTheme="minorHAnsi" w:eastAsiaTheme="minorEastAsia" w:hAnsiTheme="minorHAnsi" w:cstheme="minorBidi"/>
          <w:noProof/>
        </w:rPr>
      </w:pPr>
      <w:hyperlink w:anchor="_Toc111118524" w:history="1">
        <w:r w:rsidRPr="008F4F8A">
          <w:rPr>
            <w:rStyle w:val="Hyperlink"/>
            <w:noProof/>
          </w:rPr>
          <w:t>8.2.1</w:t>
        </w:r>
        <w:r>
          <w:rPr>
            <w:rFonts w:asciiTheme="minorHAnsi" w:eastAsiaTheme="minorEastAsia" w:hAnsiTheme="minorHAnsi" w:cstheme="minorBidi"/>
            <w:noProof/>
          </w:rPr>
          <w:tab/>
        </w:r>
        <w:r w:rsidRPr="008F4F8A">
          <w:rPr>
            <w:rStyle w:val="Hyperlink"/>
            <w:noProof/>
          </w:rPr>
          <w:t>Grundsätze für den Ablauf des Allokationsclearings physischer Zeitreihentypen außer SLP</w:t>
        </w:r>
        <w:r>
          <w:rPr>
            <w:noProof/>
            <w:webHidden/>
          </w:rPr>
          <w:tab/>
        </w:r>
        <w:r>
          <w:rPr>
            <w:noProof/>
            <w:webHidden/>
          </w:rPr>
          <w:fldChar w:fldCharType="begin"/>
        </w:r>
        <w:r>
          <w:rPr>
            <w:noProof/>
            <w:webHidden/>
          </w:rPr>
          <w:instrText xml:space="preserve"> PAGEREF _Toc111118524 \h </w:instrText>
        </w:r>
        <w:r>
          <w:rPr>
            <w:noProof/>
            <w:webHidden/>
          </w:rPr>
        </w:r>
        <w:r>
          <w:rPr>
            <w:noProof/>
            <w:webHidden/>
          </w:rPr>
          <w:fldChar w:fldCharType="separate"/>
        </w:r>
        <w:r>
          <w:rPr>
            <w:noProof/>
            <w:webHidden/>
          </w:rPr>
          <w:t>116</w:t>
        </w:r>
        <w:r>
          <w:rPr>
            <w:noProof/>
            <w:webHidden/>
          </w:rPr>
          <w:fldChar w:fldCharType="end"/>
        </w:r>
      </w:hyperlink>
    </w:p>
    <w:p w14:paraId="32F9C025" w14:textId="3552283F" w:rsidR="00773299" w:rsidRDefault="00773299">
      <w:pPr>
        <w:pStyle w:val="Verzeichnis3"/>
        <w:rPr>
          <w:rFonts w:asciiTheme="minorHAnsi" w:eastAsiaTheme="minorEastAsia" w:hAnsiTheme="minorHAnsi" w:cstheme="minorBidi"/>
          <w:noProof/>
        </w:rPr>
      </w:pPr>
      <w:hyperlink w:anchor="_Toc111118525" w:history="1">
        <w:r w:rsidRPr="008F4F8A">
          <w:rPr>
            <w:rStyle w:val="Hyperlink"/>
            <w:noProof/>
          </w:rPr>
          <w:t>8.2.2</w:t>
        </w:r>
        <w:r>
          <w:rPr>
            <w:rFonts w:asciiTheme="minorHAnsi" w:eastAsiaTheme="minorEastAsia" w:hAnsiTheme="minorHAnsi" w:cstheme="minorBidi"/>
            <w:noProof/>
          </w:rPr>
          <w:tab/>
        </w:r>
        <w:r w:rsidRPr="008F4F8A">
          <w:rPr>
            <w:rStyle w:val="Hyperlink"/>
            <w:noProof/>
          </w:rPr>
          <w:t>Gründe für ein Allokationsclearing physischer Zeitreihentypen außer SLP</w:t>
        </w:r>
        <w:r>
          <w:rPr>
            <w:noProof/>
            <w:webHidden/>
          </w:rPr>
          <w:tab/>
        </w:r>
        <w:r>
          <w:rPr>
            <w:noProof/>
            <w:webHidden/>
          </w:rPr>
          <w:fldChar w:fldCharType="begin"/>
        </w:r>
        <w:r>
          <w:rPr>
            <w:noProof/>
            <w:webHidden/>
          </w:rPr>
          <w:instrText xml:space="preserve"> PAGEREF _Toc111118525 \h </w:instrText>
        </w:r>
        <w:r>
          <w:rPr>
            <w:noProof/>
            <w:webHidden/>
          </w:rPr>
        </w:r>
        <w:r>
          <w:rPr>
            <w:noProof/>
            <w:webHidden/>
          </w:rPr>
          <w:fldChar w:fldCharType="separate"/>
        </w:r>
        <w:r>
          <w:rPr>
            <w:noProof/>
            <w:webHidden/>
          </w:rPr>
          <w:t>116</w:t>
        </w:r>
        <w:r>
          <w:rPr>
            <w:noProof/>
            <w:webHidden/>
          </w:rPr>
          <w:fldChar w:fldCharType="end"/>
        </w:r>
      </w:hyperlink>
    </w:p>
    <w:p w14:paraId="324D219C" w14:textId="5FC83DD7" w:rsidR="00773299" w:rsidRDefault="00773299">
      <w:pPr>
        <w:pStyle w:val="Verzeichnis3"/>
        <w:rPr>
          <w:rFonts w:asciiTheme="minorHAnsi" w:eastAsiaTheme="minorEastAsia" w:hAnsiTheme="minorHAnsi" w:cstheme="minorBidi"/>
          <w:noProof/>
        </w:rPr>
      </w:pPr>
      <w:hyperlink w:anchor="_Toc111118526" w:history="1">
        <w:r w:rsidRPr="008F4F8A">
          <w:rPr>
            <w:rStyle w:val="Hyperlink"/>
            <w:noProof/>
          </w:rPr>
          <w:t>8.2.3</w:t>
        </w:r>
        <w:r>
          <w:rPr>
            <w:rFonts w:asciiTheme="minorHAnsi" w:eastAsiaTheme="minorEastAsia" w:hAnsiTheme="minorHAnsi" w:cstheme="minorBidi"/>
            <w:noProof/>
          </w:rPr>
          <w:tab/>
        </w:r>
        <w:r w:rsidRPr="008F4F8A">
          <w:rPr>
            <w:rStyle w:val="Hyperlink"/>
            <w:noProof/>
          </w:rPr>
          <w:t>Gründe für ein Allokationsclearing an nominierten physischen Ein- bzw. Ausspeisepunkten</w:t>
        </w:r>
        <w:r>
          <w:rPr>
            <w:noProof/>
            <w:webHidden/>
          </w:rPr>
          <w:tab/>
        </w:r>
        <w:r>
          <w:rPr>
            <w:noProof/>
            <w:webHidden/>
          </w:rPr>
          <w:fldChar w:fldCharType="begin"/>
        </w:r>
        <w:r>
          <w:rPr>
            <w:noProof/>
            <w:webHidden/>
          </w:rPr>
          <w:instrText xml:space="preserve"> PAGEREF _Toc111118526 \h </w:instrText>
        </w:r>
        <w:r>
          <w:rPr>
            <w:noProof/>
            <w:webHidden/>
          </w:rPr>
        </w:r>
        <w:r>
          <w:rPr>
            <w:noProof/>
            <w:webHidden/>
          </w:rPr>
          <w:fldChar w:fldCharType="separate"/>
        </w:r>
        <w:r>
          <w:rPr>
            <w:noProof/>
            <w:webHidden/>
          </w:rPr>
          <w:t>118</w:t>
        </w:r>
        <w:r>
          <w:rPr>
            <w:noProof/>
            <w:webHidden/>
          </w:rPr>
          <w:fldChar w:fldCharType="end"/>
        </w:r>
      </w:hyperlink>
    </w:p>
    <w:p w14:paraId="540F332A" w14:textId="1467426C" w:rsidR="00773299" w:rsidRDefault="00773299">
      <w:pPr>
        <w:pStyle w:val="Verzeichnis3"/>
        <w:rPr>
          <w:rFonts w:asciiTheme="minorHAnsi" w:eastAsiaTheme="minorEastAsia" w:hAnsiTheme="minorHAnsi" w:cstheme="minorBidi"/>
          <w:noProof/>
        </w:rPr>
      </w:pPr>
      <w:hyperlink w:anchor="_Toc111118527" w:history="1">
        <w:r w:rsidRPr="008F4F8A">
          <w:rPr>
            <w:rStyle w:val="Hyperlink"/>
            <w:noProof/>
          </w:rPr>
          <w:t>8.2.4</w:t>
        </w:r>
        <w:r>
          <w:rPr>
            <w:rFonts w:asciiTheme="minorHAnsi" w:eastAsiaTheme="minorEastAsia" w:hAnsiTheme="minorHAnsi" w:cstheme="minorBidi"/>
            <w:noProof/>
          </w:rPr>
          <w:tab/>
        </w:r>
        <w:r w:rsidRPr="008F4F8A">
          <w:rPr>
            <w:rStyle w:val="Hyperlink"/>
            <w:noProof/>
          </w:rPr>
          <w:t>Abwicklung des Allokationsclearings physischer Zeitreihentypen außer SLP</w:t>
        </w:r>
        <w:r>
          <w:rPr>
            <w:noProof/>
            <w:webHidden/>
          </w:rPr>
          <w:tab/>
        </w:r>
        <w:r>
          <w:rPr>
            <w:noProof/>
            <w:webHidden/>
          </w:rPr>
          <w:fldChar w:fldCharType="begin"/>
        </w:r>
        <w:r>
          <w:rPr>
            <w:noProof/>
            <w:webHidden/>
          </w:rPr>
          <w:instrText xml:space="preserve"> PAGEREF _Toc111118527 \h </w:instrText>
        </w:r>
        <w:r>
          <w:rPr>
            <w:noProof/>
            <w:webHidden/>
          </w:rPr>
        </w:r>
        <w:r>
          <w:rPr>
            <w:noProof/>
            <w:webHidden/>
          </w:rPr>
          <w:fldChar w:fldCharType="separate"/>
        </w:r>
        <w:r>
          <w:rPr>
            <w:noProof/>
            <w:webHidden/>
          </w:rPr>
          <w:t>118</w:t>
        </w:r>
        <w:r>
          <w:rPr>
            <w:noProof/>
            <w:webHidden/>
          </w:rPr>
          <w:fldChar w:fldCharType="end"/>
        </w:r>
      </w:hyperlink>
    </w:p>
    <w:p w14:paraId="662AB5C3" w14:textId="7689E665" w:rsidR="00773299" w:rsidRDefault="00773299">
      <w:pPr>
        <w:pStyle w:val="Verzeichnis4"/>
        <w:rPr>
          <w:rFonts w:asciiTheme="minorHAnsi" w:eastAsiaTheme="minorEastAsia" w:hAnsiTheme="minorHAnsi" w:cstheme="minorBidi"/>
          <w:noProof/>
        </w:rPr>
      </w:pPr>
      <w:hyperlink w:anchor="_Toc111118528" w:history="1">
        <w:r w:rsidRPr="008F4F8A">
          <w:rPr>
            <w:rStyle w:val="Hyperlink"/>
            <w:noProof/>
          </w:rPr>
          <w:t>8.2.4.1</w:t>
        </w:r>
        <w:r>
          <w:rPr>
            <w:rFonts w:asciiTheme="minorHAnsi" w:eastAsiaTheme="minorEastAsia" w:hAnsiTheme="minorHAnsi" w:cstheme="minorBidi"/>
            <w:noProof/>
          </w:rPr>
          <w:tab/>
        </w:r>
        <w:r w:rsidRPr="008F4F8A">
          <w:rPr>
            <w:rStyle w:val="Hyperlink"/>
            <w:noProof/>
          </w:rPr>
          <w:t>Abwicklung mit BKV-Clearingnummer (für RLM-Zeitreihen, Entry-Zeitreihen und Exitso)</w:t>
        </w:r>
        <w:r>
          <w:rPr>
            <w:noProof/>
            <w:webHidden/>
          </w:rPr>
          <w:tab/>
        </w:r>
        <w:r>
          <w:rPr>
            <w:noProof/>
            <w:webHidden/>
          </w:rPr>
          <w:fldChar w:fldCharType="begin"/>
        </w:r>
        <w:r>
          <w:rPr>
            <w:noProof/>
            <w:webHidden/>
          </w:rPr>
          <w:instrText xml:space="preserve"> PAGEREF _Toc111118528 \h </w:instrText>
        </w:r>
        <w:r>
          <w:rPr>
            <w:noProof/>
            <w:webHidden/>
          </w:rPr>
        </w:r>
        <w:r>
          <w:rPr>
            <w:noProof/>
            <w:webHidden/>
          </w:rPr>
          <w:fldChar w:fldCharType="separate"/>
        </w:r>
        <w:r>
          <w:rPr>
            <w:noProof/>
            <w:webHidden/>
          </w:rPr>
          <w:t>119</w:t>
        </w:r>
        <w:r>
          <w:rPr>
            <w:noProof/>
            <w:webHidden/>
          </w:rPr>
          <w:fldChar w:fldCharType="end"/>
        </w:r>
      </w:hyperlink>
    </w:p>
    <w:p w14:paraId="0F8BDC13" w14:textId="4929D403" w:rsidR="00773299" w:rsidRDefault="00773299">
      <w:pPr>
        <w:pStyle w:val="Verzeichnis4"/>
        <w:rPr>
          <w:rFonts w:asciiTheme="minorHAnsi" w:eastAsiaTheme="minorEastAsia" w:hAnsiTheme="minorHAnsi" w:cstheme="minorBidi"/>
          <w:noProof/>
        </w:rPr>
      </w:pPr>
      <w:hyperlink w:anchor="_Toc111118529" w:history="1">
        <w:r w:rsidRPr="008F4F8A">
          <w:rPr>
            <w:rStyle w:val="Hyperlink"/>
            <w:noProof/>
          </w:rPr>
          <w:t>8.2.4.2</w:t>
        </w:r>
        <w:r>
          <w:rPr>
            <w:rFonts w:asciiTheme="minorHAnsi" w:eastAsiaTheme="minorEastAsia" w:hAnsiTheme="minorHAnsi" w:cstheme="minorBidi"/>
            <w:noProof/>
          </w:rPr>
          <w:tab/>
        </w:r>
        <w:r w:rsidRPr="008F4F8A">
          <w:rPr>
            <w:rStyle w:val="Hyperlink"/>
            <w:noProof/>
          </w:rPr>
          <w:t>Abwicklung mit NB-Clearingnummer (für RLM-Zeitreihen)</w:t>
        </w:r>
        <w:r>
          <w:rPr>
            <w:noProof/>
            <w:webHidden/>
          </w:rPr>
          <w:tab/>
        </w:r>
        <w:r>
          <w:rPr>
            <w:noProof/>
            <w:webHidden/>
          </w:rPr>
          <w:fldChar w:fldCharType="begin"/>
        </w:r>
        <w:r>
          <w:rPr>
            <w:noProof/>
            <w:webHidden/>
          </w:rPr>
          <w:instrText xml:space="preserve"> PAGEREF _Toc111118529 \h </w:instrText>
        </w:r>
        <w:r>
          <w:rPr>
            <w:noProof/>
            <w:webHidden/>
          </w:rPr>
        </w:r>
        <w:r>
          <w:rPr>
            <w:noProof/>
            <w:webHidden/>
          </w:rPr>
          <w:fldChar w:fldCharType="separate"/>
        </w:r>
        <w:r>
          <w:rPr>
            <w:noProof/>
            <w:webHidden/>
          </w:rPr>
          <w:t>120</w:t>
        </w:r>
        <w:r>
          <w:rPr>
            <w:noProof/>
            <w:webHidden/>
          </w:rPr>
          <w:fldChar w:fldCharType="end"/>
        </w:r>
      </w:hyperlink>
    </w:p>
    <w:p w14:paraId="03867D67" w14:textId="7DCC53AF" w:rsidR="00773299" w:rsidRDefault="00773299">
      <w:pPr>
        <w:pStyle w:val="Verzeichnis2"/>
        <w:rPr>
          <w:rFonts w:asciiTheme="minorHAnsi" w:hAnsiTheme="minorHAnsi"/>
        </w:rPr>
      </w:pPr>
      <w:hyperlink w:anchor="_Toc111118530" w:history="1">
        <w:r w:rsidRPr="008F4F8A">
          <w:rPr>
            <w:rStyle w:val="Hyperlink"/>
          </w:rPr>
          <w:t>8.3</w:t>
        </w:r>
        <w:r>
          <w:rPr>
            <w:rFonts w:asciiTheme="minorHAnsi" w:hAnsiTheme="minorHAnsi"/>
          </w:rPr>
          <w:tab/>
        </w:r>
        <w:r w:rsidRPr="008F4F8A">
          <w:rPr>
            <w:rStyle w:val="Hyperlink"/>
          </w:rPr>
          <w:t>Nachträgliche Allokationskorrektur</w:t>
        </w:r>
        <w:r>
          <w:rPr>
            <w:webHidden/>
          </w:rPr>
          <w:tab/>
        </w:r>
        <w:r>
          <w:rPr>
            <w:webHidden/>
          </w:rPr>
          <w:fldChar w:fldCharType="begin"/>
        </w:r>
        <w:r>
          <w:rPr>
            <w:webHidden/>
          </w:rPr>
          <w:instrText xml:space="preserve"> PAGEREF _Toc111118530 \h </w:instrText>
        </w:r>
        <w:r>
          <w:rPr>
            <w:webHidden/>
          </w:rPr>
        </w:r>
        <w:r>
          <w:rPr>
            <w:webHidden/>
          </w:rPr>
          <w:fldChar w:fldCharType="separate"/>
        </w:r>
        <w:r>
          <w:rPr>
            <w:webHidden/>
          </w:rPr>
          <w:t>121</w:t>
        </w:r>
        <w:r>
          <w:rPr>
            <w:webHidden/>
          </w:rPr>
          <w:fldChar w:fldCharType="end"/>
        </w:r>
      </w:hyperlink>
    </w:p>
    <w:p w14:paraId="59858A3E" w14:textId="30524541" w:rsidR="00773299" w:rsidRDefault="00773299">
      <w:pPr>
        <w:pStyle w:val="Verzeichnis2"/>
        <w:rPr>
          <w:rFonts w:asciiTheme="minorHAnsi" w:hAnsiTheme="minorHAnsi"/>
        </w:rPr>
      </w:pPr>
      <w:hyperlink w:anchor="_Toc111118531" w:history="1">
        <w:r w:rsidRPr="008F4F8A">
          <w:rPr>
            <w:rStyle w:val="Hyperlink"/>
          </w:rPr>
          <w:t>8.4</w:t>
        </w:r>
        <w:r>
          <w:rPr>
            <w:rFonts w:asciiTheme="minorHAnsi" w:hAnsiTheme="minorHAnsi"/>
          </w:rPr>
          <w:tab/>
        </w:r>
        <w:r w:rsidRPr="008F4F8A">
          <w:rPr>
            <w:rStyle w:val="Hyperlink"/>
          </w:rPr>
          <w:t>Clearing der Zeitreihentypen „Entry NKP“ und „Entry Flüssiggas“</w:t>
        </w:r>
        <w:r>
          <w:rPr>
            <w:webHidden/>
          </w:rPr>
          <w:tab/>
        </w:r>
        <w:r>
          <w:rPr>
            <w:webHidden/>
          </w:rPr>
          <w:fldChar w:fldCharType="begin"/>
        </w:r>
        <w:r>
          <w:rPr>
            <w:webHidden/>
          </w:rPr>
          <w:instrText xml:space="preserve"> PAGEREF _Toc111118531 \h </w:instrText>
        </w:r>
        <w:r>
          <w:rPr>
            <w:webHidden/>
          </w:rPr>
        </w:r>
        <w:r>
          <w:rPr>
            <w:webHidden/>
          </w:rPr>
          <w:fldChar w:fldCharType="separate"/>
        </w:r>
        <w:r>
          <w:rPr>
            <w:webHidden/>
          </w:rPr>
          <w:t>122</w:t>
        </w:r>
        <w:r>
          <w:rPr>
            <w:webHidden/>
          </w:rPr>
          <w:fldChar w:fldCharType="end"/>
        </w:r>
      </w:hyperlink>
    </w:p>
    <w:p w14:paraId="731564B5" w14:textId="02CE9138" w:rsidR="00773299" w:rsidRDefault="00773299">
      <w:pPr>
        <w:pStyle w:val="Verzeichnis1"/>
        <w:rPr>
          <w:rFonts w:asciiTheme="minorHAnsi" w:eastAsiaTheme="minorEastAsia" w:hAnsiTheme="minorHAnsi" w:cstheme="minorBidi"/>
        </w:rPr>
      </w:pPr>
      <w:hyperlink w:anchor="_Toc111118532" w:history="1">
        <w:r w:rsidRPr="008F4F8A">
          <w:rPr>
            <w:rStyle w:val="Hyperlink"/>
          </w:rPr>
          <w:t>9</w:t>
        </w:r>
        <w:r>
          <w:rPr>
            <w:rFonts w:asciiTheme="minorHAnsi" w:eastAsiaTheme="minorEastAsia" w:hAnsiTheme="minorHAnsi" w:cstheme="minorBidi"/>
          </w:rPr>
          <w:tab/>
        </w:r>
        <w:r w:rsidRPr="008F4F8A">
          <w:rPr>
            <w:rStyle w:val="Hyperlink"/>
          </w:rPr>
          <w:t>Abrechnung von Bilanzkreisverträgen</w:t>
        </w:r>
        <w:r>
          <w:rPr>
            <w:webHidden/>
          </w:rPr>
          <w:tab/>
        </w:r>
        <w:r>
          <w:rPr>
            <w:webHidden/>
          </w:rPr>
          <w:fldChar w:fldCharType="begin"/>
        </w:r>
        <w:r>
          <w:rPr>
            <w:webHidden/>
          </w:rPr>
          <w:instrText xml:space="preserve"> PAGEREF _Toc111118532 \h </w:instrText>
        </w:r>
        <w:r>
          <w:rPr>
            <w:webHidden/>
          </w:rPr>
        </w:r>
        <w:r>
          <w:rPr>
            <w:webHidden/>
          </w:rPr>
          <w:fldChar w:fldCharType="separate"/>
        </w:r>
        <w:r>
          <w:rPr>
            <w:webHidden/>
          </w:rPr>
          <w:t>123</w:t>
        </w:r>
        <w:r>
          <w:rPr>
            <w:webHidden/>
          </w:rPr>
          <w:fldChar w:fldCharType="end"/>
        </w:r>
      </w:hyperlink>
    </w:p>
    <w:p w14:paraId="16C55B15" w14:textId="3279384A" w:rsidR="00773299" w:rsidRDefault="00773299">
      <w:pPr>
        <w:pStyle w:val="Verzeichnis2"/>
        <w:rPr>
          <w:rFonts w:asciiTheme="minorHAnsi" w:hAnsiTheme="minorHAnsi"/>
        </w:rPr>
      </w:pPr>
      <w:hyperlink w:anchor="_Toc111118533" w:history="1">
        <w:r w:rsidRPr="008F4F8A">
          <w:rPr>
            <w:rStyle w:val="Hyperlink"/>
          </w:rPr>
          <w:t>9.1</w:t>
        </w:r>
        <w:r>
          <w:rPr>
            <w:rFonts w:asciiTheme="minorHAnsi" w:hAnsiTheme="minorHAnsi"/>
          </w:rPr>
          <w:tab/>
        </w:r>
        <w:r w:rsidRPr="008F4F8A">
          <w:rPr>
            <w:rStyle w:val="Hyperlink"/>
          </w:rPr>
          <w:t>Grundsätze der Bilanzkreisabrechnung</w:t>
        </w:r>
        <w:r>
          <w:rPr>
            <w:webHidden/>
          </w:rPr>
          <w:tab/>
        </w:r>
        <w:r>
          <w:rPr>
            <w:webHidden/>
          </w:rPr>
          <w:fldChar w:fldCharType="begin"/>
        </w:r>
        <w:r>
          <w:rPr>
            <w:webHidden/>
          </w:rPr>
          <w:instrText xml:space="preserve"> PAGEREF _Toc111118533 \h </w:instrText>
        </w:r>
        <w:r>
          <w:rPr>
            <w:webHidden/>
          </w:rPr>
        </w:r>
        <w:r>
          <w:rPr>
            <w:webHidden/>
          </w:rPr>
          <w:fldChar w:fldCharType="separate"/>
        </w:r>
        <w:r>
          <w:rPr>
            <w:webHidden/>
          </w:rPr>
          <w:t>123</w:t>
        </w:r>
        <w:r>
          <w:rPr>
            <w:webHidden/>
          </w:rPr>
          <w:fldChar w:fldCharType="end"/>
        </w:r>
      </w:hyperlink>
    </w:p>
    <w:p w14:paraId="2C43FAB0" w14:textId="3E87ED37" w:rsidR="00773299" w:rsidRDefault="00773299">
      <w:pPr>
        <w:pStyle w:val="Verzeichnis3"/>
        <w:rPr>
          <w:rFonts w:asciiTheme="minorHAnsi" w:eastAsiaTheme="minorEastAsia" w:hAnsiTheme="minorHAnsi" w:cstheme="minorBidi"/>
          <w:noProof/>
        </w:rPr>
      </w:pPr>
      <w:hyperlink w:anchor="_Toc111118534" w:history="1">
        <w:r w:rsidRPr="008F4F8A">
          <w:rPr>
            <w:rStyle w:val="Hyperlink"/>
            <w:noProof/>
          </w:rPr>
          <w:t>9.1.1</w:t>
        </w:r>
        <w:r>
          <w:rPr>
            <w:rFonts w:asciiTheme="minorHAnsi" w:eastAsiaTheme="minorEastAsia" w:hAnsiTheme="minorHAnsi" w:cstheme="minorBidi"/>
            <w:noProof/>
          </w:rPr>
          <w:tab/>
        </w:r>
        <w:r w:rsidRPr="008F4F8A">
          <w:rPr>
            <w:rStyle w:val="Hyperlink"/>
            <w:noProof/>
          </w:rPr>
          <w:t>Mindestinhalte Abrechnung Bilanzkreisvertrag und Abschlagsrechnung auf die SLP- sowie die RLM-Bilanzie-rungsumlage</w:t>
        </w:r>
        <w:r>
          <w:rPr>
            <w:noProof/>
            <w:webHidden/>
          </w:rPr>
          <w:tab/>
        </w:r>
        <w:r>
          <w:rPr>
            <w:noProof/>
            <w:webHidden/>
          </w:rPr>
          <w:fldChar w:fldCharType="begin"/>
        </w:r>
        <w:r>
          <w:rPr>
            <w:noProof/>
            <w:webHidden/>
          </w:rPr>
          <w:instrText xml:space="preserve"> PAGEREF _Toc111118534 \h </w:instrText>
        </w:r>
        <w:r>
          <w:rPr>
            <w:noProof/>
            <w:webHidden/>
          </w:rPr>
        </w:r>
        <w:r>
          <w:rPr>
            <w:noProof/>
            <w:webHidden/>
          </w:rPr>
          <w:fldChar w:fldCharType="separate"/>
        </w:r>
        <w:r>
          <w:rPr>
            <w:noProof/>
            <w:webHidden/>
          </w:rPr>
          <w:t>124</w:t>
        </w:r>
        <w:r>
          <w:rPr>
            <w:noProof/>
            <w:webHidden/>
          </w:rPr>
          <w:fldChar w:fldCharType="end"/>
        </w:r>
      </w:hyperlink>
    </w:p>
    <w:p w14:paraId="46F50568" w14:textId="0BD98733" w:rsidR="00773299" w:rsidRDefault="00773299">
      <w:pPr>
        <w:pStyle w:val="Verzeichnis3"/>
        <w:rPr>
          <w:rFonts w:asciiTheme="minorHAnsi" w:eastAsiaTheme="minorEastAsia" w:hAnsiTheme="minorHAnsi" w:cstheme="minorBidi"/>
          <w:noProof/>
        </w:rPr>
      </w:pPr>
      <w:hyperlink w:anchor="_Toc111118535" w:history="1">
        <w:r w:rsidRPr="008F4F8A">
          <w:rPr>
            <w:rStyle w:val="Hyperlink"/>
            <w:noProof/>
          </w:rPr>
          <w:t>9.1.2</w:t>
        </w:r>
        <w:r>
          <w:rPr>
            <w:rFonts w:asciiTheme="minorHAnsi" w:eastAsiaTheme="minorEastAsia" w:hAnsiTheme="minorHAnsi" w:cstheme="minorBidi"/>
            <w:noProof/>
          </w:rPr>
          <w:tab/>
        </w:r>
        <w:r w:rsidRPr="008F4F8A">
          <w:rPr>
            <w:rStyle w:val="Hyperlink"/>
            <w:noProof/>
          </w:rPr>
          <w:t>Mindestinhalte Abrechnung von Entgelten für die Nutzung des Virtuellen Handelspunktes</w:t>
        </w:r>
        <w:r>
          <w:rPr>
            <w:noProof/>
            <w:webHidden/>
          </w:rPr>
          <w:tab/>
        </w:r>
        <w:r>
          <w:rPr>
            <w:noProof/>
            <w:webHidden/>
          </w:rPr>
          <w:fldChar w:fldCharType="begin"/>
        </w:r>
        <w:r>
          <w:rPr>
            <w:noProof/>
            <w:webHidden/>
          </w:rPr>
          <w:instrText xml:space="preserve"> PAGEREF _Toc111118535 \h </w:instrText>
        </w:r>
        <w:r>
          <w:rPr>
            <w:noProof/>
            <w:webHidden/>
          </w:rPr>
        </w:r>
        <w:r>
          <w:rPr>
            <w:noProof/>
            <w:webHidden/>
          </w:rPr>
          <w:fldChar w:fldCharType="separate"/>
        </w:r>
        <w:r>
          <w:rPr>
            <w:noProof/>
            <w:webHidden/>
          </w:rPr>
          <w:t>126</w:t>
        </w:r>
        <w:r>
          <w:rPr>
            <w:noProof/>
            <w:webHidden/>
          </w:rPr>
          <w:fldChar w:fldCharType="end"/>
        </w:r>
      </w:hyperlink>
    </w:p>
    <w:p w14:paraId="40DD4DF5" w14:textId="0CF43144" w:rsidR="00773299" w:rsidRDefault="00773299">
      <w:pPr>
        <w:pStyle w:val="Verzeichnis3"/>
        <w:rPr>
          <w:rFonts w:asciiTheme="minorHAnsi" w:eastAsiaTheme="minorEastAsia" w:hAnsiTheme="minorHAnsi" w:cstheme="minorBidi"/>
          <w:noProof/>
        </w:rPr>
      </w:pPr>
      <w:hyperlink w:anchor="_Toc111118536" w:history="1">
        <w:r w:rsidRPr="008F4F8A">
          <w:rPr>
            <w:rStyle w:val="Hyperlink"/>
            <w:noProof/>
          </w:rPr>
          <w:t>9.1.3</w:t>
        </w:r>
        <w:r>
          <w:rPr>
            <w:rFonts w:asciiTheme="minorHAnsi" w:eastAsiaTheme="minorEastAsia" w:hAnsiTheme="minorHAnsi" w:cstheme="minorBidi"/>
            <w:noProof/>
          </w:rPr>
          <w:tab/>
        </w:r>
        <w:r w:rsidRPr="008F4F8A">
          <w:rPr>
            <w:rStyle w:val="Hyperlink"/>
            <w:noProof/>
          </w:rPr>
          <w:t>Mindestinhalte Abrechnung SLP-, RLM-Bilanzierungsumlage sowie Konvertierungsumlage für BKV, die am Direktzahlungsmodell teilnehmen</w:t>
        </w:r>
        <w:r>
          <w:rPr>
            <w:noProof/>
            <w:webHidden/>
          </w:rPr>
          <w:tab/>
        </w:r>
        <w:r>
          <w:rPr>
            <w:noProof/>
            <w:webHidden/>
          </w:rPr>
          <w:fldChar w:fldCharType="begin"/>
        </w:r>
        <w:r>
          <w:rPr>
            <w:noProof/>
            <w:webHidden/>
          </w:rPr>
          <w:instrText xml:space="preserve"> PAGEREF _Toc111118536 \h </w:instrText>
        </w:r>
        <w:r>
          <w:rPr>
            <w:noProof/>
            <w:webHidden/>
          </w:rPr>
        </w:r>
        <w:r>
          <w:rPr>
            <w:noProof/>
            <w:webHidden/>
          </w:rPr>
          <w:fldChar w:fldCharType="separate"/>
        </w:r>
        <w:r>
          <w:rPr>
            <w:noProof/>
            <w:webHidden/>
          </w:rPr>
          <w:t>127</w:t>
        </w:r>
        <w:r>
          <w:rPr>
            <w:noProof/>
            <w:webHidden/>
          </w:rPr>
          <w:fldChar w:fldCharType="end"/>
        </w:r>
      </w:hyperlink>
    </w:p>
    <w:p w14:paraId="05048E6B" w14:textId="632B7EFB" w:rsidR="00773299" w:rsidRDefault="00773299">
      <w:pPr>
        <w:pStyle w:val="Verzeichnis2"/>
        <w:rPr>
          <w:rFonts w:asciiTheme="minorHAnsi" w:hAnsiTheme="minorHAnsi"/>
        </w:rPr>
      </w:pPr>
      <w:hyperlink w:anchor="_Toc111118537" w:history="1">
        <w:r w:rsidRPr="008F4F8A">
          <w:rPr>
            <w:rStyle w:val="Hyperlink"/>
          </w:rPr>
          <w:t>9.2</w:t>
        </w:r>
        <w:r>
          <w:rPr>
            <w:rFonts w:asciiTheme="minorHAnsi" w:hAnsiTheme="minorHAnsi"/>
          </w:rPr>
          <w:tab/>
        </w:r>
        <w:r w:rsidRPr="008F4F8A">
          <w:rPr>
            <w:rStyle w:val="Hyperlink"/>
          </w:rPr>
          <w:t>RLM-Differenzmengenabrechnung</w:t>
        </w:r>
        <w:r>
          <w:rPr>
            <w:webHidden/>
          </w:rPr>
          <w:tab/>
        </w:r>
        <w:r>
          <w:rPr>
            <w:webHidden/>
          </w:rPr>
          <w:fldChar w:fldCharType="begin"/>
        </w:r>
        <w:r>
          <w:rPr>
            <w:webHidden/>
          </w:rPr>
          <w:instrText xml:space="preserve"> PAGEREF _Toc111118537 \h </w:instrText>
        </w:r>
        <w:r>
          <w:rPr>
            <w:webHidden/>
          </w:rPr>
        </w:r>
        <w:r>
          <w:rPr>
            <w:webHidden/>
          </w:rPr>
          <w:fldChar w:fldCharType="separate"/>
        </w:r>
        <w:r>
          <w:rPr>
            <w:webHidden/>
          </w:rPr>
          <w:t>129</w:t>
        </w:r>
        <w:r>
          <w:rPr>
            <w:webHidden/>
          </w:rPr>
          <w:fldChar w:fldCharType="end"/>
        </w:r>
      </w:hyperlink>
    </w:p>
    <w:p w14:paraId="1AD84D41" w14:textId="3B375BFE" w:rsidR="00773299" w:rsidRDefault="00773299">
      <w:pPr>
        <w:pStyle w:val="Verzeichnis2"/>
        <w:rPr>
          <w:rFonts w:asciiTheme="minorHAnsi" w:hAnsiTheme="minorHAnsi"/>
        </w:rPr>
      </w:pPr>
      <w:hyperlink w:anchor="_Toc111118538" w:history="1">
        <w:r w:rsidRPr="008F4F8A">
          <w:rPr>
            <w:rStyle w:val="Hyperlink"/>
          </w:rPr>
          <w:t>9.3</w:t>
        </w:r>
        <w:r>
          <w:rPr>
            <w:rFonts w:asciiTheme="minorHAnsi" w:hAnsiTheme="minorHAnsi"/>
          </w:rPr>
          <w:tab/>
        </w:r>
        <w:r w:rsidRPr="008F4F8A">
          <w:rPr>
            <w:rStyle w:val="Hyperlink"/>
          </w:rPr>
          <w:t>Abrechnung Biogasbilanzkreise</w:t>
        </w:r>
        <w:r>
          <w:rPr>
            <w:webHidden/>
          </w:rPr>
          <w:tab/>
        </w:r>
        <w:r>
          <w:rPr>
            <w:webHidden/>
          </w:rPr>
          <w:fldChar w:fldCharType="begin"/>
        </w:r>
        <w:r>
          <w:rPr>
            <w:webHidden/>
          </w:rPr>
          <w:instrText xml:space="preserve"> PAGEREF _Toc111118538 \h </w:instrText>
        </w:r>
        <w:r>
          <w:rPr>
            <w:webHidden/>
          </w:rPr>
        </w:r>
        <w:r>
          <w:rPr>
            <w:webHidden/>
          </w:rPr>
          <w:fldChar w:fldCharType="separate"/>
        </w:r>
        <w:r>
          <w:rPr>
            <w:webHidden/>
          </w:rPr>
          <w:t>129</w:t>
        </w:r>
        <w:r>
          <w:rPr>
            <w:webHidden/>
          </w:rPr>
          <w:fldChar w:fldCharType="end"/>
        </w:r>
      </w:hyperlink>
    </w:p>
    <w:p w14:paraId="77187ACC" w14:textId="7C821098" w:rsidR="00773299" w:rsidRDefault="00773299">
      <w:pPr>
        <w:pStyle w:val="Verzeichnis3"/>
        <w:rPr>
          <w:rFonts w:asciiTheme="minorHAnsi" w:eastAsiaTheme="minorEastAsia" w:hAnsiTheme="minorHAnsi" w:cstheme="minorBidi"/>
          <w:noProof/>
        </w:rPr>
      </w:pPr>
      <w:hyperlink w:anchor="_Toc111118539" w:history="1">
        <w:r w:rsidRPr="008F4F8A">
          <w:rPr>
            <w:rStyle w:val="Hyperlink"/>
            <w:noProof/>
          </w:rPr>
          <w:t>9.3.1</w:t>
        </w:r>
        <w:r>
          <w:rPr>
            <w:rFonts w:asciiTheme="minorHAnsi" w:eastAsiaTheme="minorEastAsia" w:hAnsiTheme="minorHAnsi" w:cstheme="minorBidi"/>
            <w:noProof/>
          </w:rPr>
          <w:tab/>
        </w:r>
        <w:r w:rsidRPr="008F4F8A">
          <w:rPr>
            <w:rStyle w:val="Hyperlink"/>
            <w:noProof/>
          </w:rPr>
          <w:t>Abrechnung der tatsächlich in Anspruch genommenen Flexibilität bei Biogasbilanzkreisen</w:t>
        </w:r>
        <w:r>
          <w:rPr>
            <w:noProof/>
            <w:webHidden/>
          </w:rPr>
          <w:tab/>
        </w:r>
        <w:r>
          <w:rPr>
            <w:noProof/>
            <w:webHidden/>
          </w:rPr>
          <w:fldChar w:fldCharType="begin"/>
        </w:r>
        <w:r>
          <w:rPr>
            <w:noProof/>
            <w:webHidden/>
          </w:rPr>
          <w:instrText xml:space="preserve"> PAGEREF _Toc111118539 \h </w:instrText>
        </w:r>
        <w:r>
          <w:rPr>
            <w:noProof/>
            <w:webHidden/>
          </w:rPr>
        </w:r>
        <w:r>
          <w:rPr>
            <w:noProof/>
            <w:webHidden/>
          </w:rPr>
          <w:fldChar w:fldCharType="separate"/>
        </w:r>
        <w:r>
          <w:rPr>
            <w:noProof/>
            <w:webHidden/>
          </w:rPr>
          <w:t>129</w:t>
        </w:r>
        <w:r>
          <w:rPr>
            <w:noProof/>
            <w:webHidden/>
          </w:rPr>
          <w:fldChar w:fldCharType="end"/>
        </w:r>
      </w:hyperlink>
    </w:p>
    <w:p w14:paraId="012BC931" w14:textId="76FE8A8F" w:rsidR="00773299" w:rsidRDefault="00773299">
      <w:pPr>
        <w:pStyle w:val="Verzeichnis3"/>
        <w:rPr>
          <w:rFonts w:asciiTheme="minorHAnsi" w:eastAsiaTheme="minorEastAsia" w:hAnsiTheme="minorHAnsi" w:cstheme="minorBidi"/>
          <w:noProof/>
        </w:rPr>
      </w:pPr>
      <w:hyperlink w:anchor="_Toc111118540" w:history="1">
        <w:r w:rsidRPr="008F4F8A">
          <w:rPr>
            <w:rStyle w:val="Hyperlink"/>
            <w:noProof/>
          </w:rPr>
          <w:t>9.3.2</w:t>
        </w:r>
        <w:r>
          <w:rPr>
            <w:rFonts w:asciiTheme="minorHAnsi" w:eastAsiaTheme="minorEastAsia" w:hAnsiTheme="minorHAnsi" w:cstheme="minorBidi"/>
            <w:noProof/>
          </w:rPr>
          <w:tab/>
        </w:r>
        <w:r w:rsidRPr="008F4F8A">
          <w:rPr>
            <w:rStyle w:val="Hyperlink"/>
            <w:noProof/>
          </w:rPr>
          <w:t>Abrechnung von Biogas-Differenzmengen außerhalb des Flexibilitätsrahmens eines Biogasbilanzkreises (Ausgleichsenergie)</w:t>
        </w:r>
        <w:r>
          <w:rPr>
            <w:noProof/>
            <w:webHidden/>
          </w:rPr>
          <w:tab/>
        </w:r>
        <w:r>
          <w:rPr>
            <w:noProof/>
            <w:webHidden/>
          </w:rPr>
          <w:fldChar w:fldCharType="begin"/>
        </w:r>
        <w:r>
          <w:rPr>
            <w:noProof/>
            <w:webHidden/>
          </w:rPr>
          <w:instrText xml:space="preserve"> PAGEREF _Toc111118540 \h </w:instrText>
        </w:r>
        <w:r>
          <w:rPr>
            <w:noProof/>
            <w:webHidden/>
          </w:rPr>
        </w:r>
        <w:r>
          <w:rPr>
            <w:noProof/>
            <w:webHidden/>
          </w:rPr>
          <w:fldChar w:fldCharType="separate"/>
        </w:r>
        <w:r>
          <w:rPr>
            <w:noProof/>
            <w:webHidden/>
          </w:rPr>
          <w:t>130</w:t>
        </w:r>
        <w:r>
          <w:rPr>
            <w:noProof/>
            <w:webHidden/>
          </w:rPr>
          <w:fldChar w:fldCharType="end"/>
        </w:r>
      </w:hyperlink>
    </w:p>
    <w:p w14:paraId="07D211A1" w14:textId="5632EA8F" w:rsidR="00773299" w:rsidRDefault="00773299">
      <w:pPr>
        <w:pStyle w:val="Verzeichnis3"/>
        <w:rPr>
          <w:rFonts w:asciiTheme="minorHAnsi" w:eastAsiaTheme="minorEastAsia" w:hAnsiTheme="minorHAnsi" w:cstheme="minorBidi"/>
          <w:noProof/>
        </w:rPr>
      </w:pPr>
      <w:hyperlink w:anchor="_Toc111118541" w:history="1">
        <w:r w:rsidRPr="008F4F8A">
          <w:rPr>
            <w:rStyle w:val="Hyperlink"/>
            <w:noProof/>
          </w:rPr>
          <w:t>9.3.3</w:t>
        </w:r>
        <w:r>
          <w:rPr>
            <w:rFonts w:asciiTheme="minorHAnsi" w:eastAsiaTheme="minorEastAsia" w:hAnsiTheme="minorHAnsi" w:cstheme="minorBidi"/>
            <w:noProof/>
          </w:rPr>
          <w:tab/>
        </w:r>
        <w:r w:rsidRPr="008F4F8A">
          <w:rPr>
            <w:rStyle w:val="Hyperlink"/>
            <w:noProof/>
          </w:rPr>
          <w:t>Übertragung oder Abrechnung von Salden am Ende des Bilanzierungszeitraums bei Biogasbilanzkreisen</w:t>
        </w:r>
        <w:r>
          <w:rPr>
            <w:noProof/>
            <w:webHidden/>
          </w:rPr>
          <w:tab/>
        </w:r>
        <w:r>
          <w:rPr>
            <w:noProof/>
            <w:webHidden/>
          </w:rPr>
          <w:fldChar w:fldCharType="begin"/>
        </w:r>
        <w:r>
          <w:rPr>
            <w:noProof/>
            <w:webHidden/>
          </w:rPr>
          <w:instrText xml:space="preserve"> PAGEREF _Toc111118541 \h </w:instrText>
        </w:r>
        <w:r>
          <w:rPr>
            <w:noProof/>
            <w:webHidden/>
          </w:rPr>
        </w:r>
        <w:r>
          <w:rPr>
            <w:noProof/>
            <w:webHidden/>
          </w:rPr>
          <w:fldChar w:fldCharType="separate"/>
        </w:r>
        <w:r>
          <w:rPr>
            <w:noProof/>
            <w:webHidden/>
          </w:rPr>
          <w:t>135</w:t>
        </w:r>
        <w:r>
          <w:rPr>
            <w:noProof/>
            <w:webHidden/>
          </w:rPr>
          <w:fldChar w:fldCharType="end"/>
        </w:r>
      </w:hyperlink>
    </w:p>
    <w:p w14:paraId="20FB0324" w14:textId="66AFC094" w:rsidR="00773299" w:rsidRDefault="00773299">
      <w:pPr>
        <w:pStyle w:val="Verzeichnis3"/>
        <w:rPr>
          <w:rFonts w:asciiTheme="minorHAnsi" w:eastAsiaTheme="minorEastAsia" w:hAnsiTheme="minorHAnsi" w:cstheme="minorBidi"/>
          <w:noProof/>
        </w:rPr>
      </w:pPr>
      <w:hyperlink w:anchor="_Toc111118542" w:history="1">
        <w:r w:rsidRPr="008F4F8A">
          <w:rPr>
            <w:rStyle w:val="Hyperlink"/>
            <w:noProof/>
          </w:rPr>
          <w:t>9.3.4</w:t>
        </w:r>
        <w:r>
          <w:rPr>
            <w:rFonts w:asciiTheme="minorHAnsi" w:eastAsiaTheme="minorEastAsia" w:hAnsiTheme="minorHAnsi" w:cstheme="minorBidi"/>
            <w:noProof/>
          </w:rPr>
          <w:tab/>
        </w:r>
        <w:r w:rsidRPr="008F4F8A">
          <w:rPr>
            <w:rStyle w:val="Hyperlink"/>
            <w:noProof/>
          </w:rPr>
          <w:t>Rechnungserstellung für Überschreitungsmengen bei Biogasbilanzkreisen</w:t>
        </w:r>
        <w:r>
          <w:rPr>
            <w:noProof/>
            <w:webHidden/>
          </w:rPr>
          <w:tab/>
        </w:r>
        <w:r>
          <w:rPr>
            <w:noProof/>
            <w:webHidden/>
          </w:rPr>
          <w:fldChar w:fldCharType="begin"/>
        </w:r>
        <w:r>
          <w:rPr>
            <w:noProof/>
            <w:webHidden/>
          </w:rPr>
          <w:instrText xml:space="preserve"> PAGEREF _Toc111118542 \h </w:instrText>
        </w:r>
        <w:r>
          <w:rPr>
            <w:noProof/>
            <w:webHidden/>
          </w:rPr>
        </w:r>
        <w:r>
          <w:rPr>
            <w:noProof/>
            <w:webHidden/>
          </w:rPr>
          <w:fldChar w:fldCharType="separate"/>
        </w:r>
        <w:r>
          <w:rPr>
            <w:noProof/>
            <w:webHidden/>
          </w:rPr>
          <w:t>136</w:t>
        </w:r>
        <w:r>
          <w:rPr>
            <w:noProof/>
            <w:webHidden/>
          </w:rPr>
          <w:fldChar w:fldCharType="end"/>
        </w:r>
      </w:hyperlink>
    </w:p>
    <w:p w14:paraId="58B43D27" w14:textId="5C64235B" w:rsidR="00773299" w:rsidRDefault="00773299">
      <w:pPr>
        <w:pStyle w:val="Verzeichnis2"/>
        <w:rPr>
          <w:rFonts w:asciiTheme="minorHAnsi" w:hAnsiTheme="minorHAnsi"/>
        </w:rPr>
      </w:pPr>
      <w:hyperlink w:anchor="_Toc111118543" w:history="1">
        <w:r w:rsidRPr="008F4F8A">
          <w:rPr>
            <w:rStyle w:val="Hyperlink"/>
          </w:rPr>
          <w:t>9.4</w:t>
        </w:r>
        <w:r>
          <w:rPr>
            <w:rFonts w:asciiTheme="minorHAnsi" w:hAnsiTheme="minorHAnsi"/>
          </w:rPr>
          <w:tab/>
        </w:r>
        <w:r w:rsidRPr="008F4F8A">
          <w:rPr>
            <w:rStyle w:val="Hyperlink"/>
          </w:rPr>
          <w:t>Grundsätze zur Abrechnung der Speicherumlage</w:t>
        </w:r>
        <w:r>
          <w:rPr>
            <w:webHidden/>
          </w:rPr>
          <w:tab/>
        </w:r>
        <w:r>
          <w:rPr>
            <w:webHidden/>
          </w:rPr>
          <w:fldChar w:fldCharType="begin"/>
        </w:r>
        <w:r>
          <w:rPr>
            <w:webHidden/>
          </w:rPr>
          <w:instrText xml:space="preserve"> PAGEREF _Toc111118543 \h </w:instrText>
        </w:r>
        <w:r>
          <w:rPr>
            <w:webHidden/>
          </w:rPr>
        </w:r>
        <w:r>
          <w:rPr>
            <w:webHidden/>
          </w:rPr>
          <w:fldChar w:fldCharType="separate"/>
        </w:r>
        <w:r>
          <w:rPr>
            <w:webHidden/>
          </w:rPr>
          <w:t>136</w:t>
        </w:r>
        <w:r>
          <w:rPr>
            <w:webHidden/>
          </w:rPr>
          <w:fldChar w:fldCharType="end"/>
        </w:r>
      </w:hyperlink>
    </w:p>
    <w:p w14:paraId="159AE4CA" w14:textId="4BE5258F" w:rsidR="00773299" w:rsidRDefault="00773299">
      <w:pPr>
        <w:pStyle w:val="Verzeichnis2"/>
        <w:rPr>
          <w:rFonts w:asciiTheme="minorHAnsi" w:hAnsiTheme="minorHAnsi"/>
        </w:rPr>
      </w:pPr>
      <w:hyperlink w:anchor="_Toc111118544" w:history="1">
        <w:r w:rsidRPr="008F4F8A">
          <w:rPr>
            <w:rStyle w:val="Hyperlink"/>
          </w:rPr>
          <w:t>9.5</w:t>
        </w:r>
        <w:r>
          <w:rPr>
            <w:rFonts w:asciiTheme="minorHAnsi" w:hAnsiTheme="minorHAnsi"/>
          </w:rPr>
          <w:tab/>
        </w:r>
        <w:r w:rsidRPr="008F4F8A">
          <w:rPr>
            <w:rStyle w:val="Hyperlink"/>
          </w:rPr>
          <w:t>Abwicklung von außerordentlichen Kündigungen von Bilanzkreisen</w:t>
        </w:r>
        <w:r>
          <w:rPr>
            <w:webHidden/>
          </w:rPr>
          <w:tab/>
        </w:r>
        <w:r>
          <w:rPr>
            <w:webHidden/>
          </w:rPr>
          <w:fldChar w:fldCharType="begin"/>
        </w:r>
        <w:r>
          <w:rPr>
            <w:webHidden/>
          </w:rPr>
          <w:instrText xml:space="preserve"> PAGEREF _Toc111118544 \h </w:instrText>
        </w:r>
        <w:r>
          <w:rPr>
            <w:webHidden/>
          </w:rPr>
        </w:r>
        <w:r>
          <w:rPr>
            <w:webHidden/>
          </w:rPr>
          <w:fldChar w:fldCharType="separate"/>
        </w:r>
        <w:r>
          <w:rPr>
            <w:webHidden/>
          </w:rPr>
          <w:t>139</w:t>
        </w:r>
        <w:r>
          <w:rPr>
            <w:webHidden/>
          </w:rPr>
          <w:fldChar w:fldCharType="end"/>
        </w:r>
      </w:hyperlink>
    </w:p>
    <w:p w14:paraId="7247CC7B" w14:textId="0D86E050" w:rsidR="00773299" w:rsidRDefault="00773299">
      <w:pPr>
        <w:pStyle w:val="Verzeichnis1"/>
        <w:rPr>
          <w:rFonts w:asciiTheme="minorHAnsi" w:eastAsiaTheme="minorEastAsia" w:hAnsiTheme="minorHAnsi" w:cstheme="minorBidi"/>
        </w:rPr>
      </w:pPr>
      <w:hyperlink w:anchor="_Toc111118545" w:history="1">
        <w:r w:rsidRPr="008F4F8A">
          <w:rPr>
            <w:rStyle w:val="Hyperlink"/>
          </w:rPr>
          <w:t>10</w:t>
        </w:r>
        <w:r>
          <w:rPr>
            <w:rFonts w:asciiTheme="minorHAnsi" w:eastAsiaTheme="minorEastAsia" w:hAnsiTheme="minorHAnsi" w:cstheme="minorBidi"/>
          </w:rPr>
          <w:tab/>
        </w:r>
        <w:r w:rsidRPr="008F4F8A">
          <w:rPr>
            <w:rStyle w:val="Hyperlink"/>
          </w:rPr>
          <w:t>Mehr-/Mindermengenabrechnung</w:t>
        </w:r>
        <w:r>
          <w:rPr>
            <w:webHidden/>
          </w:rPr>
          <w:tab/>
        </w:r>
        <w:r>
          <w:rPr>
            <w:webHidden/>
          </w:rPr>
          <w:fldChar w:fldCharType="begin"/>
        </w:r>
        <w:r>
          <w:rPr>
            <w:webHidden/>
          </w:rPr>
          <w:instrText xml:space="preserve"> PAGEREF _Toc111118545 \h </w:instrText>
        </w:r>
        <w:r>
          <w:rPr>
            <w:webHidden/>
          </w:rPr>
        </w:r>
        <w:r>
          <w:rPr>
            <w:webHidden/>
          </w:rPr>
          <w:fldChar w:fldCharType="separate"/>
        </w:r>
        <w:r>
          <w:rPr>
            <w:webHidden/>
          </w:rPr>
          <w:t>140</w:t>
        </w:r>
        <w:r>
          <w:rPr>
            <w:webHidden/>
          </w:rPr>
          <w:fldChar w:fldCharType="end"/>
        </w:r>
      </w:hyperlink>
    </w:p>
    <w:p w14:paraId="477C863D" w14:textId="5815208C" w:rsidR="00773299" w:rsidRDefault="00773299">
      <w:pPr>
        <w:pStyle w:val="Verzeichnis2"/>
        <w:rPr>
          <w:rFonts w:asciiTheme="minorHAnsi" w:hAnsiTheme="minorHAnsi"/>
        </w:rPr>
      </w:pPr>
      <w:hyperlink w:anchor="_Toc111118546" w:history="1">
        <w:r w:rsidRPr="008F4F8A">
          <w:rPr>
            <w:rStyle w:val="Hyperlink"/>
          </w:rPr>
          <w:t>10.1</w:t>
        </w:r>
        <w:r>
          <w:rPr>
            <w:rFonts w:asciiTheme="minorHAnsi" w:hAnsiTheme="minorHAnsi"/>
          </w:rPr>
          <w:tab/>
        </w:r>
        <w:r w:rsidRPr="008F4F8A">
          <w:rPr>
            <w:rStyle w:val="Hyperlink"/>
          </w:rPr>
          <w:t>Vorbemerkung</w:t>
        </w:r>
        <w:r>
          <w:rPr>
            <w:webHidden/>
          </w:rPr>
          <w:tab/>
        </w:r>
        <w:r>
          <w:rPr>
            <w:webHidden/>
          </w:rPr>
          <w:fldChar w:fldCharType="begin"/>
        </w:r>
        <w:r>
          <w:rPr>
            <w:webHidden/>
          </w:rPr>
          <w:instrText xml:space="preserve"> PAGEREF _Toc111118546 \h </w:instrText>
        </w:r>
        <w:r>
          <w:rPr>
            <w:webHidden/>
          </w:rPr>
        </w:r>
        <w:r>
          <w:rPr>
            <w:webHidden/>
          </w:rPr>
          <w:fldChar w:fldCharType="separate"/>
        </w:r>
        <w:r>
          <w:rPr>
            <w:webHidden/>
          </w:rPr>
          <w:t>140</w:t>
        </w:r>
        <w:r>
          <w:rPr>
            <w:webHidden/>
          </w:rPr>
          <w:fldChar w:fldCharType="end"/>
        </w:r>
      </w:hyperlink>
    </w:p>
    <w:p w14:paraId="0F36C03C" w14:textId="2CBE0387" w:rsidR="00773299" w:rsidRDefault="00773299">
      <w:pPr>
        <w:pStyle w:val="Verzeichnis2"/>
        <w:rPr>
          <w:rFonts w:asciiTheme="minorHAnsi" w:hAnsiTheme="minorHAnsi"/>
        </w:rPr>
      </w:pPr>
      <w:hyperlink w:anchor="_Toc111118547" w:history="1">
        <w:r w:rsidRPr="008F4F8A">
          <w:rPr>
            <w:rStyle w:val="Hyperlink"/>
          </w:rPr>
          <w:t>10.2</w:t>
        </w:r>
        <w:r>
          <w:rPr>
            <w:rFonts w:asciiTheme="minorHAnsi" w:hAnsiTheme="minorHAnsi"/>
          </w:rPr>
          <w:tab/>
        </w:r>
        <w:r w:rsidRPr="008F4F8A">
          <w:rPr>
            <w:rStyle w:val="Hyperlink"/>
          </w:rPr>
          <w:t>Beteiligte Marktpartner und Definitionen</w:t>
        </w:r>
        <w:r>
          <w:rPr>
            <w:webHidden/>
          </w:rPr>
          <w:tab/>
        </w:r>
        <w:r>
          <w:rPr>
            <w:webHidden/>
          </w:rPr>
          <w:fldChar w:fldCharType="begin"/>
        </w:r>
        <w:r>
          <w:rPr>
            <w:webHidden/>
          </w:rPr>
          <w:instrText xml:space="preserve"> PAGEREF _Toc111118547 \h </w:instrText>
        </w:r>
        <w:r>
          <w:rPr>
            <w:webHidden/>
          </w:rPr>
        </w:r>
        <w:r>
          <w:rPr>
            <w:webHidden/>
          </w:rPr>
          <w:fldChar w:fldCharType="separate"/>
        </w:r>
        <w:r>
          <w:rPr>
            <w:webHidden/>
          </w:rPr>
          <w:t>140</w:t>
        </w:r>
        <w:r>
          <w:rPr>
            <w:webHidden/>
          </w:rPr>
          <w:fldChar w:fldCharType="end"/>
        </w:r>
      </w:hyperlink>
    </w:p>
    <w:p w14:paraId="42796AC1" w14:textId="1D7EA04C" w:rsidR="00773299" w:rsidRDefault="00773299">
      <w:pPr>
        <w:pStyle w:val="Verzeichnis2"/>
        <w:rPr>
          <w:rFonts w:asciiTheme="minorHAnsi" w:hAnsiTheme="minorHAnsi"/>
        </w:rPr>
      </w:pPr>
      <w:hyperlink w:anchor="_Toc111118548" w:history="1">
        <w:r w:rsidRPr="008F4F8A">
          <w:rPr>
            <w:rStyle w:val="Hyperlink"/>
          </w:rPr>
          <w:t>10.3</w:t>
        </w:r>
        <w:r>
          <w:rPr>
            <w:rFonts w:asciiTheme="minorHAnsi" w:hAnsiTheme="minorHAnsi"/>
          </w:rPr>
          <w:tab/>
        </w:r>
        <w:r w:rsidRPr="008F4F8A">
          <w:rPr>
            <w:rStyle w:val="Hyperlink"/>
          </w:rPr>
          <w:t>Rahmenbedingungen</w:t>
        </w:r>
        <w:r>
          <w:rPr>
            <w:webHidden/>
          </w:rPr>
          <w:tab/>
        </w:r>
        <w:r>
          <w:rPr>
            <w:webHidden/>
          </w:rPr>
          <w:fldChar w:fldCharType="begin"/>
        </w:r>
        <w:r>
          <w:rPr>
            <w:webHidden/>
          </w:rPr>
          <w:instrText xml:space="preserve"> PAGEREF _Toc111118548 \h </w:instrText>
        </w:r>
        <w:r>
          <w:rPr>
            <w:webHidden/>
          </w:rPr>
        </w:r>
        <w:r>
          <w:rPr>
            <w:webHidden/>
          </w:rPr>
          <w:fldChar w:fldCharType="separate"/>
        </w:r>
        <w:r>
          <w:rPr>
            <w:webHidden/>
          </w:rPr>
          <w:t>141</w:t>
        </w:r>
        <w:r>
          <w:rPr>
            <w:webHidden/>
          </w:rPr>
          <w:fldChar w:fldCharType="end"/>
        </w:r>
      </w:hyperlink>
    </w:p>
    <w:p w14:paraId="4701475A" w14:textId="2FCF6883" w:rsidR="00773299" w:rsidRDefault="00773299">
      <w:pPr>
        <w:pStyle w:val="Verzeichnis2"/>
        <w:rPr>
          <w:rFonts w:asciiTheme="minorHAnsi" w:hAnsiTheme="minorHAnsi"/>
        </w:rPr>
      </w:pPr>
      <w:hyperlink w:anchor="_Toc111118549" w:history="1">
        <w:r w:rsidRPr="008F4F8A">
          <w:rPr>
            <w:rStyle w:val="Hyperlink"/>
          </w:rPr>
          <w:t>10.4</w:t>
        </w:r>
        <w:r>
          <w:rPr>
            <w:rFonts w:asciiTheme="minorHAnsi" w:hAnsiTheme="minorHAnsi"/>
          </w:rPr>
          <w:tab/>
        </w:r>
        <w:r w:rsidRPr="008F4F8A">
          <w:rPr>
            <w:rStyle w:val="Hyperlink"/>
          </w:rPr>
          <w:t>Grundlagen der Mehr-/Mindermengenabrechnung</w:t>
        </w:r>
        <w:r>
          <w:rPr>
            <w:webHidden/>
          </w:rPr>
          <w:tab/>
        </w:r>
        <w:r>
          <w:rPr>
            <w:webHidden/>
          </w:rPr>
          <w:fldChar w:fldCharType="begin"/>
        </w:r>
        <w:r>
          <w:rPr>
            <w:webHidden/>
          </w:rPr>
          <w:instrText xml:space="preserve"> PAGEREF _Toc111118549 \h </w:instrText>
        </w:r>
        <w:r>
          <w:rPr>
            <w:webHidden/>
          </w:rPr>
        </w:r>
        <w:r>
          <w:rPr>
            <w:webHidden/>
          </w:rPr>
          <w:fldChar w:fldCharType="separate"/>
        </w:r>
        <w:r>
          <w:rPr>
            <w:webHidden/>
          </w:rPr>
          <w:t>142</w:t>
        </w:r>
        <w:r>
          <w:rPr>
            <w:webHidden/>
          </w:rPr>
          <w:fldChar w:fldCharType="end"/>
        </w:r>
      </w:hyperlink>
    </w:p>
    <w:p w14:paraId="171B2E5A" w14:textId="2503672E" w:rsidR="00773299" w:rsidRDefault="00773299">
      <w:pPr>
        <w:pStyle w:val="Verzeichnis2"/>
        <w:rPr>
          <w:rFonts w:asciiTheme="minorHAnsi" w:hAnsiTheme="minorHAnsi"/>
        </w:rPr>
      </w:pPr>
      <w:hyperlink w:anchor="_Toc111118550" w:history="1">
        <w:r w:rsidRPr="008F4F8A">
          <w:rPr>
            <w:rStyle w:val="Hyperlink"/>
          </w:rPr>
          <w:t>10.5</w:t>
        </w:r>
        <w:r>
          <w:rPr>
            <w:rFonts w:asciiTheme="minorHAnsi" w:hAnsiTheme="minorHAnsi"/>
          </w:rPr>
          <w:tab/>
        </w:r>
        <w:r w:rsidRPr="008F4F8A">
          <w:rPr>
            <w:rStyle w:val="Hyperlink"/>
          </w:rPr>
          <w:t>Mengenermittlung</w:t>
        </w:r>
        <w:r>
          <w:rPr>
            <w:webHidden/>
          </w:rPr>
          <w:tab/>
        </w:r>
        <w:r>
          <w:rPr>
            <w:webHidden/>
          </w:rPr>
          <w:fldChar w:fldCharType="begin"/>
        </w:r>
        <w:r>
          <w:rPr>
            <w:webHidden/>
          </w:rPr>
          <w:instrText xml:space="preserve"> PAGEREF _Toc111118550 \h </w:instrText>
        </w:r>
        <w:r>
          <w:rPr>
            <w:webHidden/>
          </w:rPr>
        </w:r>
        <w:r>
          <w:rPr>
            <w:webHidden/>
          </w:rPr>
          <w:fldChar w:fldCharType="separate"/>
        </w:r>
        <w:r>
          <w:rPr>
            <w:webHidden/>
          </w:rPr>
          <w:t>143</w:t>
        </w:r>
        <w:r>
          <w:rPr>
            <w:webHidden/>
          </w:rPr>
          <w:fldChar w:fldCharType="end"/>
        </w:r>
      </w:hyperlink>
    </w:p>
    <w:p w14:paraId="08CDE055" w14:textId="2A70A74E" w:rsidR="00773299" w:rsidRDefault="00773299">
      <w:pPr>
        <w:pStyle w:val="Verzeichnis3"/>
        <w:rPr>
          <w:rFonts w:asciiTheme="minorHAnsi" w:eastAsiaTheme="minorEastAsia" w:hAnsiTheme="minorHAnsi" w:cstheme="minorBidi"/>
          <w:noProof/>
        </w:rPr>
      </w:pPr>
      <w:hyperlink w:anchor="_Toc111118551" w:history="1">
        <w:r w:rsidRPr="008F4F8A">
          <w:rPr>
            <w:rStyle w:val="Hyperlink"/>
            <w:noProof/>
          </w:rPr>
          <w:t>10.5.1</w:t>
        </w:r>
        <w:r>
          <w:rPr>
            <w:rFonts w:asciiTheme="minorHAnsi" w:eastAsiaTheme="minorEastAsia" w:hAnsiTheme="minorHAnsi" w:cstheme="minorBidi"/>
            <w:noProof/>
          </w:rPr>
          <w:tab/>
        </w:r>
        <w:r w:rsidRPr="008F4F8A">
          <w:rPr>
            <w:rStyle w:val="Hyperlink"/>
            <w:noProof/>
          </w:rPr>
          <w:t>Rundungsdifferenzen</w:t>
        </w:r>
        <w:r>
          <w:rPr>
            <w:noProof/>
            <w:webHidden/>
          </w:rPr>
          <w:tab/>
        </w:r>
        <w:r>
          <w:rPr>
            <w:noProof/>
            <w:webHidden/>
          </w:rPr>
          <w:fldChar w:fldCharType="begin"/>
        </w:r>
        <w:r>
          <w:rPr>
            <w:noProof/>
            <w:webHidden/>
          </w:rPr>
          <w:instrText xml:space="preserve"> PAGEREF _Toc111118551 \h </w:instrText>
        </w:r>
        <w:r>
          <w:rPr>
            <w:noProof/>
            <w:webHidden/>
          </w:rPr>
        </w:r>
        <w:r>
          <w:rPr>
            <w:noProof/>
            <w:webHidden/>
          </w:rPr>
          <w:fldChar w:fldCharType="separate"/>
        </w:r>
        <w:r>
          <w:rPr>
            <w:noProof/>
            <w:webHidden/>
          </w:rPr>
          <w:t>143</w:t>
        </w:r>
        <w:r>
          <w:rPr>
            <w:noProof/>
            <w:webHidden/>
          </w:rPr>
          <w:fldChar w:fldCharType="end"/>
        </w:r>
      </w:hyperlink>
    </w:p>
    <w:p w14:paraId="5D23C1BE" w14:textId="2ED228B0" w:rsidR="00773299" w:rsidRDefault="00773299">
      <w:pPr>
        <w:pStyle w:val="Verzeichnis3"/>
        <w:rPr>
          <w:rFonts w:asciiTheme="minorHAnsi" w:eastAsiaTheme="minorEastAsia" w:hAnsiTheme="minorHAnsi" w:cstheme="minorBidi"/>
          <w:noProof/>
        </w:rPr>
      </w:pPr>
      <w:hyperlink w:anchor="_Toc111118552" w:history="1">
        <w:r w:rsidRPr="008F4F8A">
          <w:rPr>
            <w:rStyle w:val="Hyperlink"/>
            <w:noProof/>
          </w:rPr>
          <w:t>10.5.2</w:t>
        </w:r>
        <w:r>
          <w:rPr>
            <w:rFonts w:asciiTheme="minorHAnsi" w:eastAsiaTheme="minorEastAsia" w:hAnsiTheme="minorHAnsi" w:cstheme="minorBidi"/>
            <w:noProof/>
          </w:rPr>
          <w:tab/>
        </w:r>
        <w:r w:rsidRPr="008F4F8A">
          <w:rPr>
            <w:rStyle w:val="Hyperlink"/>
            <w:noProof/>
          </w:rPr>
          <w:t>Umgang mit Allokationsersatzwerten des MGV durch den NB</w:t>
        </w:r>
        <w:r>
          <w:rPr>
            <w:noProof/>
            <w:webHidden/>
          </w:rPr>
          <w:tab/>
        </w:r>
        <w:r>
          <w:rPr>
            <w:noProof/>
            <w:webHidden/>
          </w:rPr>
          <w:fldChar w:fldCharType="begin"/>
        </w:r>
        <w:r>
          <w:rPr>
            <w:noProof/>
            <w:webHidden/>
          </w:rPr>
          <w:instrText xml:space="preserve"> PAGEREF _Toc111118552 \h </w:instrText>
        </w:r>
        <w:r>
          <w:rPr>
            <w:noProof/>
            <w:webHidden/>
          </w:rPr>
        </w:r>
        <w:r>
          <w:rPr>
            <w:noProof/>
            <w:webHidden/>
          </w:rPr>
          <w:fldChar w:fldCharType="separate"/>
        </w:r>
        <w:r>
          <w:rPr>
            <w:noProof/>
            <w:webHidden/>
          </w:rPr>
          <w:t>143</w:t>
        </w:r>
        <w:r>
          <w:rPr>
            <w:noProof/>
            <w:webHidden/>
          </w:rPr>
          <w:fldChar w:fldCharType="end"/>
        </w:r>
      </w:hyperlink>
    </w:p>
    <w:p w14:paraId="3FCC7DF3" w14:textId="1F853DAB" w:rsidR="00773299" w:rsidRDefault="00773299">
      <w:pPr>
        <w:pStyle w:val="Verzeichnis3"/>
        <w:rPr>
          <w:rFonts w:asciiTheme="minorHAnsi" w:eastAsiaTheme="minorEastAsia" w:hAnsiTheme="minorHAnsi" w:cstheme="minorBidi"/>
          <w:noProof/>
        </w:rPr>
      </w:pPr>
      <w:hyperlink w:anchor="_Toc111118553" w:history="1">
        <w:r w:rsidRPr="008F4F8A">
          <w:rPr>
            <w:rStyle w:val="Hyperlink"/>
            <w:noProof/>
          </w:rPr>
          <w:t>10.5.3</w:t>
        </w:r>
        <w:r>
          <w:rPr>
            <w:rFonts w:asciiTheme="minorHAnsi" w:eastAsiaTheme="minorEastAsia" w:hAnsiTheme="minorHAnsi" w:cstheme="minorBidi"/>
            <w:noProof/>
          </w:rPr>
          <w:tab/>
        </w:r>
        <w:r w:rsidRPr="008F4F8A">
          <w:rPr>
            <w:rStyle w:val="Hyperlink"/>
            <w:noProof/>
          </w:rPr>
          <w:t>Marktlokationsscharfe Ermittlung von Mehr-/Mindermengen</w:t>
        </w:r>
        <w:r>
          <w:rPr>
            <w:noProof/>
            <w:webHidden/>
          </w:rPr>
          <w:tab/>
        </w:r>
        <w:r>
          <w:rPr>
            <w:noProof/>
            <w:webHidden/>
          </w:rPr>
          <w:fldChar w:fldCharType="begin"/>
        </w:r>
        <w:r>
          <w:rPr>
            <w:noProof/>
            <w:webHidden/>
          </w:rPr>
          <w:instrText xml:space="preserve"> PAGEREF _Toc111118553 \h </w:instrText>
        </w:r>
        <w:r>
          <w:rPr>
            <w:noProof/>
            <w:webHidden/>
          </w:rPr>
        </w:r>
        <w:r>
          <w:rPr>
            <w:noProof/>
            <w:webHidden/>
          </w:rPr>
          <w:fldChar w:fldCharType="separate"/>
        </w:r>
        <w:r>
          <w:rPr>
            <w:noProof/>
            <w:webHidden/>
          </w:rPr>
          <w:t>144</w:t>
        </w:r>
        <w:r>
          <w:rPr>
            <w:noProof/>
            <w:webHidden/>
          </w:rPr>
          <w:fldChar w:fldCharType="end"/>
        </w:r>
      </w:hyperlink>
    </w:p>
    <w:p w14:paraId="2308AAA5" w14:textId="687B8EE0" w:rsidR="00773299" w:rsidRDefault="00773299">
      <w:pPr>
        <w:pStyle w:val="Verzeichnis3"/>
        <w:rPr>
          <w:rFonts w:asciiTheme="minorHAnsi" w:eastAsiaTheme="minorEastAsia" w:hAnsiTheme="minorHAnsi" w:cstheme="minorBidi"/>
          <w:noProof/>
        </w:rPr>
      </w:pPr>
      <w:hyperlink w:anchor="_Toc111118554" w:history="1">
        <w:r w:rsidRPr="008F4F8A">
          <w:rPr>
            <w:rStyle w:val="Hyperlink"/>
            <w:noProof/>
          </w:rPr>
          <w:t>10.5.4</w:t>
        </w:r>
        <w:r>
          <w:rPr>
            <w:rFonts w:asciiTheme="minorHAnsi" w:eastAsiaTheme="minorEastAsia" w:hAnsiTheme="minorHAnsi" w:cstheme="minorBidi"/>
            <w:noProof/>
          </w:rPr>
          <w:tab/>
        </w:r>
        <w:r w:rsidRPr="008F4F8A">
          <w:rPr>
            <w:rStyle w:val="Hyperlink"/>
            <w:noProof/>
          </w:rPr>
          <w:t>Aufteilungsverfahren</w:t>
        </w:r>
        <w:r>
          <w:rPr>
            <w:noProof/>
            <w:webHidden/>
          </w:rPr>
          <w:tab/>
        </w:r>
        <w:r>
          <w:rPr>
            <w:noProof/>
            <w:webHidden/>
          </w:rPr>
          <w:fldChar w:fldCharType="begin"/>
        </w:r>
        <w:r>
          <w:rPr>
            <w:noProof/>
            <w:webHidden/>
          </w:rPr>
          <w:instrText xml:space="preserve"> PAGEREF _Toc111118554 \h </w:instrText>
        </w:r>
        <w:r>
          <w:rPr>
            <w:noProof/>
            <w:webHidden/>
          </w:rPr>
        </w:r>
        <w:r>
          <w:rPr>
            <w:noProof/>
            <w:webHidden/>
          </w:rPr>
          <w:fldChar w:fldCharType="separate"/>
        </w:r>
        <w:r>
          <w:rPr>
            <w:noProof/>
            <w:webHidden/>
          </w:rPr>
          <w:t>148</w:t>
        </w:r>
        <w:r>
          <w:rPr>
            <w:noProof/>
            <w:webHidden/>
          </w:rPr>
          <w:fldChar w:fldCharType="end"/>
        </w:r>
      </w:hyperlink>
    </w:p>
    <w:p w14:paraId="1E874DD7" w14:textId="510FAF66" w:rsidR="00773299" w:rsidRDefault="00773299">
      <w:pPr>
        <w:pStyle w:val="Verzeichnis3"/>
        <w:rPr>
          <w:rFonts w:asciiTheme="minorHAnsi" w:eastAsiaTheme="minorEastAsia" w:hAnsiTheme="minorHAnsi" w:cstheme="minorBidi"/>
          <w:noProof/>
        </w:rPr>
      </w:pPr>
      <w:hyperlink w:anchor="_Toc111118555" w:history="1">
        <w:r w:rsidRPr="008F4F8A">
          <w:rPr>
            <w:rStyle w:val="Hyperlink"/>
            <w:noProof/>
          </w:rPr>
          <w:t>10.5.5</w:t>
        </w:r>
        <w:r>
          <w:rPr>
            <w:rFonts w:asciiTheme="minorHAnsi" w:eastAsiaTheme="minorEastAsia" w:hAnsiTheme="minorHAnsi" w:cstheme="minorBidi"/>
            <w:noProof/>
          </w:rPr>
          <w:tab/>
        </w:r>
        <w:r w:rsidRPr="008F4F8A">
          <w:rPr>
            <w:rStyle w:val="Hyperlink"/>
            <w:noProof/>
          </w:rPr>
          <w:t>Aufteilung der Mehr-/Mindermengen bei Marktraumumstellung</w:t>
        </w:r>
        <w:r>
          <w:rPr>
            <w:noProof/>
            <w:webHidden/>
          </w:rPr>
          <w:tab/>
        </w:r>
        <w:r>
          <w:rPr>
            <w:noProof/>
            <w:webHidden/>
          </w:rPr>
          <w:fldChar w:fldCharType="begin"/>
        </w:r>
        <w:r>
          <w:rPr>
            <w:noProof/>
            <w:webHidden/>
          </w:rPr>
          <w:instrText xml:space="preserve"> PAGEREF _Toc111118555 \h </w:instrText>
        </w:r>
        <w:r>
          <w:rPr>
            <w:noProof/>
            <w:webHidden/>
          </w:rPr>
        </w:r>
        <w:r>
          <w:rPr>
            <w:noProof/>
            <w:webHidden/>
          </w:rPr>
          <w:fldChar w:fldCharType="separate"/>
        </w:r>
        <w:r>
          <w:rPr>
            <w:noProof/>
            <w:webHidden/>
          </w:rPr>
          <w:t>148</w:t>
        </w:r>
        <w:r>
          <w:rPr>
            <w:noProof/>
            <w:webHidden/>
          </w:rPr>
          <w:fldChar w:fldCharType="end"/>
        </w:r>
      </w:hyperlink>
    </w:p>
    <w:p w14:paraId="47C1F909" w14:textId="43E10ADA" w:rsidR="00773299" w:rsidRDefault="00773299">
      <w:pPr>
        <w:pStyle w:val="Verzeichnis2"/>
        <w:rPr>
          <w:rFonts w:asciiTheme="minorHAnsi" w:hAnsiTheme="minorHAnsi"/>
        </w:rPr>
      </w:pPr>
      <w:hyperlink w:anchor="_Toc111118556" w:history="1">
        <w:r w:rsidRPr="008F4F8A">
          <w:rPr>
            <w:rStyle w:val="Hyperlink"/>
          </w:rPr>
          <w:t>10.6</w:t>
        </w:r>
        <w:r>
          <w:rPr>
            <w:rFonts w:asciiTheme="minorHAnsi" w:hAnsiTheme="minorHAnsi"/>
          </w:rPr>
          <w:tab/>
        </w:r>
        <w:r w:rsidRPr="008F4F8A">
          <w:rPr>
            <w:rStyle w:val="Hyperlink"/>
          </w:rPr>
          <w:t>Preisermittlung und -veröffentlichung</w:t>
        </w:r>
        <w:r>
          <w:rPr>
            <w:webHidden/>
          </w:rPr>
          <w:tab/>
        </w:r>
        <w:r>
          <w:rPr>
            <w:webHidden/>
          </w:rPr>
          <w:fldChar w:fldCharType="begin"/>
        </w:r>
        <w:r>
          <w:rPr>
            <w:webHidden/>
          </w:rPr>
          <w:instrText xml:space="preserve"> PAGEREF _Toc111118556 \h </w:instrText>
        </w:r>
        <w:r>
          <w:rPr>
            <w:webHidden/>
          </w:rPr>
        </w:r>
        <w:r>
          <w:rPr>
            <w:webHidden/>
          </w:rPr>
          <w:fldChar w:fldCharType="separate"/>
        </w:r>
        <w:r>
          <w:rPr>
            <w:webHidden/>
          </w:rPr>
          <w:t>151</w:t>
        </w:r>
        <w:r>
          <w:rPr>
            <w:webHidden/>
          </w:rPr>
          <w:fldChar w:fldCharType="end"/>
        </w:r>
      </w:hyperlink>
    </w:p>
    <w:p w14:paraId="777BB67E" w14:textId="7DF452E4" w:rsidR="00773299" w:rsidRDefault="00773299">
      <w:pPr>
        <w:pStyle w:val="Verzeichnis2"/>
        <w:rPr>
          <w:rFonts w:asciiTheme="minorHAnsi" w:hAnsiTheme="minorHAnsi"/>
        </w:rPr>
      </w:pPr>
      <w:hyperlink w:anchor="_Toc111118557" w:history="1">
        <w:r w:rsidRPr="008F4F8A">
          <w:rPr>
            <w:rStyle w:val="Hyperlink"/>
          </w:rPr>
          <w:t>10.7</w:t>
        </w:r>
        <w:r>
          <w:rPr>
            <w:rFonts w:asciiTheme="minorHAnsi" w:hAnsiTheme="minorHAnsi"/>
          </w:rPr>
          <w:tab/>
        </w:r>
        <w:r w:rsidRPr="008F4F8A">
          <w:rPr>
            <w:rStyle w:val="Hyperlink"/>
          </w:rPr>
          <w:t>Prozesse zwischen NB und LF</w:t>
        </w:r>
        <w:r>
          <w:rPr>
            <w:webHidden/>
          </w:rPr>
          <w:tab/>
        </w:r>
        <w:r>
          <w:rPr>
            <w:webHidden/>
          </w:rPr>
          <w:fldChar w:fldCharType="begin"/>
        </w:r>
        <w:r>
          <w:rPr>
            <w:webHidden/>
          </w:rPr>
          <w:instrText xml:space="preserve"> PAGEREF _Toc111118557 \h </w:instrText>
        </w:r>
        <w:r>
          <w:rPr>
            <w:webHidden/>
          </w:rPr>
        </w:r>
        <w:r>
          <w:rPr>
            <w:webHidden/>
          </w:rPr>
          <w:fldChar w:fldCharType="separate"/>
        </w:r>
        <w:r>
          <w:rPr>
            <w:webHidden/>
          </w:rPr>
          <w:t>153</w:t>
        </w:r>
        <w:r>
          <w:rPr>
            <w:webHidden/>
          </w:rPr>
          <w:fldChar w:fldCharType="end"/>
        </w:r>
      </w:hyperlink>
    </w:p>
    <w:p w14:paraId="6014F303" w14:textId="48BB7792" w:rsidR="00773299" w:rsidRDefault="00773299">
      <w:pPr>
        <w:pStyle w:val="Verzeichnis3"/>
        <w:rPr>
          <w:rFonts w:asciiTheme="minorHAnsi" w:eastAsiaTheme="minorEastAsia" w:hAnsiTheme="minorHAnsi" w:cstheme="minorBidi"/>
          <w:noProof/>
        </w:rPr>
      </w:pPr>
      <w:hyperlink w:anchor="_Toc111118558" w:history="1">
        <w:r w:rsidRPr="008F4F8A">
          <w:rPr>
            <w:rStyle w:val="Hyperlink"/>
            <w:noProof/>
          </w:rPr>
          <w:t>10.7.1</w:t>
        </w:r>
        <w:r>
          <w:rPr>
            <w:rFonts w:asciiTheme="minorHAnsi" w:eastAsiaTheme="minorEastAsia" w:hAnsiTheme="minorHAnsi" w:cstheme="minorBidi"/>
            <w:noProof/>
          </w:rPr>
          <w:tab/>
        </w:r>
        <w:r w:rsidRPr="008F4F8A">
          <w:rPr>
            <w:rStyle w:val="Hyperlink"/>
            <w:noProof/>
          </w:rPr>
          <w:t>Übermittlung der marktlokationsscharfen Allokationsliste</w:t>
        </w:r>
        <w:r>
          <w:rPr>
            <w:noProof/>
            <w:webHidden/>
          </w:rPr>
          <w:tab/>
        </w:r>
        <w:r>
          <w:rPr>
            <w:noProof/>
            <w:webHidden/>
          </w:rPr>
          <w:fldChar w:fldCharType="begin"/>
        </w:r>
        <w:r>
          <w:rPr>
            <w:noProof/>
            <w:webHidden/>
          </w:rPr>
          <w:instrText xml:space="preserve"> PAGEREF _Toc111118558 \h </w:instrText>
        </w:r>
        <w:r>
          <w:rPr>
            <w:noProof/>
            <w:webHidden/>
          </w:rPr>
        </w:r>
        <w:r>
          <w:rPr>
            <w:noProof/>
            <w:webHidden/>
          </w:rPr>
          <w:fldChar w:fldCharType="separate"/>
        </w:r>
        <w:r>
          <w:rPr>
            <w:noProof/>
            <w:webHidden/>
          </w:rPr>
          <w:t>153</w:t>
        </w:r>
        <w:r>
          <w:rPr>
            <w:noProof/>
            <w:webHidden/>
          </w:rPr>
          <w:fldChar w:fldCharType="end"/>
        </w:r>
      </w:hyperlink>
    </w:p>
    <w:p w14:paraId="1EBBA205" w14:textId="2E966604" w:rsidR="00773299" w:rsidRDefault="00773299">
      <w:pPr>
        <w:pStyle w:val="Verzeichnis3"/>
        <w:rPr>
          <w:rFonts w:asciiTheme="minorHAnsi" w:eastAsiaTheme="minorEastAsia" w:hAnsiTheme="minorHAnsi" w:cstheme="minorBidi"/>
          <w:noProof/>
        </w:rPr>
      </w:pPr>
      <w:hyperlink w:anchor="_Toc111118559" w:history="1">
        <w:r w:rsidRPr="008F4F8A">
          <w:rPr>
            <w:rStyle w:val="Hyperlink"/>
            <w:noProof/>
          </w:rPr>
          <w:t>10.7.2</w:t>
        </w:r>
        <w:r>
          <w:rPr>
            <w:rFonts w:asciiTheme="minorHAnsi" w:eastAsiaTheme="minorEastAsia" w:hAnsiTheme="minorHAnsi" w:cstheme="minorBidi"/>
            <w:noProof/>
          </w:rPr>
          <w:tab/>
        </w:r>
        <w:r w:rsidRPr="008F4F8A">
          <w:rPr>
            <w:rStyle w:val="Hyperlink"/>
            <w:noProof/>
          </w:rPr>
          <w:t>Abrechnung der Mehr-/Mindermengen</w:t>
        </w:r>
        <w:r>
          <w:rPr>
            <w:noProof/>
            <w:webHidden/>
          </w:rPr>
          <w:tab/>
        </w:r>
        <w:r>
          <w:rPr>
            <w:noProof/>
            <w:webHidden/>
          </w:rPr>
          <w:fldChar w:fldCharType="begin"/>
        </w:r>
        <w:r>
          <w:rPr>
            <w:noProof/>
            <w:webHidden/>
          </w:rPr>
          <w:instrText xml:space="preserve"> PAGEREF _Toc111118559 \h </w:instrText>
        </w:r>
        <w:r>
          <w:rPr>
            <w:noProof/>
            <w:webHidden/>
          </w:rPr>
        </w:r>
        <w:r>
          <w:rPr>
            <w:noProof/>
            <w:webHidden/>
          </w:rPr>
          <w:fldChar w:fldCharType="separate"/>
        </w:r>
        <w:r>
          <w:rPr>
            <w:noProof/>
            <w:webHidden/>
          </w:rPr>
          <w:t>154</w:t>
        </w:r>
        <w:r>
          <w:rPr>
            <w:noProof/>
            <w:webHidden/>
          </w:rPr>
          <w:fldChar w:fldCharType="end"/>
        </w:r>
      </w:hyperlink>
    </w:p>
    <w:p w14:paraId="1F434AD2" w14:textId="659046FF" w:rsidR="00773299" w:rsidRDefault="00773299">
      <w:pPr>
        <w:pStyle w:val="Verzeichnis3"/>
        <w:rPr>
          <w:rFonts w:asciiTheme="minorHAnsi" w:eastAsiaTheme="minorEastAsia" w:hAnsiTheme="minorHAnsi" w:cstheme="minorBidi"/>
          <w:noProof/>
        </w:rPr>
      </w:pPr>
      <w:hyperlink w:anchor="_Toc111118560" w:history="1">
        <w:r w:rsidRPr="008F4F8A">
          <w:rPr>
            <w:rStyle w:val="Hyperlink"/>
            <w:noProof/>
          </w:rPr>
          <w:t>10.7.3</w:t>
        </w:r>
        <w:r>
          <w:rPr>
            <w:rFonts w:asciiTheme="minorHAnsi" w:eastAsiaTheme="minorEastAsia" w:hAnsiTheme="minorHAnsi" w:cstheme="minorBidi"/>
            <w:noProof/>
          </w:rPr>
          <w:tab/>
        </w:r>
        <w:r w:rsidRPr="008F4F8A">
          <w:rPr>
            <w:rStyle w:val="Hyperlink"/>
            <w:noProof/>
          </w:rPr>
          <w:t>Nachvollziehbarkeit der Mehr-/Mindermengenabrechnung</w:t>
        </w:r>
        <w:r>
          <w:rPr>
            <w:noProof/>
            <w:webHidden/>
          </w:rPr>
          <w:tab/>
        </w:r>
        <w:r>
          <w:rPr>
            <w:noProof/>
            <w:webHidden/>
          </w:rPr>
          <w:fldChar w:fldCharType="begin"/>
        </w:r>
        <w:r>
          <w:rPr>
            <w:noProof/>
            <w:webHidden/>
          </w:rPr>
          <w:instrText xml:space="preserve"> PAGEREF _Toc111118560 \h </w:instrText>
        </w:r>
        <w:r>
          <w:rPr>
            <w:noProof/>
            <w:webHidden/>
          </w:rPr>
        </w:r>
        <w:r>
          <w:rPr>
            <w:noProof/>
            <w:webHidden/>
          </w:rPr>
          <w:fldChar w:fldCharType="separate"/>
        </w:r>
        <w:r>
          <w:rPr>
            <w:noProof/>
            <w:webHidden/>
          </w:rPr>
          <w:t>155</w:t>
        </w:r>
        <w:r>
          <w:rPr>
            <w:noProof/>
            <w:webHidden/>
          </w:rPr>
          <w:fldChar w:fldCharType="end"/>
        </w:r>
      </w:hyperlink>
    </w:p>
    <w:p w14:paraId="739A2C2F" w14:textId="10275E74" w:rsidR="00773299" w:rsidRDefault="00773299">
      <w:pPr>
        <w:pStyle w:val="Verzeichnis2"/>
        <w:rPr>
          <w:rFonts w:asciiTheme="minorHAnsi" w:hAnsiTheme="minorHAnsi"/>
        </w:rPr>
      </w:pPr>
      <w:hyperlink w:anchor="_Toc111118561" w:history="1">
        <w:r w:rsidRPr="008F4F8A">
          <w:rPr>
            <w:rStyle w:val="Hyperlink"/>
          </w:rPr>
          <w:t>10.8</w:t>
        </w:r>
        <w:r>
          <w:rPr>
            <w:rFonts w:asciiTheme="minorHAnsi" w:hAnsiTheme="minorHAnsi"/>
          </w:rPr>
          <w:tab/>
        </w:r>
        <w:r w:rsidRPr="008F4F8A">
          <w:rPr>
            <w:rStyle w:val="Hyperlink"/>
          </w:rPr>
          <w:t>Prozesse zwischen NB und MGV</w:t>
        </w:r>
        <w:r>
          <w:rPr>
            <w:webHidden/>
          </w:rPr>
          <w:tab/>
        </w:r>
        <w:r>
          <w:rPr>
            <w:webHidden/>
          </w:rPr>
          <w:fldChar w:fldCharType="begin"/>
        </w:r>
        <w:r>
          <w:rPr>
            <w:webHidden/>
          </w:rPr>
          <w:instrText xml:space="preserve"> PAGEREF _Toc111118561 \h </w:instrText>
        </w:r>
        <w:r>
          <w:rPr>
            <w:webHidden/>
          </w:rPr>
        </w:r>
        <w:r>
          <w:rPr>
            <w:webHidden/>
          </w:rPr>
          <w:fldChar w:fldCharType="separate"/>
        </w:r>
        <w:r>
          <w:rPr>
            <w:webHidden/>
          </w:rPr>
          <w:t>156</w:t>
        </w:r>
        <w:r>
          <w:rPr>
            <w:webHidden/>
          </w:rPr>
          <w:fldChar w:fldCharType="end"/>
        </w:r>
      </w:hyperlink>
    </w:p>
    <w:p w14:paraId="7C9DF55E" w14:textId="26380F0E" w:rsidR="00773299" w:rsidRDefault="00773299">
      <w:pPr>
        <w:pStyle w:val="Verzeichnis3"/>
        <w:rPr>
          <w:rFonts w:asciiTheme="minorHAnsi" w:eastAsiaTheme="minorEastAsia" w:hAnsiTheme="minorHAnsi" w:cstheme="minorBidi"/>
          <w:noProof/>
        </w:rPr>
      </w:pPr>
      <w:hyperlink w:anchor="_Toc111118562" w:history="1">
        <w:r w:rsidRPr="008F4F8A">
          <w:rPr>
            <w:rStyle w:val="Hyperlink"/>
            <w:noProof/>
          </w:rPr>
          <w:t>10.8.1</w:t>
        </w:r>
        <w:r>
          <w:rPr>
            <w:rFonts w:asciiTheme="minorHAnsi" w:eastAsiaTheme="minorEastAsia" w:hAnsiTheme="minorHAnsi" w:cstheme="minorBidi"/>
            <w:noProof/>
          </w:rPr>
          <w:tab/>
        </w:r>
        <w:r w:rsidRPr="008F4F8A">
          <w:rPr>
            <w:rStyle w:val="Hyperlink"/>
            <w:noProof/>
          </w:rPr>
          <w:t>Mitteilung des Ableseverfahrens</w:t>
        </w:r>
        <w:r>
          <w:rPr>
            <w:noProof/>
            <w:webHidden/>
          </w:rPr>
          <w:tab/>
        </w:r>
        <w:r>
          <w:rPr>
            <w:noProof/>
            <w:webHidden/>
          </w:rPr>
          <w:fldChar w:fldCharType="begin"/>
        </w:r>
        <w:r>
          <w:rPr>
            <w:noProof/>
            <w:webHidden/>
          </w:rPr>
          <w:instrText xml:space="preserve"> PAGEREF _Toc111118562 \h </w:instrText>
        </w:r>
        <w:r>
          <w:rPr>
            <w:noProof/>
            <w:webHidden/>
          </w:rPr>
        </w:r>
        <w:r>
          <w:rPr>
            <w:noProof/>
            <w:webHidden/>
          </w:rPr>
          <w:fldChar w:fldCharType="separate"/>
        </w:r>
        <w:r>
          <w:rPr>
            <w:noProof/>
            <w:webHidden/>
          </w:rPr>
          <w:t>156</w:t>
        </w:r>
        <w:r>
          <w:rPr>
            <w:noProof/>
            <w:webHidden/>
          </w:rPr>
          <w:fldChar w:fldCharType="end"/>
        </w:r>
      </w:hyperlink>
    </w:p>
    <w:p w14:paraId="52DAFF5F" w14:textId="5149253C" w:rsidR="00773299" w:rsidRDefault="00773299">
      <w:pPr>
        <w:pStyle w:val="Verzeichnis3"/>
        <w:rPr>
          <w:rFonts w:asciiTheme="minorHAnsi" w:eastAsiaTheme="minorEastAsia" w:hAnsiTheme="minorHAnsi" w:cstheme="minorBidi"/>
          <w:noProof/>
        </w:rPr>
      </w:pPr>
      <w:hyperlink w:anchor="_Toc111118563" w:history="1">
        <w:r w:rsidRPr="008F4F8A">
          <w:rPr>
            <w:rStyle w:val="Hyperlink"/>
            <w:noProof/>
          </w:rPr>
          <w:t>10.8.2</w:t>
        </w:r>
        <w:r>
          <w:rPr>
            <w:rFonts w:asciiTheme="minorHAnsi" w:eastAsiaTheme="minorEastAsia" w:hAnsiTheme="minorHAnsi" w:cstheme="minorBidi"/>
            <w:noProof/>
          </w:rPr>
          <w:tab/>
        </w:r>
        <w:r w:rsidRPr="008F4F8A">
          <w:rPr>
            <w:rStyle w:val="Hyperlink"/>
            <w:noProof/>
          </w:rPr>
          <w:t>Meldung der Mehr-/Mindermengen</w:t>
        </w:r>
        <w:r>
          <w:rPr>
            <w:noProof/>
            <w:webHidden/>
          </w:rPr>
          <w:tab/>
        </w:r>
        <w:r>
          <w:rPr>
            <w:noProof/>
            <w:webHidden/>
          </w:rPr>
          <w:fldChar w:fldCharType="begin"/>
        </w:r>
        <w:r>
          <w:rPr>
            <w:noProof/>
            <w:webHidden/>
          </w:rPr>
          <w:instrText xml:space="preserve"> PAGEREF _Toc111118563 \h </w:instrText>
        </w:r>
        <w:r>
          <w:rPr>
            <w:noProof/>
            <w:webHidden/>
          </w:rPr>
        </w:r>
        <w:r>
          <w:rPr>
            <w:noProof/>
            <w:webHidden/>
          </w:rPr>
          <w:fldChar w:fldCharType="separate"/>
        </w:r>
        <w:r>
          <w:rPr>
            <w:noProof/>
            <w:webHidden/>
          </w:rPr>
          <w:t>156</w:t>
        </w:r>
        <w:r>
          <w:rPr>
            <w:noProof/>
            <w:webHidden/>
          </w:rPr>
          <w:fldChar w:fldCharType="end"/>
        </w:r>
      </w:hyperlink>
    </w:p>
    <w:p w14:paraId="3683D2D4" w14:textId="4639D77C" w:rsidR="00773299" w:rsidRDefault="00773299">
      <w:pPr>
        <w:pStyle w:val="Verzeichnis3"/>
        <w:rPr>
          <w:rFonts w:asciiTheme="minorHAnsi" w:eastAsiaTheme="minorEastAsia" w:hAnsiTheme="minorHAnsi" w:cstheme="minorBidi"/>
          <w:noProof/>
        </w:rPr>
      </w:pPr>
      <w:hyperlink w:anchor="_Toc111118564" w:history="1">
        <w:r w:rsidRPr="008F4F8A">
          <w:rPr>
            <w:rStyle w:val="Hyperlink"/>
            <w:noProof/>
          </w:rPr>
          <w:t>10.8.3</w:t>
        </w:r>
        <w:r>
          <w:rPr>
            <w:rFonts w:asciiTheme="minorHAnsi" w:eastAsiaTheme="minorEastAsia" w:hAnsiTheme="minorHAnsi" w:cstheme="minorBidi"/>
            <w:noProof/>
          </w:rPr>
          <w:tab/>
        </w:r>
        <w:r w:rsidRPr="008F4F8A">
          <w:rPr>
            <w:rStyle w:val="Hyperlink"/>
            <w:noProof/>
          </w:rPr>
          <w:t>Abrechnung der Mehr-/Mindermengen</w:t>
        </w:r>
        <w:r>
          <w:rPr>
            <w:noProof/>
            <w:webHidden/>
          </w:rPr>
          <w:tab/>
        </w:r>
        <w:r>
          <w:rPr>
            <w:noProof/>
            <w:webHidden/>
          </w:rPr>
          <w:fldChar w:fldCharType="begin"/>
        </w:r>
        <w:r>
          <w:rPr>
            <w:noProof/>
            <w:webHidden/>
          </w:rPr>
          <w:instrText xml:space="preserve"> PAGEREF _Toc111118564 \h </w:instrText>
        </w:r>
        <w:r>
          <w:rPr>
            <w:noProof/>
            <w:webHidden/>
          </w:rPr>
        </w:r>
        <w:r>
          <w:rPr>
            <w:noProof/>
            <w:webHidden/>
          </w:rPr>
          <w:fldChar w:fldCharType="separate"/>
        </w:r>
        <w:r>
          <w:rPr>
            <w:noProof/>
            <w:webHidden/>
          </w:rPr>
          <w:t>158</w:t>
        </w:r>
        <w:r>
          <w:rPr>
            <w:noProof/>
            <w:webHidden/>
          </w:rPr>
          <w:fldChar w:fldCharType="end"/>
        </w:r>
      </w:hyperlink>
    </w:p>
    <w:p w14:paraId="7A3BD765" w14:textId="11EBE581" w:rsidR="00773299" w:rsidRDefault="00773299">
      <w:pPr>
        <w:pStyle w:val="Verzeichnis3"/>
        <w:rPr>
          <w:rFonts w:asciiTheme="minorHAnsi" w:eastAsiaTheme="minorEastAsia" w:hAnsiTheme="minorHAnsi" w:cstheme="minorBidi"/>
          <w:noProof/>
        </w:rPr>
      </w:pPr>
      <w:hyperlink w:anchor="_Toc111118565" w:history="1">
        <w:r w:rsidRPr="008F4F8A">
          <w:rPr>
            <w:rStyle w:val="Hyperlink"/>
            <w:noProof/>
          </w:rPr>
          <w:t>10.8.4</w:t>
        </w:r>
        <w:r>
          <w:rPr>
            <w:rFonts w:asciiTheme="minorHAnsi" w:eastAsiaTheme="minorEastAsia" w:hAnsiTheme="minorHAnsi" w:cstheme="minorBidi"/>
            <w:noProof/>
          </w:rPr>
          <w:tab/>
        </w:r>
        <w:r w:rsidRPr="008F4F8A">
          <w:rPr>
            <w:rStyle w:val="Hyperlink"/>
            <w:noProof/>
          </w:rPr>
          <w:t>Nachvollziehbarkeit der Mehr-/Mindermengenabrechnung</w:t>
        </w:r>
        <w:r>
          <w:rPr>
            <w:noProof/>
            <w:webHidden/>
          </w:rPr>
          <w:tab/>
        </w:r>
        <w:r>
          <w:rPr>
            <w:noProof/>
            <w:webHidden/>
          </w:rPr>
          <w:fldChar w:fldCharType="begin"/>
        </w:r>
        <w:r>
          <w:rPr>
            <w:noProof/>
            <w:webHidden/>
          </w:rPr>
          <w:instrText xml:space="preserve"> PAGEREF _Toc111118565 \h </w:instrText>
        </w:r>
        <w:r>
          <w:rPr>
            <w:noProof/>
            <w:webHidden/>
          </w:rPr>
        </w:r>
        <w:r>
          <w:rPr>
            <w:noProof/>
            <w:webHidden/>
          </w:rPr>
          <w:fldChar w:fldCharType="separate"/>
        </w:r>
        <w:r>
          <w:rPr>
            <w:noProof/>
            <w:webHidden/>
          </w:rPr>
          <w:t>159</w:t>
        </w:r>
        <w:r>
          <w:rPr>
            <w:noProof/>
            <w:webHidden/>
          </w:rPr>
          <w:fldChar w:fldCharType="end"/>
        </w:r>
      </w:hyperlink>
    </w:p>
    <w:p w14:paraId="64C3295D" w14:textId="2D1AFF52" w:rsidR="00773299" w:rsidRDefault="00773299">
      <w:pPr>
        <w:pStyle w:val="Verzeichnis3"/>
        <w:rPr>
          <w:rFonts w:asciiTheme="minorHAnsi" w:eastAsiaTheme="minorEastAsia" w:hAnsiTheme="minorHAnsi" w:cstheme="minorBidi"/>
          <w:noProof/>
        </w:rPr>
      </w:pPr>
      <w:hyperlink w:anchor="_Toc111118566" w:history="1">
        <w:r w:rsidRPr="008F4F8A">
          <w:rPr>
            <w:rStyle w:val="Hyperlink"/>
            <w:noProof/>
          </w:rPr>
          <w:t>10.8.5</w:t>
        </w:r>
        <w:r>
          <w:rPr>
            <w:rFonts w:asciiTheme="minorHAnsi" w:eastAsiaTheme="minorEastAsia" w:hAnsiTheme="minorHAnsi" w:cstheme="minorBidi"/>
            <w:noProof/>
          </w:rPr>
          <w:tab/>
        </w:r>
        <w:r w:rsidRPr="008F4F8A">
          <w:rPr>
            <w:rStyle w:val="Hyperlink"/>
            <w:noProof/>
          </w:rPr>
          <w:t>Korrektur einer Mehr-/Mindermengenabrechnung</w:t>
        </w:r>
        <w:r>
          <w:rPr>
            <w:noProof/>
            <w:webHidden/>
          </w:rPr>
          <w:tab/>
        </w:r>
        <w:r>
          <w:rPr>
            <w:noProof/>
            <w:webHidden/>
          </w:rPr>
          <w:fldChar w:fldCharType="begin"/>
        </w:r>
        <w:r>
          <w:rPr>
            <w:noProof/>
            <w:webHidden/>
          </w:rPr>
          <w:instrText xml:space="preserve"> PAGEREF _Toc111118566 \h </w:instrText>
        </w:r>
        <w:r>
          <w:rPr>
            <w:noProof/>
            <w:webHidden/>
          </w:rPr>
        </w:r>
        <w:r>
          <w:rPr>
            <w:noProof/>
            <w:webHidden/>
          </w:rPr>
          <w:fldChar w:fldCharType="separate"/>
        </w:r>
        <w:r>
          <w:rPr>
            <w:noProof/>
            <w:webHidden/>
          </w:rPr>
          <w:t>160</w:t>
        </w:r>
        <w:r>
          <w:rPr>
            <w:noProof/>
            <w:webHidden/>
          </w:rPr>
          <w:fldChar w:fldCharType="end"/>
        </w:r>
      </w:hyperlink>
    </w:p>
    <w:p w14:paraId="2E16AF60" w14:textId="3C6C2A68" w:rsidR="00773299" w:rsidRDefault="00773299">
      <w:pPr>
        <w:pStyle w:val="Verzeichnis3"/>
        <w:rPr>
          <w:rFonts w:asciiTheme="minorHAnsi" w:eastAsiaTheme="minorEastAsia" w:hAnsiTheme="minorHAnsi" w:cstheme="minorBidi"/>
          <w:noProof/>
        </w:rPr>
      </w:pPr>
      <w:hyperlink w:anchor="_Toc111118567" w:history="1">
        <w:r w:rsidRPr="008F4F8A">
          <w:rPr>
            <w:rStyle w:val="Hyperlink"/>
            <w:noProof/>
          </w:rPr>
          <w:t>10.8.6</w:t>
        </w:r>
        <w:r>
          <w:rPr>
            <w:rFonts w:asciiTheme="minorHAnsi" w:eastAsiaTheme="minorEastAsia" w:hAnsiTheme="minorHAnsi" w:cstheme="minorBidi"/>
            <w:noProof/>
          </w:rPr>
          <w:tab/>
        </w:r>
        <w:r w:rsidRPr="008F4F8A">
          <w:rPr>
            <w:rStyle w:val="Hyperlink"/>
            <w:noProof/>
          </w:rPr>
          <w:t>Anreizsystem zur Durchführung der Mehr-/Mindermengenabrechnung für Leistungszeiträume bis 30. September 2020</w:t>
        </w:r>
        <w:r>
          <w:rPr>
            <w:noProof/>
            <w:webHidden/>
          </w:rPr>
          <w:tab/>
        </w:r>
        <w:r>
          <w:rPr>
            <w:noProof/>
            <w:webHidden/>
          </w:rPr>
          <w:fldChar w:fldCharType="begin"/>
        </w:r>
        <w:r>
          <w:rPr>
            <w:noProof/>
            <w:webHidden/>
          </w:rPr>
          <w:instrText xml:space="preserve"> PAGEREF _Toc111118567 \h </w:instrText>
        </w:r>
        <w:r>
          <w:rPr>
            <w:noProof/>
            <w:webHidden/>
          </w:rPr>
        </w:r>
        <w:r>
          <w:rPr>
            <w:noProof/>
            <w:webHidden/>
          </w:rPr>
          <w:fldChar w:fldCharType="separate"/>
        </w:r>
        <w:r>
          <w:rPr>
            <w:noProof/>
            <w:webHidden/>
          </w:rPr>
          <w:t>162</w:t>
        </w:r>
        <w:r>
          <w:rPr>
            <w:noProof/>
            <w:webHidden/>
          </w:rPr>
          <w:fldChar w:fldCharType="end"/>
        </w:r>
      </w:hyperlink>
    </w:p>
    <w:p w14:paraId="3752C081" w14:textId="5F0432D1" w:rsidR="00773299" w:rsidRDefault="00773299">
      <w:pPr>
        <w:pStyle w:val="Verzeichnis3"/>
        <w:rPr>
          <w:rFonts w:asciiTheme="minorHAnsi" w:eastAsiaTheme="minorEastAsia" w:hAnsiTheme="minorHAnsi" w:cstheme="minorBidi"/>
          <w:noProof/>
        </w:rPr>
      </w:pPr>
      <w:hyperlink w:anchor="_Toc111118568" w:history="1">
        <w:r w:rsidRPr="008F4F8A">
          <w:rPr>
            <w:rStyle w:val="Hyperlink"/>
            <w:noProof/>
          </w:rPr>
          <w:t>10.8.7</w:t>
        </w:r>
        <w:r>
          <w:rPr>
            <w:rFonts w:asciiTheme="minorHAnsi" w:eastAsiaTheme="minorEastAsia" w:hAnsiTheme="minorHAnsi" w:cstheme="minorBidi"/>
            <w:noProof/>
          </w:rPr>
          <w:tab/>
        </w:r>
        <w:r w:rsidRPr="008F4F8A">
          <w:rPr>
            <w:rStyle w:val="Hyperlink"/>
            <w:noProof/>
          </w:rPr>
          <w:t>Anreizsystem zur Durchführung der Mehr-/Mindermengenabrechnung für Leistungszeiträume ab Oktober 2020</w:t>
        </w:r>
        <w:r>
          <w:rPr>
            <w:noProof/>
            <w:webHidden/>
          </w:rPr>
          <w:tab/>
        </w:r>
        <w:r>
          <w:rPr>
            <w:noProof/>
            <w:webHidden/>
          </w:rPr>
          <w:fldChar w:fldCharType="begin"/>
        </w:r>
        <w:r>
          <w:rPr>
            <w:noProof/>
            <w:webHidden/>
          </w:rPr>
          <w:instrText xml:space="preserve"> PAGEREF _Toc111118568 \h </w:instrText>
        </w:r>
        <w:r>
          <w:rPr>
            <w:noProof/>
            <w:webHidden/>
          </w:rPr>
        </w:r>
        <w:r>
          <w:rPr>
            <w:noProof/>
            <w:webHidden/>
          </w:rPr>
          <w:fldChar w:fldCharType="separate"/>
        </w:r>
        <w:r>
          <w:rPr>
            <w:noProof/>
            <w:webHidden/>
          </w:rPr>
          <w:t>163</w:t>
        </w:r>
        <w:r>
          <w:rPr>
            <w:noProof/>
            <w:webHidden/>
          </w:rPr>
          <w:fldChar w:fldCharType="end"/>
        </w:r>
      </w:hyperlink>
    </w:p>
    <w:p w14:paraId="7CAFEB67" w14:textId="668FD775" w:rsidR="00773299" w:rsidRDefault="00773299">
      <w:pPr>
        <w:pStyle w:val="Verzeichnis1"/>
        <w:rPr>
          <w:rFonts w:asciiTheme="minorHAnsi" w:eastAsiaTheme="minorEastAsia" w:hAnsiTheme="minorHAnsi" w:cstheme="minorBidi"/>
        </w:rPr>
      </w:pPr>
      <w:hyperlink w:anchor="_Toc111118569" w:history="1">
        <w:r w:rsidRPr="008F4F8A">
          <w:rPr>
            <w:rStyle w:val="Hyperlink"/>
          </w:rPr>
          <w:t>11</w:t>
        </w:r>
        <w:r>
          <w:rPr>
            <w:rFonts w:asciiTheme="minorHAnsi" w:eastAsiaTheme="minorEastAsia" w:hAnsiTheme="minorHAnsi" w:cstheme="minorBidi"/>
          </w:rPr>
          <w:tab/>
        </w:r>
        <w:r w:rsidRPr="008F4F8A">
          <w:rPr>
            <w:rStyle w:val="Hyperlink"/>
          </w:rPr>
          <w:t>Netzkontensystematik</w:t>
        </w:r>
        <w:r>
          <w:rPr>
            <w:webHidden/>
          </w:rPr>
          <w:tab/>
        </w:r>
        <w:r>
          <w:rPr>
            <w:webHidden/>
          </w:rPr>
          <w:fldChar w:fldCharType="begin"/>
        </w:r>
        <w:r>
          <w:rPr>
            <w:webHidden/>
          </w:rPr>
          <w:instrText xml:space="preserve"> PAGEREF _Toc111118569 \h </w:instrText>
        </w:r>
        <w:r>
          <w:rPr>
            <w:webHidden/>
          </w:rPr>
        </w:r>
        <w:r>
          <w:rPr>
            <w:webHidden/>
          </w:rPr>
          <w:fldChar w:fldCharType="separate"/>
        </w:r>
        <w:r>
          <w:rPr>
            <w:webHidden/>
          </w:rPr>
          <w:t>165</w:t>
        </w:r>
        <w:r>
          <w:rPr>
            <w:webHidden/>
          </w:rPr>
          <w:fldChar w:fldCharType="end"/>
        </w:r>
      </w:hyperlink>
    </w:p>
    <w:p w14:paraId="03E6C6C2" w14:textId="0FFBD034" w:rsidR="00773299" w:rsidRDefault="00773299">
      <w:pPr>
        <w:pStyle w:val="Verzeichnis2"/>
        <w:rPr>
          <w:rFonts w:asciiTheme="minorHAnsi" w:hAnsiTheme="minorHAnsi"/>
        </w:rPr>
      </w:pPr>
      <w:hyperlink w:anchor="_Toc111118570" w:history="1">
        <w:r w:rsidRPr="008F4F8A">
          <w:rPr>
            <w:rStyle w:val="Hyperlink"/>
          </w:rPr>
          <w:t>11.1</w:t>
        </w:r>
        <w:r>
          <w:rPr>
            <w:rFonts w:asciiTheme="minorHAnsi" w:hAnsiTheme="minorHAnsi"/>
          </w:rPr>
          <w:tab/>
        </w:r>
        <w:r w:rsidRPr="008F4F8A">
          <w:rPr>
            <w:rStyle w:val="Hyperlink"/>
          </w:rPr>
          <w:t>Grundlagen der Netzkontensystematik</w:t>
        </w:r>
        <w:r>
          <w:rPr>
            <w:webHidden/>
          </w:rPr>
          <w:tab/>
        </w:r>
        <w:r>
          <w:rPr>
            <w:webHidden/>
          </w:rPr>
          <w:fldChar w:fldCharType="begin"/>
        </w:r>
        <w:r>
          <w:rPr>
            <w:webHidden/>
          </w:rPr>
          <w:instrText xml:space="preserve"> PAGEREF _Toc111118570 \h </w:instrText>
        </w:r>
        <w:r>
          <w:rPr>
            <w:webHidden/>
          </w:rPr>
        </w:r>
        <w:r>
          <w:rPr>
            <w:webHidden/>
          </w:rPr>
          <w:fldChar w:fldCharType="separate"/>
        </w:r>
        <w:r>
          <w:rPr>
            <w:webHidden/>
          </w:rPr>
          <w:t>165</w:t>
        </w:r>
        <w:r>
          <w:rPr>
            <w:webHidden/>
          </w:rPr>
          <w:fldChar w:fldCharType="end"/>
        </w:r>
      </w:hyperlink>
    </w:p>
    <w:p w14:paraId="4763A92A" w14:textId="5E161009" w:rsidR="00773299" w:rsidRDefault="00773299">
      <w:pPr>
        <w:pStyle w:val="Verzeichnis2"/>
        <w:rPr>
          <w:rFonts w:asciiTheme="minorHAnsi" w:hAnsiTheme="minorHAnsi"/>
        </w:rPr>
      </w:pPr>
      <w:hyperlink w:anchor="_Toc111118571" w:history="1">
        <w:r w:rsidRPr="008F4F8A">
          <w:rPr>
            <w:rStyle w:val="Hyperlink"/>
          </w:rPr>
          <w:t>11.2</w:t>
        </w:r>
        <w:r>
          <w:rPr>
            <w:rFonts w:asciiTheme="minorHAnsi" w:hAnsiTheme="minorHAnsi"/>
          </w:rPr>
          <w:tab/>
        </w:r>
        <w:r w:rsidRPr="008F4F8A">
          <w:rPr>
            <w:rStyle w:val="Hyperlink"/>
          </w:rPr>
          <w:t>Definition der Netzkontosalden</w:t>
        </w:r>
        <w:r>
          <w:rPr>
            <w:webHidden/>
          </w:rPr>
          <w:tab/>
        </w:r>
        <w:r>
          <w:rPr>
            <w:webHidden/>
          </w:rPr>
          <w:fldChar w:fldCharType="begin"/>
        </w:r>
        <w:r>
          <w:rPr>
            <w:webHidden/>
          </w:rPr>
          <w:instrText xml:space="preserve"> PAGEREF _Toc111118571 \h </w:instrText>
        </w:r>
        <w:r>
          <w:rPr>
            <w:webHidden/>
          </w:rPr>
        </w:r>
        <w:r>
          <w:rPr>
            <w:webHidden/>
          </w:rPr>
          <w:fldChar w:fldCharType="separate"/>
        </w:r>
        <w:r>
          <w:rPr>
            <w:webHidden/>
          </w:rPr>
          <w:t>168</w:t>
        </w:r>
        <w:r>
          <w:rPr>
            <w:webHidden/>
          </w:rPr>
          <w:fldChar w:fldCharType="end"/>
        </w:r>
      </w:hyperlink>
    </w:p>
    <w:p w14:paraId="555D7BEF" w14:textId="299DD514" w:rsidR="00773299" w:rsidRDefault="00773299">
      <w:pPr>
        <w:pStyle w:val="Verzeichnis2"/>
        <w:rPr>
          <w:rFonts w:asciiTheme="minorHAnsi" w:hAnsiTheme="minorHAnsi"/>
        </w:rPr>
      </w:pPr>
      <w:hyperlink w:anchor="_Toc111118572" w:history="1">
        <w:r w:rsidRPr="008F4F8A">
          <w:rPr>
            <w:rStyle w:val="Hyperlink"/>
          </w:rPr>
          <w:t>11.3</w:t>
        </w:r>
        <w:r>
          <w:rPr>
            <w:rFonts w:asciiTheme="minorHAnsi" w:hAnsiTheme="minorHAnsi"/>
          </w:rPr>
          <w:tab/>
        </w:r>
        <w:r w:rsidRPr="008F4F8A">
          <w:rPr>
            <w:rStyle w:val="Hyperlink"/>
          </w:rPr>
          <w:t>Berechnung der täglichen prozentualen Netzkontoabweichung</w:t>
        </w:r>
        <w:r>
          <w:rPr>
            <w:webHidden/>
          </w:rPr>
          <w:tab/>
        </w:r>
        <w:r>
          <w:rPr>
            <w:webHidden/>
          </w:rPr>
          <w:fldChar w:fldCharType="begin"/>
        </w:r>
        <w:r>
          <w:rPr>
            <w:webHidden/>
          </w:rPr>
          <w:instrText xml:space="preserve"> PAGEREF _Toc111118572 \h </w:instrText>
        </w:r>
        <w:r>
          <w:rPr>
            <w:webHidden/>
          </w:rPr>
        </w:r>
        <w:r>
          <w:rPr>
            <w:webHidden/>
          </w:rPr>
          <w:fldChar w:fldCharType="separate"/>
        </w:r>
        <w:r>
          <w:rPr>
            <w:webHidden/>
          </w:rPr>
          <w:t>168</w:t>
        </w:r>
        <w:r>
          <w:rPr>
            <w:webHidden/>
          </w:rPr>
          <w:fldChar w:fldCharType="end"/>
        </w:r>
      </w:hyperlink>
    </w:p>
    <w:p w14:paraId="7E686B31" w14:textId="20F738CC" w:rsidR="00773299" w:rsidRDefault="00773299">
      <w:pPr>
        <w:pStyle w:val="Verzeichnis2"/>
        <w:rPr>
          <w:rFonts w:asciiTheme="minorHAnsi" w:hAnsiTheme="minorHAnsi"/>
        </w:rPr>
      </w:pPr>
      <w:hyperlink w:anchor="_Toc111118573" w:history="1">
        <w:r w:rsidRPr="008F4F8A">
          <w:rPr>
            <w:rStyle w:val="Hyperlink"/>
          </w:rPr>
          <w:t>11.4</w:t>
        </w:r>
        <w:r>
          <w:rPr>
            <w:rFonts w:asciiTheme="minorHAnsi" w:hAnsiTheme="minorHAnsi"/>
          </w:rPr>
          <w:tab/>
        </w:r>
        <w:r w:rsidRPr="008F4F8A">
          <w:rPr>
            <w:rStyle w:val="Hyperlink"/>
          </w:rPr>
          <w:t>Systematik der Abrechnung, Meldung und Veröffentlichung nach der täglichen Netzkontosystematik als Anreizsystem</w:t>
        </w:r>
        <w:r>
          <w:rPr>
            <w:webHidden/>
          </w:rPr>
          <w:tab/>
        </w:r>
        <w:r>
          <w:rPr>
            <w:webHidden/>
          </w:rPr>
          <w:fldChar w:fldCharType="begin"/>
        </w:r>
        <w:r>
          <w:rPr>
            <w:webHidden/>
          </w:rPr>
          <w:instrText xml:space="preserve"> PAGEREF _Toc111118573 \h </w:instrText>
        </w:r>
        <w:r>
          <w:rPr>
            <w:webHidden/>
          </w:rPr>
        </w:r>
        <w:r>
          <w:rPr>
            <w:webHidden/>
          </w:rPr>
          <w:fldChar w:fldCharType="separate"/>
        </w:r>
        <w:r>
          <w:rPr>
            <w:webHidden/>
          </w:rPr>
          <w:t>169</w:t>
        </w:r>
        <w:r>
          <w:rPr>
            <w:webHidden/>
          </w:rPr>
          <w:fldChar w:fldCharType="end"/>
        </w:r>
      </w:hyperlink>
    </w:p>
    <w:p w14:paraId="06E5422C" w14:textId="7B6CCB48" w:rsidR="00773299" w:rsidRDefault="00773299">
      <w:pPr>
        <w:pStyle w:val="Verzeichnis3"/>
        <w:rPr>
          <w:rFonts w:asciiTheme="minorHAnsi" w:eastAsiaTheme="minorEastAsia" w:hAnsiTheme="minorHAnsi" w:cstheme="minorBidi"/>
          <w:noProof/>
        </w:rPr>
      </w:pPr>
      <w:hyperlink w:anchor="_Toc111118574" w:history="1">
        <w:r w:rsidRPr="008F4F8A">
          <w:rPr>
            <w:rStyle w:val="Hyperlink"/>
            <w:noProof/>
          </w:rPr>
          <w:t>11.4.1</w:t>
        </w:r>
        <w:r>
          <w:rPr>
            <w:rFonts w:asciiTheme="minorHAnsi" w:eastAsiaTheme="minorEastAsia" w:hAnsiTheme="minorHAnsi" w:cstheme="minorBidi"/>
            <w:noProof/>
          </w:rPr>
          <w:tab/>
        </w:r>
        <w:r w:rsidRPr="008F4F8A">
          <w:rPr>
            <w:rStyle w:val="Hyperlink"/>
            <w:noProof/>
          </w:rPr>
          <w:t>Eckpunkte zur Abrechnung nach der täglichen Netzkontosystematik als Anreizsystem</w:t>
        </w:r>
        <w:r>
          <w:rPr>
            <w:noProof/>
            <w:webHidden/>
          </w:rPr>
          <w:tab/>
        </w:r>
        <w:r>
          <w:rPr>
            <w:noProof/>
            <w:webHidden/>
          </w:rPr>
          <w:fldChar w:fldCharType="begin"/>
        </w:r>
        <w:r>
          <w:rPr>
            <w:noProof/>
            <w:webHidden/>
          </w:rPr>
          <w:instrText xml:space="preserve"> PAGEREF _Toc111118574 \h </w:instrText>
        </w:r>
        <w:r>
          <w:rPr>
            <w:noProof/>
            <w:webHidden/>
          </w:rPr>
        </w:r>
        <w:r>
          <w:rPr>
            <w:noProof/>
            <w:webHidden/>
          </w:rPr>
          <w:fldChar w:fldCharType="separate"/>
        </w:r>
        <w:r>
          <w:rPr>
            <w:noProof/>
            <w:webHidden/>
          </w:rPr>
          <w:t>169</w:t>
        </w:r>
        <w:r>
          <w:rPr>
            <w:noProof/>
            <w:webHidden/>
          </w:rPr>
          <w:fldChar w:fldCharType="end"/>
        </w:r>
      </w:hyperlink>
    </w:p>
    <w:p w14:paraId="24283FC5" w14:textId="64DEB2E4" w:rsidR="00773299" w:rsidRDefault="00773299">
      <w:pPr>
        <w:pStyle w:val="Verzeichnis3"/>
        <w:rPr>
          <w:rFonts w:asciiTheme="minorHAnsi" w:eastAsiaTheme="minorEastAsia" w:hAnsiTheme="minorHAnsi" w:cstheme="minorBidi"/>
          <w:noProof/>
        </w:rPr>
      </w:pPr>
      <w:hyperlink w:anchor="_Toc111118575" w:history="1">
        <w:r w:rsidRPr="008F4F8A">
          <w:rPr>
            <w:rStyle w:val="Hyperlink"/>
            <w:noProof/>
          </w:rPr>
          <w:t>11.4.2</w:t>
        </w:r>
        <w:r>
          <w:rPr>
            <w:rFonts w:asciiTheme="minorHAnsi" w:eastAsiaTheme="minorEastAsia" w:hAnsiTheme="minorHAnsi" w:cstheme="minorBidi"/>
            <w:noProof/>
          </w:rPr>
          <w:tab/>
        </w:r>
        <w:r w:rsidRPr="008F4F8A">
          <w:rPr>
            <w:rStyle w:val="Hyperlink"/>
            <w:noProof/>
          </w:rPr>
          <w:t>Abstimmung des Netzkontos</w:t>
        </w:r>
        <w:r>
          <w:rPr>
            <w:noProof/>
            <w:webHidden/>
          </w:rPr>
          <w:tab/>
        </w:r>
        <w:r>
          <w:rPr>
            <w:noProof/>
            <w:webHidden/>
          </w:rPr>
          <w:fldChar w:fldCharType="begin"/>
        </w:r>
        <w:r>
          <w:rPr>
            <w:noProof/>
            <w:webHidden/>
          </w:rPr>
          <w:instrText xml:space="preserve"> PAGEREF _Toc111118575 \h </w:instrText>
        </w:r>
        <w:r>
          <w:rPr>
            <w:noProof/>
            <w:webHidden/>
          </w:rPr>
        </w:r>
        <w:r>
          <w:rPr>
            <w:noProof/>
            <w:webHidden/>
          </w:rPr>
          <w:fldChar w:fldCharType="separate"/>
        </w:r>
        <w:r>
          <w:rPr>
            <w:noProof/>
            <w:webHidden/>
          </w:rPr>
          <w:t>169</w:t>
        </w:r>
        <w:r>
          <w:rPr>
            <w:noProof/>
            <w:webHidden/>
          </w:rPr>
          <w:fldChar w:fldCharType="end"/>
        </w:r>
      </w:hyperlink>
    </w:p>
    <w:p w14:paraId="37231B5E" w14:textId="4463BE84" w:rsidR="00773299" w:rsidRDefault="00773299">
      <w:pPr>
        <w:pStyle w:val="Verzeichnis3"/>
        <w:rPr>
          <w:rFonts w:asciiTheme="minorHAnsi" w:eastAsiaTheme="minorEastAsia" w:hAnsiTheme="minorHAnsi" w:cstheme="minorBidi"/>
          <w:noProof/>
        </w:rPr>
      </w:pPr>
      <w:hyperlink w:anchor="_Toc111118576" w:history="1">
        <w:r w:rsidRPr="008F4F8A">
          <w:rPr>
            <w:rStyle w:val="Hyperlink"/>
            <w:noProof/>
          </w:rPr>
          <w:t>11.4.3</w:t>
        </w:r>
        <w:r>
          <w:rPr>
            <w:rFonts w:asciiTheme="minorHAnsi" w:eastAsiaTheme="minorEastAsia" w:hAnsiTheme="minorHAnsi" w:cstheme="minorBidi"/>
            <w:noProof/>
          </w:rPr>
          <w:tab/>
        </w:r>
        <w:r w:rsidRPr="008F4F8A">
          <w:rPr>
            <w:rStyle w:val="Hyperlink"/>
            <w:noProof/>
          </w:rPr>
          <w:t>Bereitstellung von Netzkontendaten durch den MGV</w:t>
        </w:r>
        <w:r>
          <w:rPr>
            <w:noProof/>
            <w:webHidden/>
          </w:rPr>
          <w:tab/>
        </w:r>
        <w:r>
          <w:rPr>
            <w:noProof/>
            <w:webHidden/>
          </w:rPr>
          <w:fldChar w:fldCharType="begin"/>
        </w:r>
        <w:r>
          <w:rPr>
            <w:noProof/>
            <w:webHidden/>
          </w:rPr>
          <w:instrText xml:space="preserve"> PAGEREF _Toc111118576 \h </w:instrText>
        </w:r>
        <w:r>
          <w:rPr>
            <w:noProof/>
            <w:webHidden/>
          </w:rPr>
        </w:r>
        <w:r>
          <w:rPr>
            <w:noProof/>
            <w:webHidden/>
          </w:rPr>
          <w:fldChar w:fldCharType="separate"/>
        </w:r>
        <w:r>
          <w:rPr>
            <w:noProof/>
            <w:webHidden/>
          </w:rPr>
          <w:t>170</w:t>
        </w:r>
        <w:r>
          <w:rPr>
            <w:noProof/>
            <w:webHidden/>
          </w:rPr>
          <w:fldChar w:fldCharType="end"/>
        </w:r>
      </w:hyperlink>
    </w:p>
    <w:p w14:paraId="58DDC4D5" w14:textId="649365DC" w:rsidR="00773299" w:rsidRDefault="00773299">
      <w:pPr>
        <w:pStyle w:val="Verzeichnis4"/>
        <w:rPr>
          <w:rFonts w:asciiTheme="minorHAnsi" w:eastAsiaTheme="minorEastAsia" w:hAnsiTheme="minorHAnsi" w:cstheme="minorBidi"/>
          <w:noProof/>
        </w:rPr>
      </w:pPr>
      <w:hyperlink w:anchor="_Toc111118577" w:history="1">
        <w:r w:rsidRPr="008F4F8A">
          <w:rPr>
            <w:rStyle w:val="Hyperlink"/>
            <w:noProof/>
          </w:rPr>
          <w:t>11.4.3.1</w:t>
        </w:r>
        <w:r>
          <w:rPr>
            <w:rFonts w:asciiTheme="minorHAnsi" w:eastAsiaTheme="minorEastAsia" w:hAnsiTheme="minorHAnsi" w:cstheme="minorBidi"/>
            <w:noProof/>
          </w:rPr>
          <w:tab/>
        </w:r>
        <w:r w:rsidRPr="008F4F8A">
          <w:rPr>
            <w:rStyle w:val="Hyperlink"/>
            <w:noProof/>
          </w:rPr>
          <w:t>Netzkontoauszug</w:t>
        </w:r>
        <w:r>
          <w:rPr>
            <w:noProof/>
            <w:webHidden/>
          </w:rPr>
          <w:tab/>
        </w:r>
        <w:r>
          <w:rPr>
            <w:noProof/>
            <w:webHidden/>
          </w:rPr>
          <w:fldChar w:fldCharType="begin"/>
        </w:r>
        <w:r>
          <w:rPr>
            <w:noProof/>
            <w:webHidden/>
          </w:rPr>
          <w:instrText xml:space="preserve"> PAGEREF _Toc111118577 \h </w:instrText>
        </w:r>
        <w:r>
          <w:rPr>
            <w:noProof/>
            <w:webHidden/>
          </w:rPr>
        </w:r>
        <w:r>
          <w:rPr>
            <w:noProof/>
            <w:webHidden/>
          </w:rPr>
          <w:fldChar w:fldCharType="separate"/>
        </w:r>
        <w:r>
          <w:rPr>
            <w:noProof/>
            <w:webHidden/>
          </w:rPr>
          <w:t>173</w:t>
        </w:r>
        <w:r>
          <w:rPr>
            <w:noProof/>
            <w:webHidden/>
          </w:rPr>
          <w:fldChar w:fldCharType="end"/>
        </w:r>
      </w:hyperlink>
    </w:p>
    <w:p w14:paraId="4ED4F77E" w14:textId="40884891" w:rsidR="00773299" w:rsidRDefault="00773299">
      <w:pPr>
        <w:pStyle w:val="Verzeichnis4"/>
        <w:rPr>
          <w:rFonts w:asciiTheme="minorHAnsi" w:eastAsiaTheme="minorEastAsia" w:hAnsiTheme="minorHAnsi" w:cstheme="minorBidi"/>
          <w:noProof/>
        </w:rPr>
      </w:pPr>
      <w:hyperlink w:anchor="_Toc111118578" w:history="1">
        <w:r w:rsidRPr="008F4F8A">
          <w:rPr>
            <w:rStyle w:val="Hyperlink"/>
            <w:noProof/>
          </w:rPr>
          <w:t>11.4.3.2</w:t>
        </w:r>
        <w:r>
          <w:rPr>
            <w:rFonts w:asciiTheme="minorHAnsi" w:eastAsiaTheme="minorEastAsia" w:hAnsiTheme="minorHAnsi" w:cstheme="minorBidi"/>
            <w:noProof/>
          </w:rPr>
          <w:tab/>
        </w:r>
        <w:r w:rsidRPr="008F4F8A">
          <w:rPr>
            <w:rStyle w:val="Hyperlink"/>
            <w:noProof/>
          </w:rPr>
          <w:t>Allokationsdatenberichte</w:t>
        </w:r>
        <w:r>
          <w:rPr>
            <w:noProof/>
            <w:webHidden/>
          </w:rPr>
          <w:tab/>
        </w:r>
        <w:r>
          <w:rPr>
            <w:noProof/>
            <w:webHidden/>
          </w:rPr>
          <w:fldChar w:fldCharType="begin"/>
        </w:r>
        <w:r>
          <w:rPr>
            <w:noProof/>
            <w:webHidden/>
          </w:rPr>
          <w:instrText xml:space="preserve"> PAGEREF _Toc111118578 \h </w:instrText>
        </w:r>
        <w:r>
          <w:rPr>
            <w:noProof/>
            <w:webHidden/>
          </w:rPr>
        </w:r>
        <w:r>
          <w:rPr>
            <w:noProof/>
            <w:webHidden/>
          </w:rPr>
          <w:fldChar w:fldCharType="separate"/>
        </w:r>
        <w:r>
          <w:rPr>
            <w:noProof/>
            <w:webHidden/>
          </w:rPr>
          <w:t>174</w:t>
        </w:r>
        <w:r>
          <w:rPr>
            <w:noProof/>
            <w:webHidden/>
          </w:rPr>
          <w:fldChar w:fldCharType="end"/>
        </w:r>
      </w:hyperlink>
    </w:p>
    <w:p w14:paraId="5B278DFD" w14:textId="4F81F57B" w:rsidR="00773299" w:rsidRDefault="00773299">
      <w:pPr>
        <w:pStyle w:val="Verzeichnis3"/>
        <w:rPr>
          <w:rFonts w:asciiTheme="minorHAnsi" w:eastAsiaTheme="minorEastAsia" w:hAnsiTheme="minorHAnsi" w:cstheme="minorBidi"/>
          <w:noProof/>
        </w:rPr>
      </w:pPr>
      <w:hyperlink w:anchor="_Toc111118579" w:history="1">
        <w:r w:rsidRPr="008F4F8A">
          <w:rPr>
            <w:rStyle w:val="Hyperlink"/>
            <w:noProof/>
          </w:rPr>
          <w:t>11.4.4</w:t>
        </w:r>
        <w:r>
          <w:rPr>
            <w:rFonts w:asciiTheme="minorHAnsi" w:eastAsiaTheme="minorEastAsia" w:hAnsiTheme="minorHAnsi" w:cstheme="minorBidi"/>
            <w:noProof/>
          </w:rPr>
          <w:tab/>
        </w:r>
        <w:r w:rsidRPr="008F4F8A">
          <w:rPr>
            <w:rStyle w:val="Hyperlink"/>
            <w:noProof/>
          </w:rPr>
          <w:t>Abrechnung nach der täglichen Netzkontosystematik als Anreizsystem</w:t>
        </w:r>
        <w:r>
          <w:rPr>
            <w:noProof/>
            <w:webHidden/>
          </w:rPr>
          <w:tab/>
        </w:r>
        <w:r>
          <w:rPr>
            <w:noProof/>
            <w:webHidden/>
          </w:rPr>
          <w:fldChar w:fldCharType="begin"/>
        </w:r>
        <w:r>
          <w:rPr>
            <w:noProof/>
            <w:webHidden/>
          </w:rPr>
          <w:instrText xml:space="preserve"> PAGEREF _Toc111118579 \h </w:instrText>
        </w:r>
        <w:r>
          <w:rPr>
            <w:noProof/>
            <w:webHidden/>
          </w:rPr>
        </w:r>
        <w:r>
          <w:rPr>
            <w:noProof/>
            <w:webHidden/>
          </w:rPr>
          <w:fldChar w:fldCharType="separate"/>
        </w:r>
        <w:r>
          <w:rPr>
            <w:noProof/>
            <w:webHidden/>
          </w:rPr>
          <w:t>178</w:t>
        </w:r>
        <w:r>
          <w:rPr>
            <w:noProof/>
            <w:webHidden/>
          </w:rPr>
          <w:fldChar w:fldCharType="end"/>
        </w:r>
      </w:hyperlink>
    </w:p>
    <w:p w14:paraId="177F0E5C" w14:textId="49D83321" w:rsidR="00773299" w:rsidRDefault="00773299">
      <w:pPr>
        <w:pStyle w:val="Verzeichnis3"/>
        <w:rPr>
          <w:rFonts w:asciiTheme="minorHAnsi" w:eastAsiaTheme="minorEastAsia" w:hAnsiTheme="minorHAnsi" w:cstheme="minorBidi"/>
          <w:noProof/>
        </w:rPr>
      </w:pPr>
      <w:hyperlink w:anchor="_Toc111118580" w:history="1">
        <w:r w:rsidRPr="008F4F8A">
          <w:rPr>
            <w:rStyle w:val="Hyperlink"/>
            <w:noProof/>
          </w:rPr>
          <w:t>11.4.5</w:t>
        </w:r>
        <w:r>
          <w:rPr>
            <w:rFonts w:asciiTheme="minorHAnsi" w:eastAsiaTheme="minorEastAsia" w:hAnsiTheme="minorHAnsi" w:cstheme="minorBidi"/>
            <w:noProof/>
          </w:rPr>
          <w:tab/>
        </w:r>
        <w:r w:rsidRPr="008F4F8A">
          <w:rPr>
            <w:rStyle w:val="Hyperlink"/>
            <w:noProof/>
          </w:rPr>
          <w:t>Auswirkungen auf die Abrechnung der Mehr-/Mindermengen und Rückabwicklung der Netzkontenabrechnung</w:t>
        </w:r>
        <w:r>
          <w:rPr>
            <w:noProof/>
            <w:webHidden/>
          </w:rPr>
          <w:tab/>
        </w:r>
        <w:r>
          <w:rPr>
            <w:noProof/>
            <w:webHidden/>
          </w:rPr>
          <w:fldChar w:fldCharType="begin"/>
        </w:r>
        <w:r>
          <w:rPr>
            <w:noProof/>
            <w:webHidden/>
          </w:rPr>
          <w:instrText xml:space="preserve"> PAGEREF _Toc111118580 \h </w:instrText>
        </w:r>
        <w:r>
          <w:rPr>
            <w:noProof/>
            <w:webHidden/>
          </w:rPr>
        </w:r>
        <w:r>
          <w:rPr>
            <w:noProof/>
            <w:webHidden/>
          </w:rPr>
          <w:fldChar w:fldCharType="separate"/>
        </w:r>
        <w:r>
          <w:rPr>
            <w:noProof/>
            <w:webHidden/>
          </w:rPr>
          <w:t>179</w:t>
        </w:r>
        <w:r>
          <w:rPr>
            <w:noProof/>
            <w:webHidden/>
          </w:rPr>
          <w:fldChar w:fldCharType="end"/>
        </w:r>
      </w:hyperlink>
    </w:p>
    <w:p w14:paraId="0056A509" w14:textId="43835234" w:rsidR="00773299" w:rsidRDefault="00773299">
      <w:pPr>
        <w:pStyle w:val="Verzeichnis2"/>
        <w:rPr>
          <w:rFonts w:asciiTheme="minorHAnsi" w:hAnsiTheme="minorHAnsi"/>
        </w:rPr>
      </w:pPr>
      <w:hyperlink w:anchor="_Toc111118581" w:history="1">
        <w:r w:rsidRPr="008F4F8A">
          <w:rPr>
            <w:rStyle w:val="Hyperlink"/>
          </w:rPr>
          <w:t>11.5</w:t>
        </w:r>
        <w:r>
          <w:rPr>
            <w:rFonts w:asciiTheme="minorHAnsi" w:hAnsiTheme="minorHAnsi"/>
          </w:rPr>
          <w:tab/>
        </w:r>
        <w:r w:rsidRPr="008F4F8A">
          <w:rPr>
            <w:rStyle w:val="Hyperlink"/>
          </w:rPr>
          <w:t>Meldesystem an die BNetzA nach der täglichen Netzkontosystematik als Anreizsystem</w:t>
        </w:r>
        <w:r>
          <w:rPr>
            <w:webHidden/>
          </w:rPr>
          <w:tab/>
        </w:r>
        <w:r>
          <w:rPr>
            <w:webHidden/>
          </w:rPr>
          <w:fldChar w:fldCharType="begin"/>
        </w:r>
        <w:r>
          <w:rPr>
            <w:webHidden/>
          </w:rPr>
          <w:instrText xml:space="preserve"> PAGEREF _Toc111118581 \h </w:instrText>
        </w:r>
        <w:r>
          <w:rPr>
            <w:webHidden/>
          </w:rPr>
        </w:r>
        <w:r>
          <w:rPr>
            <w:webHidden/>
          </w:rPr>
          <w:fldChar w:fldCharType="separate"/>
        </w:r>
        <w:r>
          <w:rPr>
            <w:webHidden/>
          </w:rPr>
          <w:t>184</w:t>
        </w:r>
        <w:r>
          <w:rPr>
            <w:webHidden/>
          </w:rPr>
          <w:fldChar w:fldCharType="end"/>
        </w:r>
      </w:hyperlink>
    </w:p>
    <w:p w14:paraId="1705F3EF" w14:textId="38D86A25" w:rsidR="00773299" w:rsidRDefault="00773299">
      <w:pPr>
        <w:pStyle w:val="Verzeichnis2"/>
        <w:rPr>
          <w:rFonts w:asciiTheme="minorHAnsi" w:hAnsiTheme="minorHAnsi"/>
        </w:rPr>
      </w:pPr>
      <w:hyperlink w:anchor="_Toc111118582" w:history="1">
        <w:r w:rsidRPr="008F4F8A">
          <w:rPr>
            <w:rStyle w:val="Hyperlink"/>
          </w:rPr>
          <w:t>11.6</w:t>
        </w:r>
        <w:r>
          <w:rPr>
            <w:rFonts w:asciiTheme="minorHAnsi" w:hAnsiTheme="minorHAnsi"/>
          </w:rPr>
          <w:tab/>
        </w:r>
        <w:r w:rsidRPr="008F4F8A">
          <w:rPr>
            <w:rStyle w:val="Hyperlink"/>
          </w:rPr>
          <w:t>Veröffentlichung nach der täglichen Netzkontosystematik als Anreizsystem von NB auf der Internetseite des MGV</w:t>
        </w:r>
        <w:r>
          <w:rPr>
            <w:webHidden/>
          </w:rPr>
          <w:tab/>
        </w:r>
        <w:r>
          <w:rPr>
            <w:webHidden/>
          </w:rPr>
          <w:fldChar w:fldCharType="begin"/>
        </w:r>
        <w:r>
          <w:rPr>
            <w:webHidden/>
          </w:rPr>
          <w:instrText xml:space="preserve"> PAGEREF _Toc111118582 \h </w:instrText>
        </w:r>
        <w:r>
          <w:rPr>
            <w:webHidden/>
          </w:rPr>
        </w:r>
        <w:r>
          <w:rPr>
            <w:webHidden/>
          </w:rPr>
          <w:fldChar w:fldCharType="separate"/>
        </w:r>
        <w:r>
          <w:rPr>
            <w:webHidden/>
          </w:rPr>
          <w:t>184</w:t>
        </w:r>
        <w:r>
          <w:rPr>
            <w:webHidden/>
          </w:rPr>
          <w:fldChar w:fldCharType="end"/>
        </w:r>
      </w:hyperlink>
    </w:p>
    <w:p w14:paraId="5A6BCB00" w14:textId="096514FD" w:rsidR="00773299" w:rsidRDefault="00773299">
      <w:pPr>
        <w:pStyle w:val="Verzeichnis2"/>
        <w:rPr>
          <w:rFonts w:asciiTheme="minorHAnsi" w:hAnsiTheme="minorHAnsi"/>
        </w:rPr>
      </w:pPr>
      <w:hyperlink w:anchor="_Toc111118583" w:history="1">
        <w:r w:rsidRPr="008F4F8A">
          <w:rPr>
            <w:rStyle w:val="Hyperlink"/>
          </w:rPr>
          <w:t>11.7</w:t>
        </w:r>
        <w:r>
          <w:rPr>
            <w:rFonts w:asciiTheme="minorHAnsi" w:hAnsiTheme="minorHAnsi"/>
          </w:rPr>
          <w:tab/>
        </w:r>
        <w:r w:rsidRPr="008F4F8A">
          <w:rPr>
            <w:rStyle w:val="Hyperlink"/>
          </w:rPr>
          <w:t>Prüfungspflicht bei dauerhaft unüblicher Netzkontoabweichung</w:t>
        </w:r>
        <w:r>
          <w:rPr>
            <w:webHidden/>
          </w:rPr>
          <w:tab/>
        </w:r>
        <w:r>
          <w:rPr>
            <w:webHidden/>
          </w:rPr>
          <w:fldChar w:fldCharType="begin"/>
        </w:r>
        <w:r>
          <w:rPr>
            <w:webHidden/>
          </w:rPr>
          <w:instrText xml:space="preserve"> PAGEREF _Toc111118583 \h </w:instrText>
        </w:r>
        <w:r>
          <w:rPr>
            <w:webHidden/>
          </w:rPr>
        </w:r>
        <w:r>
          <w:rPr>
            <w:webHidden/>
          </w:rPr>
          <w:fldChar w:fldCharType="separate"/>
        </w:r>
        <w:r>
          <w:rPr>
            <w:webHidden/>
          </w:rPr>
          <w:t>185</w:t>
        </w:r>
        <w:r>
          <w:rPr>
            <w:webHidden/>
          </w:rPr>
          <w:fldChar w:fldCharType="end"/>
        </w:r>
      </w:hyperlink>
    </w:p>
    <w:p w14:paraId="28C076E2" w14:textId="30A6C0AA" w:rsidR="00DF612D" w:rsidRDefault="00561FFA" w:rsidP="003C2438">
      <w:pPr>
        <w:tabs>
          <w:tab w:val="right" w:leader="dot" w:pos="9072"/>
        </w:tabs>
        <w:rPr>
          <w:rFonts w:cs="Arial"/>
        </w:rPr>
      </w:pPr>
      <w:r w:rsidRPr="00BA0843">
        <w:rPr>
          <w:rFonts w:cs="Arial"/>
        </w:rPr>
        <w:fldChar w:fldCharType="end"/>
      </w:r>
    </w:p>
    <w:p w14:paraId="7A9D7B7D" w14:textId="77777777" w:rsidR="00DF612D" w:rsidRDefault="00DF612D" w:rsidP="003C2438">
      <w:pPr>
        <w:outlineLvl w:val="0"/>
        <w:rPr>
          <w:b/>
        </w:rPr>
      </w:pPr>
      <w:r>
        <w:rPr>
          <w:rFonts w:cs="Arial"/>
        </w:rPr>
        <w:br w:type="page"/>
      </w:r>
      <w:bookmarkStart w:id="5" w:name="_Toc357091869"/>
      <w:bookmarkStart w:id="6" w:name="_Toc358284754"/>
      <w:bookmarkStart w:id="7" w:name="_Toc111118435"/>
      <w:r w:rsidRPr="005E563F">
        <w:rPr>
          <w:b/>
        </w:rPr>
        <w:lastRenderedPageBreak/>
        <w:t>Abbildungsverzeichnis</w:t>
      </w:r>
      <w:bookmarkEnd w:id="5"/>
      <w:bookmarkEnd w:id="6"/>
      <w:bookmarkEnd w:id="7"/>
    </w:p>
    <w:p w14:paraId="06975DE1" w14:textId="77777777" w:rsidR="005E563F" w:rsidRPr="00D40AF0" w:rsidRDefault="005E563F" w:rsidP="003C2438"/>
    <w:p w14:paraId="28DBE015" w14:textId="2650E0DD" w:rsidR="00E62FB0" w:rsidRDefault="00561FFA">
      <w:pPr>
        <w:pStyle w:val="Abbildungsverzeichnis"/>
        <w:rPr>
          <w:rFonts w:asciiTheme="minorHAnsi" w:eastAsiaTheme="minorEastAsia" w:hAnsiTheme="minorHAnsi" w:cstheme="minorBidi"/>
          <w:noProof/>
          <w:sz w:val="22"/>
          <w:szCs w:val="22"/>
        </w:rPr>
      </w:pPr>
      <w:r w:rsidRPr="009909C7">
        <w:rPr>
          <w:rFonts w:cs="Arial"/>
          <w:caps/>
          <w:sz w:val="22"/>
          <w:szCs w:val="22"/>
        </w:rPr>
        <w:fldChar w:fldCharType="begin"/>
      </w:r>
      <w:r w:rsidR="00E157A6" w:rsidRPr="009909C7">
        <w:rPr>
          <w:rFonts w:cs="Arial"/>
          <w:caps/>
          <w:sz w:val="22"/>
          <w:szCs w:val="22"/>
        </w:rPr>
        <w:instrText xml:space="preserve"> TOC \h \z \c "Abbildung" </w:instrText>
      </w:r>
      <w:r w:rsidRPr="009909C7">
        <w:rPr>
          <w:rFonts w:cs="Arial"/>
          <w:caps/>
          <w:sz w:val="22"/>
          <w:szCs w:val="22"/>
        </w:rPr>
        <w:fldChar w:fldCharType="separate"/>
      </w:r>
      <w:hyperlink w:anchor="_Toc111196130" w:history="1">
        <w:r w:rsidR="00E62FB0" w:rsidRPr="00DA444B">
          <w:rPr>
            <w:rStyle w:val="Hyperlink"/>
            <w:b/>
            <w:noProof/>
          </w:rPr>
          <w:t>Abbildung 1: Überblick über das Zusammenspiel der einzelnen Marktrollen/Vertragspartner</w:t>
        </w:r>
        <w:r w:rsidR="00E62FB0">
          <w:rPr>
            <w:noProof/>
            <w:webHidden/>
          </w:rPr>
          <w:tab/>
        </w:r>
        <w:r w:rsidR="00E62FB0">
          <w:rPr>
            <w:noProof/>
            <w:webHidden/>
          </w:rPr>
          <w:fldChar w:fldCharType="begin"/>
        </w:r>
        <w:r w:rsidR="00E62FB0">
          <w:rPr>
            <w:noProof/>
            <w:webHidden/>
          </w:rPr>
          <w:instrText xml:space="preserve"> PAGEREF _Toc111196130 \h </w:instrText>
        </w:r>
        <w:r w:rsidR="00E62FB0">
          <w:rPr>
            <w:noProof/>
            <w:webHidden/>
          </w:rPr>
        </w:r>
        <w:r w:rsidR="00E62FB0">
          <w:rPr>
            <w:noProof/>
            <w:webHidden/>
          </w:rPr>
          <w:fldChar w:fldCharType="separate"/>
        </w:r>
        <w:r w:rsidR="00E62FB0">
          <w:rPr>
            <w:noProof/>
            <w:webHidden/>
          </w:rPr>
          <w:t>15</w:t>
        </w:r>
        <w:r w:rsidR="00E62FB0">
          <w:rPr>
            <w:noProof/>
            <w:webHidden/>
          </w:rPr>
          <w:fldChar w:fldCharType="end"/>
        </w:r>
      </w:hyperlink>
    </w:p>
    <w:p w14:paraId="16306012" w14:textId="78AC1BD8" w:rsidR="00E62FB0" w:rsidRDefault="00E62FB0">
      <w:pPr>
        <w:pStyle w:val="Abbildungsverzeichnis"/>
        <w:rPr>
          <w:rFonts w:asciiTheme="minorHAnsi" w:eastAsiaTheme="minorEastAsia" w:hAnsiTheme="minorHAnsi" w:cstheme="minorBidi"/>
          <w:noProof/>
          <w:sz w:val="22"/>
          <w:szCs w:val="22"/>
        </w:rPr>
      </w:pPr>
      <w:hyperlink w:anchor="_Toc111196131" w:history="1">
        <w:r w:rsidRPr="00DA444B">
          <w:rPr>
            <w:rStyle w:val="Hyperlink"/>
            <w:b/>
            <w:noProof/>
          </w:rPr>
          <w:t>Abbildung 2: Prozesskette „Durchführung des Netzzugangs“</w:t>
        </w:r>
        <w:r>
          <w:rPr>
            <w:noProof/>
            <w:webHidden/>
          </w:rPr>
          <w:tab/>
        </w:r>
        <w:r>
          <w:rPr>
            <w:noProof/>
            <w:webHidden/>
          </w:rPr>
          <w:fldChar w:fldCharType="begin"/>
        </w:r>
        <w:r>
          <w:rPr>
            <w:noProof/>
            <w:webHidden/>
          </w:rPr>
          <w:instrText xml:space="preserve"> PAGEREF _Toc111196131 \h </w:instrText>
        </w:r>
        <w:r>
          <w:rPr>
            <w:noProof/>
            <w:webHidden/>
          </w:rPr>
        </w:r>
        <w:r>
          <w:rPr>
            <w:noProof/>
            <w:webHidden/>
          </w:rPr>
          <w:fldChar w:fldCharType="separate"/>
        </w:r>
        <w:r>
          <w:rPr>
            <w:noProof/>
            <w:webHidden/>
          </w:rPr>
          <w:t>17</w:t>
        </w:r>
        <w:r>
          <w:rPr>
            <w:noProof/>
            <w:webHidden/>
          </w:rPr>
          <w:fldChar w:fldCharType="end"/>
        </w:r>
      </w:hyperlink>
    </w:p>
    <w:p w14:paraId="58E24F3B" w14:textId="6A94FB9F" w:rsidR="00E62FB0" w:rsidRDefault="00E62FB0">
      <w:pPr>
        <w:pStyle w:val="Abbildungsverzeichnis"/>
        <w:rPr>
          <w:rFonts w:asciiTheme="minorHAnsi" w:eastAsiaTheme="minorEastAsia" w:hAnsiTheme="minorHAnsi" w:cstheme="minorBidi"/>
          <w:noProof/>
          <w:sz w:val="22"/>
          <w:szCs w:val="22"/>
        </w:rPr>
      </w:pPr>
      <w:hyperlink w:anchor="_Toc111196132" w:history="1">
        <w:r w:rsidRPr="00DA444B">
          <w:rPr>
            <w:rStyle w:val="Hyperlink"/>
            <w:b/>
            <w:noProof/>
          </w:rPr>
          <w:t>Abbildung 3: Identifikationsnummer von Netzkonten im Marktgebiet (THE)</w:t>
        </w:r>
        <w:r>
          <w:rPr>
            <w:noProof/>
            <w:webHidden/>
          </w:rPr>
          <w:tab/>
        </w:r>
        <w:r>
          <w:rPr>
            <w:noProof/>
            <w:webHidden/>
          </w:rPr>
          <w:fldChar w:fldCharType="begin"/>
        </w:r>
        <w:r>
          <w:rPr>
            <w:noProof/>
            <w:webHidden/>
          </w:rPr>
          <w:instrText xml:space="preserve"> PAGEREF _Toc111196132 \h </w:instrText>
        </w:r>
        <w:r>
          <w:rPr>
            <w:noProof/>
            <w:webHidden/>
          </w:rPr>
        </w:r>
        <w:r>
          <w:rPr>
            <w:noProof/>
            <w:webHidden/>
          </w:rPr>
          <w:fldChar w:fldCharType="separate"/>
        </w:r>
        <w:r>
          <w:rPr>
            <w:noProof/>
            <w:webHidden/>
          </w:rPr>
          <w:t>24</w:t>
        </w:r>
        <w:r>
          <w:rPr>
            <w:noProof/>
            <w:webHidden/>
          </w:rPr>
          <w:fldChar w:fldCharType="end"/>
        </w:r>
      </w:hyperlink>
    </w:p>
    <w:p w14:paraId="7D066937" w14:textId="0F58E1FB" w:rsidR="00E62FB0" w:rsidRDefault="00E62FB0">
      <w:pPr>
        <w:pStyle w:val="Abbildungsverzeichnis"/>
        <w:rPr>
          <w:rFonts w:asciiTheme="minorHAnsi" w:eastAsiaTheme="minorEastAsia" w:hAnsiTheme="minorHAnsi" w:cstheme="minorBidi"/>
          <w:noProof/>
          <w:sz w:val="22"/>
          <w:szCs w:val="22"/>
        </w:rPr>
      </w:pPr>
      <w:hyperlink w:anchor="_Toc111196133" w:history="1">
        <w:r w:rsidRPr="00DA444B">
          <w:rPr>
            <w:rStyle w:val="Hyperlink"/>
            <w:b/>
            <w:noProof/>
          </w:rPr>
          <w:t>Abbildung 4: Identifikationsnummer von NKBO im Marktgebiet</w:t>
        </w:r>
        <w:r>
          <w:rPr>
            <w:noProof/>
            <w:webHidden/>
          </w:rPr>
          <w:tab/>
        </w:r>
        <w:r>
          <w:rPr>
            <w:noProof/>
            <w:webHidden/>
          </w:rPr>
          <w:fldChar w:fldCharType="begin"/>
        </w:r>
        <w:r>
          <w:rPr>
            <w:noProof/>
            <w:webHidden/>
          </w:rPr>
          <w:instrText xml:space="preserve"> PAGEREF _Toc111196133 \h </w:instrText>
        </w:r>
        <w:r>
          <w:rPr>
            <w:noProof/>
            <w:webHidden/>
          </w:rPr>
        </w:r>
        <w:r>
          <w:rPr>
            <w:noProof/>
            <w:webHidden/>
          </w:rPr>
          <w:fldChar w:fldCharType="separate"/>
        </w:r>
        <w:r>
          <w:rPr>
            <w:noProof/>
            <w:webHidden/>
          </w:rPr>
          <w:t>25</w:t>
        </w:r>
        <w:r>
          <w:rPr>
            <w:noProof/>
            <w:webHidden/>
          </w:rPr>
          <w:fldChar w:fldCharType="end"/>
        </w:r>
      </w:hyperlink>
    </w:p>
    <w:p w14:paraId="79FF5A90" w14:textId="6B665840" w:rsidR="00E62FB0" w:rsidRDefault="00E62FB0">
      <w:pPr>
        <w:pStyle w:val="Abbildungsverzeichnis"/>
        <w:rPr>
          <w:rFonts w:asciiTheme="minorHAnsi" w:eastAsiaTheme="minorEastAsia" w:hAnsiTheme="minorHAnsi" w:cstheme="minorBidi"/>
          <w:noProof/>
          <w:sz w:val="22"/>
          <w:szCs w:val="22"/>
        </w:rPr>
      </w:pPr>
      <w:hyperlink w:anchor="_Toc111196134" w:history="1">
        <w:r w:rsidRPr="00DA444B">
          <w:rPr>
            <w:rStyle w:val="Hyperlink"/>
            <w:b/>
            <w:noProof/>
          </w:rPr>
          <w:t>Abbildung 5: Kennzeichnung von Bilanzkreisen und Sub-Bilanzkonten</w:t>
        </w:r>
        <w:r>
          <w:rPr>
            <w:noProof/>
            <w:webHidden/>
          </w:rPr>
          <w:tab/>
        </w:r>
        <w:r>
          <w:rPr>
            <w:noProof/>
            <w:webHidden/>
          </w:rPr>
          <w:fldChar w:fldCharType="begin"/>
        </w:r>
        <w:r>
          <w:rPr>
            <w:noProof/>
            <w:webHidden/>
          </w:rPr>
          <w:instrText xml:space="preserve"> PAGEREF _Toc111196134 \h </w:instrText>
        </w:r>
        <w:r>
          <w:rPr>
            <w:noProof/>
            <w:webHidden/>
          </w:rPr>
        </w:r>
        <w:r>
          <w:rPr>
            <w:noProof/>
            <w:webHidden/>
          </w:rPr>
          <w:fldChar w:fldCharType="separate"/>
        </w:r>
        <w:r>
          <w:rPr>
            <w:noProof/>
            <w:webHidden/>
          </w:rPr>
          <w:t>28</w:t>
        </w:r>
        <w:r>
          <w:rPr>
            <w:noProof/>
            <w:webHidden/>
          </w:rPr>
          <w:fldChar w:fldCharType="end"/>
        </w:r>
      </w:hyperlink>
    </w:p>
    <w:p w14:paraId="5442429E" w14:textId="2BED3FCD" w:rsidR="00E62FB0" w:rsidRDefault="00E62FB0">
      <w:pPr>
        <w:pStyle w:val="Abbildungsverzeichnis"/>
        <w:rPr>
          <w:rFonts w:asciiTheme="minorHAnsi" w:eastAsiaTheme="minorEastAsia" w:hAnsiTheme="minorHAnsi" w:cstheme="minorBidi"/>
          <w:noProof/>
          <w:sz w:val="22"/>
          <w:szCs w:val="22"/>
        </w:rPr>
      </w:pPr>
      <w:hyperlink w:anchor="_Toc111196135" w:history="1">
        <w:r w:rsidRPr="00DA444B">
          <w:rPr>
            <w:rStyle w:val="Hyperlink"/>
            <w:b/>
            <w:bCs/>
            <w:noProof/>
          </w:rPr>
          <w:t>Abbildung 6: Beispiel für eine Aufteilung von Biogaseinspeisungen auf verschiedene Bilanzkreise</w:t>
        </w:r>
        <w:r>
          <w:rPr>
            <w:noProof/>
            <w:webHidden/>
          </w:rPr>
          <w:tab/>
        </w:r>
        <w:r>
          <w:rPr>
            <w:noProof/>
            <w:webHidden/>
          </w:rPr>
          <w:fldChar w:fldCharType="begin"/>
        </w:r>
        <w:r>
          <w:rPr>
            <w:noProof/>
            <w:webHidden/>
          </w:rPr>
          <w:instrText xml:space="preserve"> PAGEREF _Toc111196135 \h </w:instrText>
        </w:r>
        <w:r>
          <w:rPr>
            <w:noProof/>
            <w:webHidden/>
          </w:rPr>
        </w:r>
        <w:r>
          <w:rPr>
            <w:noProof/>
            <w:webHidden/>
          </w:rPr>
          <w:fldChar w:fldCharType="separate"/>
        </w:r>
        <w:r>
          <w:rPr>
            <w:noProof/>
            <w:webHidden/>
          </w:rPr>
          <w:t>30</w:t>
        </w:r>
        <w:r>
          <w:rPr>
            <w:noProof/>
            <w:webHidden/>
          </w:rPr>
          <w:fldChar w:fldCharType="end"/>
        </w:r>
      </w:hyperlink>
    </w:p>
    <w:p w14:paraId="0D028E6E" w14:textId="6318E38B" w:rsidR="00E62FB0" w:rsidRDefault="00E62FB0">
      <w:pPr>
        <w:pStyle w:val="Abbildungsverzeichnis"/>
        <w:rPr>
          <w:rFonts w:asciiTheme="minorHAnsi" w:eastAsiaTheme="minorEastAsia" w:hAnsiTheme="minorHAnsi" w:cstheme="minorBidi"/>
          <w:noProof/>
          <w:sz w:val="22"/>
          <w:szCs w:val="22"/>
        </w:rPr>
      </w:pPr>
      <w:hyperlink w:anchor="_Toc111196136" w:history="1">
        <w:r w:rsidRPr="00DA444B">
          <w:rPr>
            <w:rStyle w:val="Hyperlink"/>
            <w:b/>
            <w:noProof/>
          </w:rPr>
          <w:t>Abbildung 7: Mögliche Verbindungen von Bilanzkreisen</w:t>
        </w:r>
        <w:r>
          <w:rPr>
            <w:noProof/>
            <w:webHidden/>
          </w:rPr>
          <w:tab/>
        </w:r>
        <w:r>
          <w:rPr>
            <w:noProof/>
            <w:webHidden/>
          </w:rPr>
          <w:fldChar w:fldCharType="begin"/>
        </w:r>
        <w:r>
          <w:rPr>
            <w:noProof/>
            <w:webHidden/>
          </w:rPr>
          <w:instrText xml:space="preserve"> PAGEREF _Toc111196136 \h </w:instrText>
        </w:r>
        <w:r>
          <w:rPr>
            <w:noProof/>
            <w:webHidden/>
          </w:rPr>
        </w:r>
        <w:r>
          <w:rPr>
            <w:noProof/>
            <w:webHidden/>
          </w:rPr>
          <w:fldChar w:fldCharType="separate"/>
        </w:r>
        <w:r>
          <w:rPr>
            <w:noProof/>
            <w:webHidden/>
          </w:rPr>
          <w:t>31</w:t>
        </w:r>
        <w:r>
          <w:rPr>
            <w:noProof/>
            <w:webHidden/>
          </w:rPr>
          <w:fldChar w:fldCharType="end"/>
        </w:r>
      </w:hyperlink>
    </w:p>
    <w:p w14:paraId="361EBC12" w14:textId="5FB117DE" w:rsidR="00E62FB0" w:rsidRDefault="00E62FB0">
      <w:pPr>
        <w:pStyle w:val="Abbildungsverzeichnis"/>
        <w:rPr>
          <w:rFonts w:asciiTheme="minorHAnsi" w:eastAsiaTheme="minorEastAsia" w:hAnsiTheme="minorHAnsi" w:cstheme="minorBidi"/>
          <w:noProof/>
          <w:sz w:val="22"/>
          <w:szCs w:val="22"/>
        </w:rPr>
      </w:pPr>
      <w:hyperlink w:anchor="_Toc111196137" w:history="1">
        <w:r w:rsidRPr="00DA444B">
          <w:rPr>
            <w:rStyle w:val="Hyperlink"/>
            <w:b/>
            <w:noProof/>
          </w:rPr>
          <w:t>Abbildung 8: Quotale Aufteilung von UBK auf RBK</w:t>
        </w:r>
        <w:r>
          <w:rPr>
            <w:noProof/>
            <w:webHidden/>
          </w:rPr>
          <w:tab/>
        </w:r>
        <w:r>
          <w:rPr>
            <w:noProof/>
            <w:webHidden/>
          </w:rPr>
          <w:fldChar w:fldCharType="begin"/>
        </w:r>
        <w:r>
          <w:rPr>
            <w:noProof/>
            <w:webHidden/>
          </w:rPr>
          <w:instrText xml:space="preserve"> PAGEREF _Toc111196137 \h </w:instrText>
        </w:r>
        <w:r>
          <w:rPr>
            <w:noProof/>
            <w:webHidden/>
          </w:rPr>
        </w:r>
        <w:r>
          <w:rPr>
            <w:noProof/>
            <w:webHidden/>
          </w:rPr>
          <w:fldChar w:fldCharType="separate"/>
        </w:r>
        <w:r>
          <w:rPr>
            <w:noProof/>
            <w:webHidden/>
          </w:rPr>
          <w:t>32</w:t>
        </w:r>
        <w:r>
          <w:rPr>
            <w:noProof/>
            <w:webHidden/>
          </w:rPr>
          <w:fldChar w:fldCharType="end"/>
        </w:r>
      </w:hyperlink>
    </w:p>
    <w:p w14:paraId="5421DB86" w14:textId="1BCFA558" w:rsidR="00E62FB0" w:rsidRDefault="00E62FB0">
      <w:pPr>
        <w:pStyle w:val="Abbildungsverzeichnis"/>
        <w:rPr>
          <w:rFonts w:asciiTheme="minorHAnsi" w:eastAsiaTheme="minorEastAsia" w:hAnsiTheme="minorHAnsi" w:cstheme="minorBidi"/>
          <w:noProof/>
          <w:sz w:val="22"/>
          <w:szCs w:val="22"/>
        </w:rPr>
      </w:pPr>
      <w:hyperlink w:anchor="_Toc111196138" w:history="1">
        <w:r w:rsidRPr="00DA444B">
          <w:rPr>
            <w:rStyle w:val="Hyperlink"/>
            <w:b/>
            <w:noProof/>
          </w:rPr>
          <w:t>Abbildung 9: Übersicht Zeitreihenversand NB an MGV</w:t>
        </w:r>
        <w:r>
          <w:rPr>
            <w:noProof/>
            <w:webHidden/>
          </w:rPr>
          <w:tab/>
        </w:r>
        <w:r>
          <w:rPr>
            <w:noProof/>
            <w:webHidden/>
          </w:rPr>
          <w:fldChar w:fldCharType="begin"/>
        </w:r>
        <w:r>
          <w:rPr>
            <w:noProof/>
            <w:webHidden/>
          </w:rPr>
          <w:instrText xml:space="preserve"> PAGEREF _Toc111196138 \h </w:instrText>
        </w:r>
        <w:r>
          <w:rPr>
            <w:noProof/>
            <w:webHidden/>
          </w:rPr>
        </w:r>
        <w:r>
          <w:rPr>
            <w:noProof/>
            <w:webHidden/>
          </w:rPr>
          <w:fldChar w:fldCharType="separate"/>
        </w:r>
        <w:r>
          <w:rPr>
            <w:noProof/>
            <w:webHidden/>
          </w:rPr>
          <w:t>42</w:t>
        </w:r>
        <w:r>
          <w:rPr>
            <w:noProof/>
            <w:webHidden/>
          </w:rPr>
          <w:fldChar w:fldCharType="end"/>
        </w:r>
      </w:hyperlink>
    </w:p>
    <w:p w14:paraId="31EF8D7B" w14:textId="725417E8" w:rsidR="00E62FB0" w:rsidRDefault="00E62FB0">
      <w:pPr>
        <w:pStyle w:val="Abbildungsverzeichnis"/>
        <w:rPr>
          <w:rFonts w:asciiTheme="minorHAnsi" w:eastAsiaTheme="minorEastAsia" w:hAnsiTheme="minorHAnsi" w:cstheme="minorBidi"/>
          <w:noProof/>
          <w:sz w:val="22"/>
          <w:szCs w:val="22"/>
        </w:rPr>
      </w:pPr>
      <w:hyperlink w:anchor="_Toc111196139" w:history="1">
        <w:r w:rsidRPr="00DA444B">
          <w:rPr>
            <w:rStyle w:val="Hyperlink"/>
            <w:b/>
            <w:noProof/>
          </w:rPr>
          <w:t>Abbildung 10: Übersicht Zeitreihenversand MGV an NB</w:t>
        </w:r>
        <w:r>
          <w:rPr>
            <w:noProof/>
            <w:webHidden/>
          </w:rPr>
          <w:tab/>
        </w:r>
        <w:r>
          <w:rPr>
            <w:noProof/>
            <w:webHidden/>
          </w:rPr>
          <w:fldChar w:fldCharType="begin"/>
        </w:r>
        <w:r>
          <w:rPr>
            <w:noProof/>
            <w:webHidden/>
          </w:rPr>
          <w:instrText xml:space="preserve"> PAGEREF _Toc111196139 \h </w:instrText>
        </w:r>
        <w:r>
          <w:rPr>
            <w:noProof/>
            <w:webHidden/>
          </w:rPr>
        </w:r>
        <w:r>
          <w:rPr>
            <w:noProof/>
            <w:webHidden/>
          </w:rPr>
          <w:fldChar w:fldCharType="separate"/>
        </w:r>
        <w:r>
          <w:rPr>
            <w:noProof/>
            <w:webHidden/>
          </w:rPr>
          <w:t>43</w:t>
        </w:r>
        <w:r>
          <w:rPr>
            <w:noProof/>
            <w:webHidden/>
          </w:rPr>
          <w:fldChar w:fldCharType="end"/>
        </w:r>
      </w:hyperlink>
    </w:p>
    <w:p w14:paraId="4E136D71" w14:textId="6E1A4D44" w:rsidR="00E62FB0" w:rsidRDefault="00E62FB0">
      <w:pPr>
        <w:pStyle w:val="Abbildungsverzeichnis"/>
        <w:rPr>
          <w:rFonts w:asciiTheme="minorHAnsi" w:eastAsiaTheme="minorEastAsia" w:hAnsiTheme="minorHAnsi" w:cstheme="minorBidi"/>
          <w:noProof/>
          <w:sz w:val="22"/>
          <w:szCs w:val="22"/>
        </w:rPr>
      </w:pPr>
      <w:hyperlink w:anchor="_Toc111196140" w:history="1">
        <w:r w:rsidRPr="00DA444B">
          <w:rPr>
            <w:rStyle w:val="Hyperlink"/>
            <w:b/>
            <w:noProof/>
          </w:rPr>
          <w:t>Abbildung 11: Übersicht Zeitreihenversand MGV an BKV</w:t>
        </w:r>
        <w:r>
          <w:rPr>
            <w:noProof/>
            <w:webHidden/>
          </w:rPr>
          <w:tab/>
        </w:r>
        <w:r>
          <w:rPr>
            <w:noProof/>
            <w:webHidden/>
          </w:rPr>
          <w:fldChar w:fldCharType="begin"/>
        </w:r>
        <w:r>
          <w:rPr>
            <w:noProof/>
            <w:webHidden/>
          </w:rPr>
          <w:instrText xml:space="preserve"> PAGEREF _Toc111196140 \h </w:instrText>
        </w:r>
        <w:r>
          <w:rPr>
            <w:noProof/>
            <w:webHidden/>
          </w:rPr>
        </w:r>
        <w:r>
          <w:rPr>
            <w:noProof/>
            <w:webHidden/>
          </w:rPr>
          <w:fldChar w:fldCharType="separate"/>
        </w:r>
        <w:r>
          <w:rPr>
            <w:noProof/>
            <w:webHidden/>
          </w:rPr>
          <w:t>46</w:t>
        </w:r>
        <w:r>
          <w:rPr>
            <w:noProof/>
            <w:webHidden/>
          </w:rPr>
          <w:fldChar w:fldCharType="end"/>
        </w:r>
      </w:hyperlink>
    </w:p>
    <w:p w14:paraId="5A5A6602" w14:textId="27CA7D39" w:rsidR="00E62FB0" w:rsidRDefault="00E62FB0">
      <w:pPr>
        <w:pStyle w:val="Abbildungsverzeichnis"/>
        <w:rPr>
          <w:rFonts w:asciiTheme="minorHAnsi" w:eastAsiaTheme="minorEastAsia" w:hAnsiTheme="minorHAnsi" w:cstheme="minorBidi"/>
          <w:noProof/>
          <w:sz w:val="22"/>
          <w:szCs w:val="22"/>
        </w:rPr>
      </w:pPr>
      <w:hyperlink w:anchor="_Toc111196141" w:history="1">
        <w:r w:rsidRPr="00DA444B">
          <w:rPr>
            <w:rStyle w:val="Hyperlink"/>
            <w:b/>
            <w:bCs/>
            <w:noProof/>
          </w:rPr>
          <w:t>Abbildung 12: Begrenzung der Renominierungsrechte</w:t>
        </w:r>
        <w:r>
          <w:rPr>
            <w:noProof/>
            <w:webHidden/>
          </w:rPr>
          <w:tab/>
        </w:r>
        <w:r>
          <w:rPr>
            <w:noProof/>
            <w:webHidden/>
          </w:rPr>
          <w:fldChar w:fldCharType="begin"/>
        </w:r>
        <w:r>
          <w:rPr>
            <w:noProof/>
            <w:webHidden/>
          </w:rPr>
          <w:instrText xml:space="preserve"> PAGEREF _Toc111196141 \h </w:instrText>
        </w:r>
        <w:r>
          <w:rPr>
            <w:noProof/>
            <w:webHidden/>
          </w:rPr>
        </w:r>
        <w:r>
          <w:rPr>
            <w:noProof/>
            <w:webHidden/>
          </w:rPr>
          <w:fldChar w:fldCharType="separate"/>
        </w:r>
        <w:r>
          <w:rPr>
            <w:noProof/>
            <w:webHidden/>
          </w:rPr>
          <w:t>59</w:t>
        </w:r>
        <w:r>
          <w:rPr>
            <w:noProof/>
            <w:webHidden/>
          </w:rPr>
          <w:fldChar w:fldCharType="end"/>
        </w:r>
      </w:hyperlink>
    </w:p>
    <w:p w14:paraId="59085263" w14:textId="1E85FE9A" w:rsidR="00E62FB0" w:rsidRDefault="00E62FB0">
      <w:pPr>
        <w:pStyle w:val="Abbildungsverzeichnis"/>
        <w:rPr>
          <w:rFonts w:asciiTheme="minorHAnsi" w:eastAsiaTheme="minorEastAsia" w:hAnsiTheme="minorHAnsi" w:cstheme="minorBidi"/>
          <w:noProof/>
          <w:sz w:val="22"/>
          <w:szCs w:val="22"/>
        </w:rPr>
      </w:pPr>
      <w:hyperlink w:anchor="_Toc111196142" w:history="1">
        <w:r w:rsidRPr="00DA444B">
          <w:rPr>
            <w:rStyle w:val="Hyperlink"/>
            <w:b/>
            <w:bCs/>
            <w:noProof/>
          </w:rPr>
          <w:t>Abbildung 13: Beispielhafte Darstellung verschiedener Messungen an einem Netzanschluss für Biogasaufbereitungsanlagen</w:t>
        </w:r>
        <w:r>
          <w:rPr>
            <w:noProof/>
            <w:webHidden/>
          </w:rPr>
          <w:tab/>
        </w:r>
        <w:r>
          <w:rPr>
            <w:noProof/>
            <w:webHidden/>
          </w:rPr>
          <w:fldChar w:fldCharType="begin"/>
        </w:r>
        <w:r>
          <w:rPr>
            <w:noProof/>
            <w:webHidden/>
          </w:rPr>
          <w:instrText xml:space="preserve"> PAGEREF _Toc111196142 \h </w:instrText>
        </w:r>
        <w:r>
          <w:rPr>
            <w:noProof/>
            <w:webHidden/>
          </w:rPr>
        </w:r>
        <w:r>
          <w:rPr>
            <w:noProof/>
            <w:webHidden/>
          </w:rPr>
          <w:fldChar w:fldCharType="separate"/>
        </w:r>
        <w:r>
          <w:rPr>
            <w:noProof/>
            <w:webHidden/>
          </w:rPr>
          <w:t>74</w:t>
        </w:r>
        <w:r>
          <w:rPr>
            <w:noProof/>
            <w:webHidden/>
          </w:rPr>
          <w:fldChar w:fldCharType="end"/>
        </w:r>
      </w:hyperlink>
    </w:p>
    <w:p w14:paraId="2F4D7CE1" w14:textId="6762F1B0" w:rsidR="00E62FB0" w:rsidRDefault="00E62FB0">
      <w:pPr>
        <w:pStyle w:val="Abbildungsverzeichnis"/>
        <w:rPr>
          <w:rFonts w:asciiTheme="minorHAnsi" w:eastAsiaTheme="minorEastAsia" w:hAnsiTheme="minorHAnsi" w:cstheme="minorBidi"/>
          <w:noProof/>
          <w:sz w:val="22"/>
          <w:szCs w:val="22"/>
        </w:rPr>
      </w:pPr>
      <w:hyperlink w:anchor="_Toc111196143" w:history="1">
        <w:r w:rsidRPr="00DA444B">
          <w:rPr>
            <w:rStyle w:val="Hyperlink"/>
            <w:b/>
            <w:bCs/>
            <w:noProof/>
          </w:rPr>
          <w:t>Abbildung 14: Versorgung über andere NKP</w:t>
        </w:r>
        <w:r>
          <w:rPr>
            <w:noProof/>
            <w:webHidden/>
          </w:rPr>
          <w:tab/>
        </w:r>
        <w:r>
          <w:rPr>
            <w:noProof/>
            <w:webHidden/>
          </w:rPr>
          <w:fldChar w:fldCharType="begin"/>
        </w:r>
        <w:r>
          <w:rPr>
            <w:noProof/>
            <w:webHidden/>
          </w:rPr>
          <w:instrText xml:space="preserve"> PAGEREF _Toc111196143 \h </w:instrText>
        </w:r>
        <w:r>
          <w:rPr>
            <w:noProof/>
            <w:webHidden/>
          </w:rPr>
        </w:r>
        <w:r>
          <w:rPr>
            <w:noProof/>
            <w:webHidden/>
          </w:rPr>
          <w:fldChar w:fldCharType="separate"/>
        </w:r>
        <w:r>
          <w:rPr>
            <w:noProof/>
            <w:webHidden/>
          </w:rPr>
          <w:t>77</w:t>
        </w:r>
        <w:r>
          <w:rPr>
            <w:noProof/>
            <w:webHidden/>
          </w:rPr>
          <w:fldChar w:fldCharType="end"/>
        </w:r>
      </w:hyperlink>
    </w:p>
    <w:p w14:paraId="4ABC8035" w14:textId="370A1BA2" w:rsidR="00E62FB0" w:rsidRDefault="00E62FB0">
      <w:pPr>
        <w:pStyle w:val="Abbildungsverzeichnis"/>
        <w:rPr>
          <w:rFonts w:asciiTheme="minorHAnsi" w:eastAsiaTheme="minorEastAsia" w:hAnsiTheme="minorHAnsi" w:cstheme="minorBidi"/>
          <w:noProof/>
          <w:sz w:val="22"/>
          <w:szCs w:val="22"/>
        </w:rPr>
      </w:pPr>
      <w:hyperlink w:anchor="_Toc111196144" w:history="1">
        <w:r w:rsidRPr="00DA444B">
          <w:rPr>
            <w:rStyle w:val="Hyperlink"/>
            <w:b/>
            <w:bCs/>
            <w:noProof/>
          </w:rPr>
          <w:t>Abbildung 15: Ersatzversorgung</w:t>
        </w:r>
        <w:r>
          <w:rPr>
            <w:noProof/>
            <w:webHidden/>
          </w:rPr>
          <w:tab/>
        </w:r>
        <w:r>
          <w:rPr>
            <w:noProof/>
            <w:webHidden/>
          </w:rPr>
          <w:fldChar w:fldCharType="begin"/>
        </w:r>
        <w:r>
          <w:rPr>
            <w:noProof/>
            <w:webHidden/>
          </w:rPr>
          <w:instrText xml:space="preserve"> PAGEREF _Toc111196144 \h </w:instrText>
        </w:r>
        <w:r>
          <w:rPr>
            <w:noProof/>
            <w:webHidden/>
          </w:rPr>
        </w:r>
        <w:r>
          <w:rPr>
            <w:noProof/>
            <w:webHidden/>
          </w:rPr>
          <w:fldChar w:fldCharType="separate"/>
        </w:r>
        <w:r>
          <w:rPr>
            <w:noProof/>
            <w:webHidden/>
          </w:rPr>
          <w:t>78</w:t>
        </w:r>
        <w:r>
          <w:rPr>
            <w:noProof/>
            <w:webHidden/>
          </w:rPr>
          <w:fldChar w:fldCharType="end"/>
        </w:r>
      </w:hyperlink>
    </w:p>
    <w:p w14:paraId="3C8F3B22" w14:textId="66B7AF18" w:rsidR="00E62FB0" w:rsidRDefault="00E62FB0">
      <w:pPr>
        <w:pStyle w:val="Abbildungsverzeichnis"/>
        <w:rPr>
          <w:rFonts w:asciiTheme="minorHAnsi" w:eastAsiaTheme="minorEastAsia" w:hAnsiTheme="minorHAnsi" w:cstheme="minorBidi"/>
          <w:noProof/>
          <w:sz w:val="22"/>
          <w:szCs w:val="22"/>
        </w:rPr>
      </w:pPr>
      <w:hyperlink w:anchor="_Toc111196145" w:history="1">
        <w:r w:rsidRPr="00DA444B">
          <w:rPr>
            <w:rStyle w:val="Hyperlink"/>
            <w:b/>
            <w:bCs/>
            <w:noProof/>
          </w:rPr>
          <w:t>Abbildung 16: Beispiel Allokation im Falle einer MRU</w:t>
        </w:r>
        <w:r>
          <w:rPr>
            <w:noProof/>
            <w:webHidden/>
          </w:rPr>
          <w:tab/>
        </w:r>
        <w:r>
          <w:rPr>
            <w:noProof/>
            <w:webHidden/>
          </w:rPr>
          <w:fldChar w:fldCharType="begin"/>
        </w:r>
        <w:r>
          <w:rPr>
            <w:noProof/>
            <w:webHidden/>
          </w:rPr>
          <w:instrText xml:space="preserve"> PAGEREF _Toc111196145 \h </w:instrText>
        </w:r>
        <w:r>
          <w:rPr>
            <w:noProof/>
            <w:webHidden/>
          </w:rPr>
        </w:r>
        <w:r>
          <w:rPr>
            <w:noProof/>
            <w:webHidden/>
          </w:rPr>
          <w:fldChar w:fldCharType="separate"/>
        </w:r>
        <w:r>
          <w:rPr>
            <w:noProof/>
            <w:webHidden/>
          </w:rPr>
          <w:t>80</w:t>
        </w:r>
        <w:r>
          <w:rPr>
            <w:noProof/>
            <w:webHidden/>
          </w:rPr>
          <w:fldChar w:fldCharType="end"/>
        </w:r>
      </w:hyperlink>
    </w:p>
    <w:p w14:paraId="5DDC64EF" w14:textId="173610AE" w:rsidR="00E62FB0" w:rsidRDefault="00E62FB0">
      <w:pPr>
        <w:pStyle w:val="Abbildungsverzeichnis"/>
        <w:rPr>
          <w:rFonts w:asciiTheme="minorHAnsi" w:eastAsiaTheme="minorEastAsia" w:hAnsiTheme="minorHAnsi" w:cstheme="minorBidi"/>
          <w:noProof/>
          <w:sz w:val="22"/>
          <w:szCs w:val="22"/>
        </w:rPr>
      </w:pPr>
      <w:hyperlink w:anchor="_Toc111196146" w:history="1">
        <w:r w:rsidRPr="00DA444B">
          <w:rPr>
            <w:rStyle w:val="Hyperlink"/>
            <w:b/>
            <w:bCs/>
            <w:noProof/>
          </w:rPr>
          <w:t>Abbildung 17: Allokation bei Marktraumumstellung, Allokationsdaten und Regelenergie-Kosten</w:t>
        </w:r>
        <w:r>
          <w:rPr>
            <w:noProof/>
            <w:webHidden/>
          </w:rPr>
          <w:tab/>
        </w:r>
        <w:r>
          <w:rPr>
            <w:noProof/>
            <w:webHidden/>
          </w:rPr>
          <w:fldChar w:fldCharType="begin"/>
        </w:r>
        <w:r>
          <w:rPr>
            <w:noProof/>
            <w:webHidden/>
          </w:rPr>
          <w:instrText xml:space="preserve"> PAGEREF _Toc111196146 \h </w:instrText>
        </w:r>
        <w:r>
          <w:rPr>
            <w:noProof/>
            <w:webHidden/>
          </w:rPr>
        </w:r>
        <w:r>
          <w:rPr>
            <w:noProof/>
            <w:webHidden/>
          </w:rPr>
          <w:fldChar w:fldCharType="separate"/>
        </w:r>
        <w:r>
          <w:rPr>
            <w:noProof/>
            <w:webHidden/>
          </w:rPr>
          <w:t>81</w:t>
        </w:r>
        <w:r>
          <w:rPr>
            <w:noProof/>
            <w:webHidden/>
          </w:rPr>
          <w:fldChar w:fldCharType="end"/>
        </w:r>
      </w:hyperlink>
    </w:p>
    <w:p w14:paraId="6B192001" w14:textId="29EA305B" w:rsidR="00E62FB0" w:rsidRDefault="00E62FB0">
      <w:pPr>
        <w:pStyle w:val="Abbildungsverzeichnis"/>
        <w:rPr>
          <w:rFonts w:asciiTheme="minorHAnsi" w:eastAsiaTheme="minorEastAsia" w:hAnsiTheme="minorHAnsi" w:cstheme="minorBidi"/>
          <w:noProof/>
          <w:sz w:val="22"/>
          <w:szCs w:val="22"/>
        </w:rPr>
      </w:pPr>
      <w:hyperlink w:anchor="_Toc111196147" w:history="1">
        <w:r w:rsidRPr="00DA444B">
          <w:rPr>
            <w:rStyle w:val="Hyperlink"/>
            <w:b/>
            <w:noProof/>
          </w:rPr>
          <w:t>Abbildung 18: NKBO-Allokation bei Netzpuffer</w:t>
        </w:r>
        <w:r>
          <w:rPr>
            <w:noProof/>
            <w:webHidden/>
          </w:rPr>
          <w:tab/>
        </w:r>
        <w:r>
          <w:rPr>
            <w:noProof/>
            <w:webHidden/>
          </w:rPr>
          <w:fldChar w:fldCharType="begin"/>
        </w:r>
        <w:r>
          <w:rPr>
            <w:noProof/>
            <w:webHidden/>
          </w:rPr>
          <w:instrText xml:space="preserve"> PAGEREF _Toc111196147 \h </w:instrText>
        </w:r>
        <w:r>
          <w:rPr>
            <w:noProof/>
            <w:webHidden/>
          </w:rPr>
        </w:r>
        <w:r>
          <w:rPr>
            <w:noProof/>
            <w:webHidden/>
          </w:rPr>
          <w:fldChar w:fldCharType="separate"/>
        </w:r>
        <w:r>
          <w:rPr>
            <w:noProof/>
            <w:webHidden/>
          </w:rPr>
          <w:t>83</w:t>
        </w:r>
        <w:r>
          <w:rPr>
            <w:noProof/>
            <w:webHidden/>
          </w:rPr>
          <w:fldChar w:fldCharType="end"/>
        </w:r>
      </w:hyperlink>
    </w:p>
    <w:p w14:paraId="3DEDB7E1" w14:textId="0E04C164" w:rsidR="00E62FB0" w:rsidRDefault="00E62FB0">
      <w:pPr>
        <w:pStyle w:val="Abbildungsverzeichnis"/>
        <w:rPr>
          <w:rFonts w:asciiTheme="minorHAnsi" w:eastAsiaTheme="minorEastAsia" w:hAnsiTheme="minorHAnsi" w:cstheme="minorBidi"/>
          <w:noProof/>
          <w:sz w:val="22"/>
          <w:szCs w:val="22"/>
        </w:rPr>
      </w:pPr>
      <w:hyperlink w:anchor="_Toc111196148" w:history="1">
        <w:r w:rsidRPr="00DA444B">
          <w:rPr>
            <w:rStyle w:val="Hyperlink"/>
            <w:b/>
            <w:noProof/>
          </w:rPr>
          <w:t>Abbildung 19: NKBO-Allokation bei OBA Ausspeicherung</w:t>
        </w:r>
        <w:r>
          <w:rPr>
            <w:noProof/>
            <w:webHidden/>
          </w:rPr>
          <w:tab/>
        </w:r>
        <w:r>
          <w:rPr>
            <w:noProof/>
            <w:webHidden/>
          </w:rPr>
          <w:fldChar w:fldCharType="begin"/>
        </w:r>
        <w:r>
          <w:rPr>
            <w:noProof/>
            <w:webHidden/>
          </w:rPr>
          <w:instrText xml:space="preserve"> PAGEREF _Toc111196148 \h </w:instrText>
        </w:r>
        <w:r>
          <w:rPr>
            <w:noProof/>
            <w:webHidden/>
          </w:rPr>
        </w:r>
        <w:r>
          <w:rPr>
            <w:noProof/>
            <w:webHidden/>
          </w:rPr>
          <w:fldChar w:fldCharType="separate"/>
        </w:r>
        <w:r>
          <w:rPr>
            <w:noProof/>
            <w:webHidden/>
          </w:rPr>
          <w:t>84</w:t>
        </w:r>
        <w:r>
          <w:rPr>
            <w:noProof/>
            <w:webHidden/>
          </w:rPr>
          <w:fldChar w:fldCharType="end"/>
        </w:r>
      </w:hyperlink>
    </w:p>
    <w:p w14:paraId="63B413C5" w14:textId="5A4F3387" w:rsidR="00E62FB0" w:rsidRDefault="00E62FB0">
      <w:pPr>
        <w:pStyle w:val="Abbildungsverzeichnis"/>
        <w:rPr>
          <w:rFonts w:asciiTheme="minorHAnsi" w:eastAsiaTheme="minorEastAsia" w:hAnsiTheme="minorHAnsi" w:cstheme="minorBidi"/>
          <w:noProof/>
          <w:sz w:val="22"/>
          <w:szCs w:val="22"/>
        </w:rPr>
      </w:pPr>
      <w:hyperlink w:anchor="_Toc111196149" w:history="1">
        <w:r w:rsidRPr="00DA444B">
          <w:rPr>
            <w:rStyle w:val="Hyperlink"/>
            <w:b/>
            <w:bCs/>
            <w:noProof/>
          </w:rPr>
          <w:t>Abbildung 20: NKBO-Allokation bei OBA Einspeicherung</w:t>
        </w:r>
        <w:r>
          <w:rPr>
            <w:noProof/>
            <w:webHidden/>
          </w:rPr>
          <w:tab/>
        </w:r>
        <w:r>
          <w:rPr>
            <w:noProof/>
            <w:webHidden/>
          </w:rPr>
          <w:fldChar w:fldCharType="begin"/>
        </w:r>
        <w:r>
          <w:rPr>
            <w:noProof/>
            <w:webHidden/>
          </w:rPr>
          <w:instrText xml:space="preserve"> PAGEREF _Toc111196149 \h </w:instrText>
        </w:r>
        <w:r>
          <w:rPr>
            <w:noProof/>
            <w:webHidden/>
          </w:rPr>
        </w:r>
        <w:r>
          <w:rPr>
            <w:noProof/>
            <w:webHidden/>
          </w:rPr>
          <w:fldChar w:fldCharType="separate"/>
        </w:r>
        <w:r>
          <w:rPr>
            <w:noProof/>
            <w:webHidden/>
          </w:rPr>
          <w:t>85</w:t>
        </w:r>
        <w:r>
          <w:rPr>
            <w:noProof/>
            <w:webHidden/>
          </w:rPr>
          <w:fldChar w:fldCharType="end"/>
        </w:r>
      </w:hyperlink>
    </w:p>
    <w:p w14:paraId="0E674F07" w14:textId="79BBD606" w:rsidR="00E62FB0" w:rsidRDefault="00E62FB0">
      <w:pPr>
        <w:pStyle w:val="Abbildungsverzeichnis"/>
        <w:rPr>
          <w:rFonts w:asciiTheme="minorHAnsi" w:eastAsiaTheme="minorEastAsia" w:hAnsiTheme="minorHAnsi" w:cstheme="minorBidi"/>
          <w:noProof/>
          <w:sz w:val="22"/>
          <w:szCs w:val="22"/>
        </w:rPr>
      </w:pPr>
      <w:hyperlink w:anchor="_Toc111196150" w:history="1">
        <w:r w:rsidRPr="00DA444B">
          <w:rPr>
            <w:rStyle w:val="Hyperlink"/>
            <w:b/>
            <w:bCs/>
            <w:noProof/>
          </w:rPr>
          <w:t>Abbildung 21: Biogasmischlieferung mit 2 nominierenden Bilanzkreisen</w:t>
        </w:r>
        <w:r>
          <w:rPr>
            <w:noProof/>
            <w:webHidden/>
          </w:rPr>
          <w:tab/>
        </w:r>
        <w:r>
          <w:rPr>
            <w:noProof/>
            <w:webHidden/>
          </w:rPr>
          <w:fldChar w:fldCharType="begin"/>
        </w:r>
        <w:r>
          <w:rPr>
            <w:noProof/>
            <w:webHidden/>
          </w:rPr>
          <w:instrText xml:space="preserve"> PAGEREF _Toc111196150 \h </w:instrText>
        </w:r>
        <w:r>
          <w:rPr>
            <w:noProof/>
            <w:webHidden/>
          </w:rPr>
        </w:r>
        <w:r>
          <w:rPr>
            <w:noProof/>
            <w:webHidden/>
          </w:rPr>
          <w:fldChar w:fldCharType="separate"/>
        </w:r>
        <w:r>
          <w:rPr>
            <w:noProof/>
            <w:webHidden/>
          </w:rPr>
          <w:t>86</w:t>
        </w:r>
        <w:r>
          <w:rPr>
            <w:noProof/>
            <w:webHidden/>
          </w:rPr>
          <w:fldChar w:fldCharType="end"/>
        </w:r>
      </w:hyperlink>
    </w:p>
    <w:p w14:paraId="2C4F6695" w14:textId="7053C2D9" w:rsidR="00E62FB0" w:rsidRDefault="00E62FB0">
      <w:pPr>
        <w:pStyle w:val="Abbildungsverzeichnis"/>
        <w:rPr>
          <w:rFonts w:asciiTheme="minorHAnsi" w:eastAsiaTheme="minorEastAsia" w:hAnsiTheme="minorHAnsi" w:cstheme="minorBidi"/>
          <w:noProof/>
          <w:sz w:val="22"/>
          <w:szCs w:val="22"/>
        </w:rPr>
      </w:pPr>
      <w:hyperlink w:anchor="_Toc111196151" w:history="1">
        <w:r w:rsidRPr="00DA444B">
          <w:rPr>
            <w:rStyle w:val="Hyperlink"/>
            <w:b/>
            <w:bCs/>
            <w:noProof/>
          </w:rPr>
          <w:t>Abbildung 22: Biogasmischlieferung mit einem verbundenen Bilanzkreis</w:t>
        </w:r>
        <w:r>
          <w:rPr>
            <w:noProof/>
            <w:webHidden/>
          </w:rPr>
          <w:tab/>
        </w:r>
        <w:r>
          <w:rPr>
            <w:noProof/>
            <w:webHidden/>
          </w:rPr>
          <w:fldChar w:fldCharType="begin"/>
        </w:r>
        <w:r>
          <w:rPr>
            <w:noProof/>
            <w:webHidden/>
          </w:rPr>
          <w:instrText xml:space="preserve"> PAGEREF _Toc111196151 \h </w:instrText>
        </w:r>
        <w:r>
          <w:rPr>
            <w:noProof/>
            <w:webHidden/>
          </w:rPr>
        </w:r>
        <w:r>
          <w:rPr>
            <w:noProof/>
            <w:webHidden/>
          </w:rPr>
          <w:fldChar w:fldCharType="separate"/>
        </w:r>
        <w:r>
          <w:rPr>
            <w:noProof/>
            <w:webHidden/>
          </w:rPr>
          <w:t>87</w:t>
        </w:r>
        <w:r>
          <w:rPr>
            <w:noProof/>
            <w:webHidden/>
          </w:rPr>
          <w:fldChar w:fldCharType="end"/>
        </w:r>
      </w:hyperlink>
    </w:p>
    <w:p w14:paraId="7D1F2DF4" w14:textId="21988F7D" w:rsidR="00E62FB0" w:rsidRDefault="00E62FB0">
      <w:pPr>
        <w:pStyle w:val="Abbildungsverzeichnis"/>
        <w:rPr>
          <w:rFonts w:asciiTheme="minorHAnsi" w:eastAsiaTheme="minorEastAsia" w:hAnsiTheme="minorHAnsi" w:cstheme="minorBidi"/>
          <w:noProof/>
          <w:sz w:val="22"/>
          <w:szCs w:val="22"/>
        </w:rPr>
      </w:pPr>
      <w:hyperlink w:anchor="_Toc111196152" w:history="1">
        <w:r w:rsidRPr="00DA444B">
          <w:rPr>
            <w:rStyle w:val="Hyperlink"/>
            <w:b/>
            <w:noProof/>
          </w:rPr>
          <w:t>Abbildung 23: Beispiel Berechnung BKSALD und BKSALDABR</w:t>
        </w:r>
        <w:r>
          <w:rPr>
            <w:noProof/>
            <w:webHidden/>
          </w:rPr>
          <w:tab/>
        </w:r>
        <w:r>
          <w:rPr>
            <w:noProof/>
            <w:webHidden/>
          </w:rPr>
          <w:fldChar w:fldCharType="begin"/>
        </w:r>
        <w:r>
          <w:rPr>
            <w:noProof/>
            <w:webHidden/>
          </w:rPr>
          <w:instrText xml:space="preserve"> PAGEREF _Toc111196152 \h </w:instrText>
        </w:r>
        <w:r>
          <w:rPr>
            <w:noProof/>
            <w:webHidden/>
          </w:rPr>
        </w:r>
        <w:r>
          <w:rPr>
            <w:noProof/>
            <w:webHidden/>
          </w:rPr>
          <w:fldChar w:fldCharType="separate"/>
        </w:r>
        <w:r>
          <w:rPr>
            <w:noProof/>
            <w:webHidden/>
          </w:rPr>
          <w:t>90</w:t>
        </w:r>
        <w:r>
          <w:rPr>
            <w:noProof/>
            <w:webHidden/>
          </w:rPr>
          <w:fldChar w:fldCharType="end"/>
        </w:r>
      </w:hyperlink>
    </w:p>
    <w:p w14:paraId="3032E2F3" w14:textId="4005E4F4" w:rsidR="00E62FB0" w:rsidRDefault="00E62FB0">
      <w:pPr>
        <w:pStyle w:val="Abbildungsverzeichnis"/>
        <w:rPr>
          <w:rFonts w:asciiTheme="minorHAnsi" w:eastAsiaTheme="minorEastAsia" w:hAnsiTheme="minorHAnsi" w:cstheme="minorBidi"/>
          <w:noProof/>
          <w:sz w:val="22"/>
          <w:szCs w:val="22"/>
        </w:rPr>
      </w:pPr>
      <w:hyperlink w:anchor="_Toc111196153" w:history="1">
        <w:r w:rsidRPr="00DA444B">
          <w:rPr>
            <w:rStyle w:val="Hyperlink"/>
            <w:b/>
            <w:noProof/>
          </w:rPr>
          <w:t>Abbildung 24: Schema Stundenmengen und Differenzmengen</w:t>
        </w:r>
        <w:r>
          <w:rPr>
            <w:noProof/>
            <w:webHidden/>
          </w:rPr>
          <w:tab/>
        </w:r>
        <w:r>
          <w:rPr>
            <w:noProof/>
            <w:webHidden/>
          </w:rPr>
          <w:fldChar w:fldCharType="begin"/>
        </w:r>
        <w:r>
          <w:rPr>
            <w:noProof/>
            <w:webHidden/>
          </w:rPr>
          <w:instrText xml:space="preserve"> PAGEREF _Toc111196153 \h </w:instrText>
        </w:r>
        <w:r>
          <w:rPr>
            <w:noProof/>
            <w:webHidden/>
          </w:rPr>
        </w:r>
        <w:r>
          <w:rPr>
            <w:noProof/>
            <w:webHidden/>
          </w:rPr>
          <w:fldChar w:fldCharType="separate"/>
        </w:r>
        <w:r>
          <w:rPr>
            <w:noProof/>
            <w:webHidden/>
          </w:rPr>
          <w:t>91</w:t>
        </w:r>
        <w:r>
          <w:rPr>
            <w:noProof/>
            <w:webHidden/>
          </w:rPr>
          <w:fldChar w:fldCharType="end"/>
        </w:r>
      </w:hyperlink>
    </w:p>
    <w:p w14:paraId="2B39611D" w14:textId="749CBE67" w:rsidR="00E62FB0" w:rsidRDefault="00E62FB0">
      <w:pPr>
        <w:pStyle w:val="Abbildungsverzeichnis"/>
        <w:rPr>
          <w:rFonts w:asciiTheme="minorHAnsi" w:eastAsiaTheme="minorEastAsia" w:hAnsiTheme="minorHAnsi" w:cstheme="minorBidi"/>
          <w:noProof/>
          <w:sz w:val="22"/>
          <w:szCs w:val="22"/>
        </w:rPr>
      </w:pPr>
      <w:hyperlink w:anchor="_Toc111196154" w:history="1">
        <w:r w:rsidRPr="00DA444B">
          <w:rPr>
            <w:rStyle w:val="Hyperlink"/>
            <w:b/>
            <w:bCs/>
            <w:noProof/>
          </w:rPr>
          <w:t>Abbildung 25: Kaskadische Bilanzkreiskonstruktion – Saldozeitreihen</w:t>
        </w:r>
        <w:r>
          <w:rPr>
            <w:noProof/>
            <w:webHidden/>
          </w:rPr>
          <w:tab/>
        </w:r>
        <w:r>
          <w:rPr>
            <w:noProof/>
            <w:webHidden/>
          </w:rPr>
          <w:fldChar w:fldCharType="begin"/>
        </w:r>
        <w:r>
          <w:rPr>
            <w:noProof/>
            <w:webHidden/>
          </w:rPr>
          <w:instrText xml:space="preserve"> PAGEREF _Toc111196154 \h </w:instrText>
        </w:r>
        <w:r>
          <w:rPr>
            <w:noProof/>
            <w:webHidden/>
          </w:rPr>
        </w:r>
        <w:r>
          <w:rPr>
            <w:noProof/>
            <w:webHidden/>
          </w:rPr>
          <w:fldChar w:fldCharType="separate"/>
        </w:r>
        <w:r>
          <w:rPr>
            <w:noProof/>
            <w:webHidden/>
          </w:rPr>
          <w:t>92</w:t>
        </w:r>
        <w:r>
          <w:rPr>
            <w:noProof/>
            <w:webHidden/>
          </w:rPr>
          <w:fldChar w:fldCharType="end"/>
        </w:r>
      </w:hyperlink>
    </w:p>
    <w:p w14:paraId="534F7165" w14:textId="61BDE3C1" w:rsidR="00E62FB0" w:rsidRDefault="00E62FB0">
      <w:pPr>
        <w:pStyle w:val="Abbildungsverzeichnis"/>
        <w:rPr>
          <w:rFonts w:asciiTheme="minorHAnsi" w:eastAsiaTheme="minorEastAsia" w:hAnsiTheme="minorHAnsi" w:cstheme="minorBidi"/>
          <w:noProof/>
          <w:sz w:val="22"/>
          <w:szCs w:val="22"/>
        </w:rPr>
      </w:pPr>
      <w:hyperlink w:anchor="_Toc111196155" w:history="1">
        <w:r w:rsidRPr="00DA444B">
          <w:rPr>
            <w:rStyle w:val="Hyperlink"/>
            <w:b/>
            <w:noProof/>
          </w:rPr>
          <w:t>Abbildung 26: Beispiel für die kaskadische Bilanzkreiskonstruktion einer Gasqualität</w:t>
        </w:r>
        <w:r>
          <w:rPr>
            <w:noProof/>
            <w:webHidden/>
          </w:rPr>
          <w:tab/>
        </w:r>
        <w:r>
          <w:rPr>
            <w:noProof/>
            <w:webHidden/>
          </w:rPr>
          <w:fldChar w:fldCharType="begin"/>
        </w:r>
        <w:r>
          <w:rPr>
            <w:noProof/>
            <w:webHidden/>
          </w:rPr>
          <w:instrText xml:space="preserve"> PAGEREF _Toc111196155 \h </w:instrText>
        </w:r>
        <w:r>
          <w:rPr>
            <w:noProof/>
            <w:webHidden/>
          </w:rPr>
        </w:r>
        <w:r>
          <w:rPr>
            <w:noProof/>
            <w:webHidden/>
          </w:rPr>
          <w:fldChar w:fldCharType="separate"/>
        </w:r>
        <w:r>
          <w:rPr>
            <w:noProof/>
            <w:webHidden/>
          </w:rPr>
          <w:t>93</w:t>
        </w:r>
        <w:r>
          <w:rPr>
            <w:noProof/>
            <w:webHidden/>
          </w:rPr>
          <w:fldChar w:fldCharType="end"/>
        </w:r>
      </w:hyperlink>
    </w:p>
    <w:p w14:paraId="29BE240F" w14:textId="1D818D2E" w:rsidR="00E62FB0" w:rsidRDefault="00E62FB0">
      <w:pPr>
        <w:pStyle w:val="Abbildungsverzeichnis"/>
        <w:rPr>
          <w:rFonts w:asciiTheme="minorHAnsi" w:eastAsiaTheme="minorEastAsia" w:hAnsiTheme="minorHAnsi" w:cstheme="minorBidi"/>
          <w:noProof/>
          <w:sz w:val="22"/>
          <w:szCs w:val="22"/>
        </w:rPr>
      </w:pPr>
      <w:hyperlink w:anchor="_Toc111196156" w:history="1">
        <w:r w:rsidRPr="00DA444B">
          <w:rPr>
            <w:rStyle w:val="Hyperlink"/>
            <w:b/>
            <w:noProof/>
          </w:rPr>
          <w:t>Abbildung 27:</w:t>
        </w:r>
        <w:r w:rsidRPr="00DA444B">
          <w:rPr>
            <w:rStyle w:val="Hyperlink"/>
            <w:b/>
            <w:bCs/>
            <w:noProof/>
          </w:rPr>
          <w:t xml:space="preserve"> Kaskadische Bilanzkreiskonstruktion – Zeitreihen Untertägige Verpflichtung</w:t>
        </w:r>
        <w:r>
          <w:rPr>
            <w:noProof/>
            <w:webHidden/>
          </w:rPr>
          <w:tab/>
        </w:r>
        <w:r>
          <w:rPr>
            <w:noProof/>
            <w:webHidden/>
          </w:rPr>
          <w:fldChar w:fldCharType="begin"/>
        </w:r>
        <w:r>
          <w:rPr>
            <w:noProof/>
            <w:webHidden/>
          </w:rPr>
          <w:instrText xml:space="preserve"> PAGEREF _Toc111196156 \h </w:instrText>
        </w:r>
        <w:r>
          <w:rPr>
            <w:noProof/>
            <w:webHidden/>
          </w:rPr>
        </w:r>
        <w:r>
          <w:rPr>
            <w:noProof/>
            <w:webHidden/>
          </w:rPr>
          <w:fldChar w:fldCharType="separate"/>
        </w:r>
        <w:r>
          <w:rPr>
            <w:noProof/>
            <w:webHidden/>
          </w:rPr>
          <w:t>94</w:t>
        </w:r>
        <w:r>
          <w:rPr>
            <w:noProof/>
            <w:webHidden/>
          </w:rPr>
          <w:fldChar w:fldCharType="end"/>
        </w:r>
      </w:hyperlink>
    </w:p>
    <w:p w14:paraId="7E7A0A4B" w14:textId="26E1C55A" w:rsidR="00E62FB0" w:rsidRDefault="00E62FB0">
      <w:pPr>
        <w:pStyle w:val="Abbildungsverzeichnis"/>
        <w:rPr>
          <w:rFonts w:asciiTheme="minorHAnsi" w:eastAsiaTheme="minorEastAsia" w:hAnsiTheme="minorHAnsi" w:cstheme="minorBidi"/>
          <w:noProof/>
          <w:sz w:val="22"/>
          <w:szCs w:val="22"/>
        </w:rPr>
      </w:pPr>
      <w:hyperlink w:anchor="_Toc111196157" w:history="1">
        <w:r w:rsidRPr="00DA444B">
          <w:rPr>
            <w:rStyle w:val="Hyperlink"/>
            <w:b/>
            <w:noProof/>
          </w:rPr>
          <w:t>Abbildung 28: Ermittlung der bilanziellen Flexibilitätsmenge</w:t>
        </w:r>
        <w:r>
          <w:rPr>
            <w:noProof/>
            <w:webHidden/>
          </w:rPr>
          <w:tab/>
        </w:r>
        <w:r>
          <w:rPr>
            <w:noProof/>
            <w:webHidden/>
          </w:rPr>
          <w:fldChar w:fldCharType="begin"/>
        </w:r>
        <w:r>
          <w:rPr>
            <w:noProof/>
            <w:webHidden/>
          </w:rPr>
          <w:instrText xml:space="preserve"> PAGEREF _Toc111196157 \h </w:instrText>
        </w:r>
        <w:r>
          <w:rPr>
            <w:noProof/>
            <w:webHidden/>
          </w:rPr>
        </w:r>
        <w:r>
          <w:rPr>
            <w:noProof/>
            <w:webHidden/>
          </w:rPr>
          <w:fldChar w:fldCharType="separate"/>
        </w:r>
        <w:r>
          <w:rPr>
            <w:noProof/>
            <w:webHidden/>
          </w:rPr>
          <w:t>97</w:t>
        </w:r>
        <w:r>
          <w:rPr>
            <w:noProof/>
            <w:webHidden/>
          </w:rPr>
          <w:fldChar w:fldCharType="end"/>
        </w:r>
      </w:hyperlink>
    </w:p>
    <w:p w14:paraId="2AE9DDF4" w14:textId="14834A31" w:rsidR="00E62FB0" w:rsidRDefault="00E62FB0">
      <w:pPr>
        <w:pStyle w:val="Abbildungsverzeichnis"/>
        <w:rPr>
          <w:rFonts w:asciiTheme="minorHAnsi" w:eastAsiaTheme="minorEastAsia" w:hAnsiTheme="minorHAnsi" w:cstheme="minorBidi"/>
          <w:noProof/>
          <w:sz w:val="22"/>
          <w:szCs w:val="22"/>
        </w:rPr>
      </w:pPr>
      <w:hyperlink w:anchor="_Toc111196158" w:history="1">
        <w:r w:rsidRPr="00DA444B">
          <w:rPr>
            <w:rStyle w:val="Hyperlink"/>
            <w:b/>
            <w:bCs/>
            <w:noProof/>
          </w:rPr>
          <w:t>Abbildung 29: Berechnung des Flexibilitätskostenbeitrages</w:t>
        </w:r>
        <w:r>
          <w:rPr>
            <w:noProof/>
            <w:webHidden/>
          </w:rPr>
          <w:tab/>
        </w:r>
        <w:r>
          <w:rPr>
            <w:noProof/>
            <w:webHidden/>
          </w:rPr>
          <w:fldChar w:fldCharType="begin"/>
        </w:r>
        <w:r>
          <w:rPr>
            <w:noProof/>
            <w:webHidden/>
          </w:rPr>
          <w:instrText xml:space="preserve"> PAGEREF _Toc111196158 \h </w:instrText>
        </w:r>
        <w:r>
          <w:rPr>
            <w:noProof/>
            <w:webHidden/>
          </w:rPr>
        </w:r>
        <w:r>
          <w:rPr>
            <w:noProof/>
            <w:webHidden/>
          </w:rPr>
          <w:fldChar w:fldCharType="separate"/>
        </w:r>
        <w:r>
          <w:rPr>
            <w:noProof/>
            <w:webHidden/>
          </w:rPr>
          <w:t>98</w:t>
        </w:r>
        <w:r>
          <w:rPr>
            <w:noProof/>
            <w:webHidden/>
          </w:rPr>
          <w:fldChar w:fldCharType="end"/>
        </w:r>
      </w:hyperlink>
    </w:p>
    <w:p w14:paraId="68F4931C" w14:textId="43D04964" w:rsidR="00E62FB0" w:rsidRDefault="00E62FB0">
      <w:pPr>
        <w:pStyle w:val="Abbildungsverzeichnis"/>
        <w:rPr>
          <w:rFonts w:asciiTheme="minorHAnsi" w:eastAsiaTheme="minorEastAsia" w:hAnsiTheme="minorHAnsi" w:cstheme="minorBidi"/>
          <w:noProof/>
          <w:sz w:val="22"/>
          <w:szCs w:val="22"/>
        </w:rPr>
      </w:pPr>
      <w:hyperlink w:anchor="_Toc111196159" w:history="1">
        <w:r w:rsidRPr="00DA444B">
          <w:rPr>
            <w:rStyle w:val="Hyperlink"/>
            <w:b/>
            <w:bCs/>
            <w:noProof/>
          </w:rPr>
          <w:t>Abbildung 30: Mengenübertragung über den VHP</w:t>
        </w:r>
        <w:r>
          <w:rPr>
            <w:noProof/>
            <w:webHidden/>
          </w:rPr>
          <w:tab/>
        </w:r>
        <w:r>
          <w:rPr>
            <w:noProof/>
            <w:webHidden/>
          </w:rPr>
          <w:fldChar w:fldCharType="begin"/>
        </w:r>
        <w:r>
          <w:rPr>
            <w:noProof/>
            <w:webHidden/>
          </w:rPr>
          <w:instrText xml:space="preserve"> PAGEREF _Toc111196159 \h </w:instrText>
        </w:r>
        <w:r>
          <w:rPr>
            <w:noProof/>
            <w:webHidden/>
          </w:rPr>
        </w:r>
        <w:r>
          <w:rPr>
            <w:noProof/>
            <w:webHidden/>
          </w:rPr>
          <w:fldChar w:fldCharType="separate"/>
        </w:r>
        <w:r>
          <w:rPr>
            <w:noProof/>
            <w:webHidden/>
          </w:rPr>
          <w:t>104</w:t>
        </w:r>
        <w:r>
          <w:rPr>
            <w:noProof/>
            <w:webHidden/>
          </w:rPr>
          <w:fldChar w:fldCharType="end"/>
        </w:r>
      </w:hyperlink>
    </w:p>
    <w:p w14:paraId="09BC7F3A" w14:textId="2565C444" w:rsidR="00E62FB0" w:rsidRDefault="00E62FB0">
      <w:pPr>
        <w:pStyle w:val="Abbildungsverzeichnis"/>
        <w:rPr>
          <w:rFonts w:asciiTheme="minorHAnsi" w:eastAsiaTheme="minorEastAsia" w:hAnsiTheme="minorHAnsi" w:cstheme="minorBidi"/>
          <w:noProof/>
          <w:sz w:val="22"/>
          <w:szCs w:val="22"/>
        </w:rPr>
      </w:pPr>
      <w:hyperlink w:anchor="_Toc111196160" w:history="1">
        <w:r w:rsidRPr="00DA444B">
          <w:rPr>
            <w:rStyle w:val="Hyperlink"/>
            <w:b/>
            <w:bCs/>
            <w:noProof/>
          </w:rPr>
          <w:t>Abbildung 31: Berechnung der Konvertierungsmenge Beispiel 1</w:t>
        </w:r>
        <w:r>
          <w:rPr>
            <w:noProof/>
            <w:webHidden/>
          </w:rPr>
          <w:tab/>
        </w:r>
        <w:r>
          <w:rPr>
            <w:noProof/>
            <w:webHidden/>
          </w:rPr>
          <w:fldChar w:fldCharType="begin"/>
        </w:r>
        <w:r>
          <w:rPr>
            <w:noProof/>
            <w:webHidden/>
          </w:rPr>
          <w:instrText xml:space="preserve"> PAGEREF _Toc111196160 \h </w:instrText>
        </w:r>
        <w:r>
          <w:rPr>
            <w:noProof/>
            <w:webHidden/>
          </w:rPr>
        </w:r>
        <w:r>
          <w:rPr>
            <w:noProof/>
            <w:webHidden/>
          </w:rPr>
          <w:fldChar w:fldCharType="separate"/>
        </w:r>
        <w:r>
          <w:rPr>
            <w:noProof/>
            <w:webHidden/>
          </w:rPr>
          <w:t>106</w:t>
        </w:r>
        <w:r>
          <w:rPr>
            <w:noProof/>
            <w:webHidden/>
          </w:rPr>
          <w:fldChar w:fldCharType="end"/>
        </w:r>
      </w:hyperlink>
    </w:p>
    <w:p w14:paraId="1F6996AF" w14:textId="3601F7F2" w:rsidR="00E62FB0" w:rsidRDefault="00E62FB0">
      <w:pPr>
        <w:pStyle w:val="Abbildungsverzeichnis"/>
        <w:rPr>
          <w:rFonts w:asciiTheme="minorHAnsi" w:eastAsiaTheme="minorEastAsia" w:hAnsiTheme="minorHAnsi" w:cstheme="minorBidi"/>
          <w:noProof/>
          <w:sz w:val="22"/>
          <w:szCs w:val="22"/>
        </w:rPr>
      </w:pPr>
      <w:hyperlink w:anchor="_Toc111196161" w:history="1">
        <w:r w:rsidRPr="00DA444B">
          <w:rPr>
            <w:rStyle w:val="Hyperlink"/>
            <w:b/>
            <w:bCs/>
            <w:noProof/>
          </w:rPr>
          <w:t>Abbildung 32: Berechnung der Konvertierungsmenge Beispiel 2</w:t>
        </w:r>
        <w:r>
          <w:rPr>
            <w:noProof/>
            <w:webHidden/>
          </w:rPr>
          <w:tab/>
        </w:r>
        <w:r>
          <w:rPr>
            <w:noProof/>
            <w:webHidden/>
          </w:rPr>
          <w:fldChar w:fldCharType="begin"/>
        </w:r>
        <w:r>
          <w:rPr>
            <w:noProof/>
            <w:webHidden/>
          </w:rPr>
          <w:instrText xml:space="preserve"> PAGEREF _Toc111196161 \h </w:instrText>
        </w:r>
        <w:r>
          <w:rPr>
            <w:noProof/>
            <w:webHidden/>
          </w:rPr>
        </w:r>
        <w:r>
          <w:rPr>
            <w:noProof/>
            <w:webHidden/>
          </w:rPr>
          <w:fldChar w:fldCharType="separate"/>
        </w:r>
        <w:r>
          <w:rPr>
            <w:noProof/>
            <w:webHidden/>
          </w:rPr>
          <w:t>107</w:t>
        </w:r>
        <w:r>
          <w:rPr>
            <w:noProof/>
            <w:webHidden/>
          </w:rPr>
          <w:fldChar w:fldCharType="end"/>
        </w:r>
      </w:hyperlink>
    </w:p>
    <w:p w14:paraId="30C67D69" w14:textId="64A06FE4" w:rsidR="00E62FB0" w:rsidRDefault="00E62FB0">
      <w:pPr>
        <w:pStyle w:val="Abbildungsverzeichnis"/>
        <w:rPr>
          <w:rFonts w:asciiTheme="minorHAnsi" w:eastAsiaTheme="minorEastAsia" w:hAnsiTheme="minorHAnsi" w:cstheme="minorBidi"/>
          <w:noProof/>
          <w:sz w:val="22"/>
          <w:szCs w:val="22"/>
        </w:rPr>
      </w:pPr>
      <w:hyperlink w:anchor="_Toc111196162" w:history="1">
        <w:r w:rsidRPr="00DA444B">
          <w:rPr>
            <w:rStyle w:val="Hyperlink"/>
            <w:b/>
            <w:noProof/>
          </w:rPr>
          <w:t>Abbildung 33: Berechnung der Konvertierungsmenge</w:t>
        </w:r>
        <w:r>
          <w:rPr>
            <w:noProof/>
            <w:webHidden/>
          </w:rPr>
          <w:tab/>
        </w:r>
        <w:r>
          <w:rPr>
            <w:noProof/>
            <w:webHidden/>
          </w:rPr>
          <w:fldChar w:fldCharType="begin"/>
        </w:r>
        <w:r>
          <w:rPr>
            <w:noProof/>
            <w:webHidden/>
          </w:rPr>
          <w:instrText xml:space="preserve"> PAGEREF _Toc111196162 \h </w:instrText>
        </w:r>
        <w:r>
          <w:rPr>
            <w:noProof/>
            <w:webHidden/>
          </w:rPr>
        </w:r>
        <w:r>
          <w:rPr>
            <w:noProof/>
            <w:webHidden/>
          </w:rPr>
          <w:fldChar w:fldCharType="separate"/>
        </w:r>
        <w:r>
          <w:rPr>
            <w:noProof/>
            <w:webHidden/>
          </w:rPr>
          <w:t>108</w:t>
        </w:r>
        <w:r>
          <w:rPr>
            <w:noProof/>
            <w:webHidden/>
          </w:rPr>
          <w:fldChar w:fldCharType="end"/>
        </w:r>
      </w:hyperlink>
    </w:p>
    <w:p w14:paraId="49C5E3B6" w14:textId="31A7106B" w:rsidR="00E62FB0" w:rsidRDefault="00E62FB0">
      <w:pPr>
        <w:pStyle w:val="Abbildungsverzeichnis"/>
        <w:rPr>
          <w:rFonts w:asciiTheme="minorHAnsi" w:eastAsiaTheme="minorEastAsia" w:hAnsiTheme="minorHAnsi" w:cstheme="minorBidi"/>
          <w:noProof/>
          <w:sz w:val="22"/>
          <w:szCs w:val="22"/>
        </w:rPr>
      </w:pPr>
      <w:hyperlink w:anchor="_Toc111196163" w:history="1">
        <w:r w:rsidRPr="00DA444B">
          <w:rPr>
            <w:rStyle w:val="Hyperlink"/>
            <w:b/>
            <w:noProof/>
          </w:rPr>
          <w:t>Abbildung 34: Bio-Bilanzkreisabbildung im Konvertierungsgebiet</w:t>
        </w:r>
        <w:r>
          <w:rPr>
            <w:noProof/>
            <w:webHidden/>
          </w:rPr>
          <w:tab/>
        </w:r>
        <w:r>
          <w:rPr>
            <w:noProof/>
            <w:webHidden/>
          </w:rPr>
          <w:fldChar w:fldCharType="begin"/>
        </w:r>
        <w:r>
          <w:rPr>
            <w:noProof/>
            <w:webHidden/>
          </w:rPr>
          <w:instrText xml:space="preserve"> PAGEREF _Toc111196163 \h </w:instrText>
        </w:r>
        <w:r>
          <w:rPr>
            <w:noProof/>
            <w:webHidden/>
          </w:rPr>
        </w:r>
        <w:r>
          <w:rPr>
            <w:noProof/>
            <w:webHidden/>
          </w:rPr>
          <w:fldChar w:fldCharType="separate"/>
        </w:r>
        <w:r>
          <w:rPr>
            <w:noProof/>
            <w:webHidden/>
          </w:rPr>
          <w:t>110</w:t>
        </w:r>
        <w:r>
          <w:rPr>
            <w:noProof/>
            <w:webHidden/>
          </w:rPr>
          <w:fldChar w:fldCharType="end"/>
        </w:r>
      </w:hyperlink>
    </w:p>
    <w:p w14:paraId="47BD8A4B" w14:textId="0D0FAC18" w:rsidR="00E62FB0" w:rsidRDefault="00E62FB0">
      <w:pPr>
        <w:pStyle w:val="Abbildungsverzeichnis"/>
        <w:rPr>
          <w:rFonts w:asciiTheme="minorHAnsi" w:eastAsiaTheme="minorEastAsia" w:hAnsiTheme="minorHAnsi" w:cstheme="minorBidi"/>
          <w:noProof/>
          <w:sz w:val="22"/>
          <w:szCs w:val="22"/>
        </w:rPr>
      </w:pPr>
      <w:hyperlink w:anchor="_Toc111196164" w:history="1">
        <w:r w:rsidRPr="00DA444B">
          <w:rPr>
            <w:rStyle w:val="Hyperlink"/>
            <w:b/>
            <w:noProof/>
          </w:rPr>
          <w:t>Abbildung 35: Zählwertkreislauf</w:t>
        </w:r>
        <w:r>
          <w:rPr>
            <w:noProof/>
            <w:webHidden/>
          </w:rPr>
          <w:tab/>
        </w:r>
        <w:r>
          <w:rPr>
            <w:noProof/>
            <w:webHidden/>
          </w:rPr>
          <w:fldChar w:fldCharType="begin"/>
        </w:r>
        <w:r>
          <w:rPr>
            <w:noProof/>
            <w:webHidden/>
          </w:rPr>
          <w:instrText xml:space="preserve"> PAGEREF _Toc111196164 \h </w:instrText>
        </w:r>
        <w:r>
          <w:rPr>
            <w:noProof/>
            <w:webHidden/>
          </w:rPr>
        </w:r>
        <w:r>
          <w:rPr>
            <w:noProof/>
            <w:webHidden/>
          </w:rPr>
          <w:fldChar w:fldCharType="separate"/>
        </w:r>
        <w:r>
          <w:rPr>
            <w:noProof/>
            <w:webHidden/>
          </w:rPr>
          <w:t>112</w:t>
        </w:r>
        <w:r>
          <w:rPr>
            <w:noProof/>
            <w:webHidden/>
          </w:rPr>
          <w:fldChar w:fldCharType="end"/>
        </w:r>
      </w:hyperlink>
    </w:p>
    <w:p w14:paraId="4D6F3C88" w14:textId="459453EA" w:rsidR="00E62FB0" w:rsidRDefault="00E62FB0">
      <w:pPr>
        <w:pStyle w:val="Abbildungsverzeichnis"/>
        <w:rPr>
          <w:rFonts w:asciiTheme="minorHAnsi" w:eastAsiaTheme="minorEastAsia" w:hAnsiTheme="minorHAnsi" w:cstheme="minorBidi"/>
          <w:noProof/>
          <w:sz w:val="22"/>
          <w:szCs w:val="22"/>
        </w:rPr>
      </w:pPr>
      <w:hyperlink w:anchor="_Toc111196165" w:history="1">
        <w:r w:rsidRPr="00DA444B">
          <w:rPr>
            <w:rStyle w:val="Hyperlink"/>
            <w:b/>
            <w:bCs/>
            <w:noProof/>
          </w:rPr>
          <w:t>Abbildung 36: Abrechnung des Flexibilitätsrahmens eines Biogas-Bilanzkreises</w:t>
        </w:r>
        <w:r>
          <w:rPr>
            <w:noProof/>
            <w:webHidden/>
          </w:rPr>
          <w:tab/>
        </w:r>
        <w:r>
          <w:rPr>
            <w:noProof/>
            <w:webHidden/>
          </w:rPr>
          <w:fldChar w:fldCharType="begin"/>
        </w:r>
        <w:r>
          <w:rPr>
            <w:noProof/>
            <w:webHidden/>
          </w:rPr>
          <w:instrText xml:space="preserve"> PAGEREF _Toc111196165 \h </w:instrText>
        </w:r>
        <w:r>
          <w:rPr>
            <w:noProof/>
            <w:webHidden/>
          </w:rPr>
        </w:r>
        <w:r>
          <w:rPr>
            <w:noProof/>
            <w:webHidden/>
          </w:rPr>
          <w:fldChar w:fldCharType="separate"/>
        </w:r>
        <w:r>
          <w:rPr>
            <w:noProof/>
            <w:webHidden/>
          </w:rPr>
          <w:t>130</w:t>
        </w:r>
        <w:r>
          <w:rPr>
            <w:noProof/>
            <w:webHidden/>
          </w:rPr>
          <w:fldChar w:fldCharType="end"/>
        </w:r>
      </w:hyperlink>
    </w:p>
    <w:p w14:paraId="3F720CB7" w14:textId="5F943099" w:rsidR="00E62FB0" w:rsidRDefault="00E62FB0">
      <w:pPr>
        <w:pStyle w:val="Abbildungsverzeichnis"/>
        <w:rPr>
          <w:rFonts w:asciiTheme="minorHAnsi" w:eastAsiaTheme="minorEastAsia" w:hAnsiTheme="minorHAnsi" w:cstheme="minorBidi"/>
          <w:noProof/>
          <w:sz w:val="22"/>
          <w:szCs w:val="22"/>
        </w:rPr>
      </w:pPr>
      <w:hyperlink w:anchor="_Toc111196166" w:history="1">
        <w:r w:rsidRPr="00DA444B">
          <w:rPr>
            <w:rStyle w:val="Hyperlink"/>
            <w:b/>
            <w:bCs/>
            <w:noProof/>
          </w:rPr>
          <w:t>Abbildung 37: Überschreitung des Flexibilitätsrahmens</w:t>
        </w:r>
        <w:r>
          <w:rPr>
            <w:noProof/>
            <w:webHidden/>
          </w:rPr>
          <w:tab/>
        </w:r>
        <w:r>
          <w:rPr>
            <w:noProof/>
            <w:webHidden/>
          </w:rPr>
          <w:fldChar w:fldCharType="begin"/>
        </w:r>
        <w:r>
          <w:rPr>
            <w:noProof/>
            <w:webHidden/>
          </w:rPr>
          <w:instrText xml:space="preserve"> PAGEREF _Toc111196166 \h </w:instrText>
        </w:r>
        <w:r>
          <w:rPr>
            <w:noProof/>
            <w:webHidden/>
          </w:rPr>
        </w:r>
        <w:r>
          <w:rPr>
            <w:noProof/>
            <w:webHidden/>
          </w:rPr>
          <w:fldChar w:fldCharType="separate"/>
        </w:r>
        <w:r>
          <w:rPr>
            <w:noProof/>
            <w:webHidden/>
          </w:rPr>
          <w:t>131</w:t>
        </w:r>
        <w:r>
          <w:rPr>
            <w:noProof/>
            <w:webHidden/>
          </w:rPr>
          <w:fldChar w:fldCharType="end"/>
        </w:r>
      </w:hyperlink>
    </w:p>
    <w:p w14:paraId="155EA41F" w14:textId="08ECD97D" w:rsidR="00E62FB0" w:rsidRDefault="00E62FB0">
      <w:pPr>
        <w:pStyle w:val="Abbildungsverzeichnis"/>
        <w:rPr>
          <w:rFonts w:asciiTheme="minorHAnsi" w:eastAsiaTheme="minorEastAsia" w:hAnsiTheme="minorHAnsi" w:cstheme="minorBidi"/>
          <w:noProof/>
          <w:sz w:val="22"/>
          <w:szCs w:val="22"/>
        </w:rPr>
      </w:pPr>
      <w:hyperlink w:anchor="_Toc111196167" w:history="1">
        <w:r w:rsidRPr="00DA444B">
          <w:rPr>
            <w:rStyle w:val="Hyperlink"/>
            <w:b/>
            <w:noProof/>
          </w:rPr>
          <w:t>Abbildung 38: Beispiel für die Abrechnung von Überschreitungsmengen</w:t>
        </w:r>
        <w:r>
          <w:rPr>
            <w:noProof/>
            <w:webHidden/>
          </w:rPr>
          <w:tab/>
        </w:r>
        <w:r>
          <w:rPr>
            <w:noProof/>
            <w:webHidden/>
          </w:rPr>
          <w:fldChar w:fldCharType="begin"/>
        </w:r>
        <w:r>
          <w:rPr>
            <w:noProof/>
            <w:webHidden/>
          </w:rPr>
          <w:instrText xml:space="preserve"> PAGEREF _Toc111196167 \h </w:instrText>
        </w:r>
        <w:r>
          <w:rPr>
            <w:noProof/>
            <w:webHidden/>
          </w:rPr>
        </w:r>
        <w:r>
          <w:rPr>
            <w:noProof/>
            <w:webHidden/>
          </w:rPr>
          <w:fldChar w:fldCharType="separate"/>
        </w:r>
        <w:r>
          <w:rPr>
            <w:noProof/>
            <w:webHidden/>
          </w:rPr>
          <w:t>132</w:t>
        </w:r>
        <w:r>
          <w:rPr>
            <w:noProof/>
            <w:webHidden/>
          </w:rPr>
          <w:fldChar w:fldCharType="end"/>
        </w:r>
      </w:hyperlink>
    </w:p>
    <w:p w14:paraId="6ACAF25B" w14:textId="31A56F0D" w:rsidR="00E62FB0" w:rsidRDefault="00E62FB0">
      <w:pPr>
        <w:pStyle w:val="Abbildungsverzeichnis"/>
        <w:rPr>
          <w:rFonts w:asciiTheme="minorHAnsi" w:eastAsiaTheme="minorEastAsia" w:hAnsiTheme="minorHAnsi" w:cstheme="minorBidi"/>
          <w:noProof/>
          <w:sz w:val="22"/>
          <w:szCs w:val="22"/>
        </w:rPr>
      </w:pPr>
      <w:hyperlink w:anchor="_Toc111196168" w:history="1">
        <w:r w:rsidRPr="00DA444B">
          <w:rPr>
            <w:rStyle w:val="Hyperlink"/>
            <w:b/>
            <w:noProof/>
          </w:rPr>
          <w:t>Abbildung 39: Überschreitung des Flexibilitätsrahmens</w:t>
        </w:r>
        <w:r>
          <w:rPr>
            <w:noProof/>
            <w:webHidden/>
          </w:rPr>
          <w:tab/>
        </w:r>
        <w:r>
          <w:rPr>
            <w:noProof/>
            <w:webHidden/>
          </w:rPr>
          <w:fldChar w:fldCharType="begin"/>
        </w:r>
        <w:r>
          <w:rPr>
            <w:noProof/>
            <w:webHidden/>
          </w:rPr>
          <w:instrText xml:space="preserve"> PAGEREF _Toc111196168 \h </w:instrText>
        </w:r>
        <w:r>
          <w:rPr>
            <w:noProof/>
            <w:webHidden/>
          </w:rPr>
        </w:r>
        <w:r>
          <w:rPr>
            <w:noProof/>
            <w:webHidden/>
          </w:rPr>
          <w:fldChar w:fldCharType="separate"/>
        </w:r>
        <w:r>
          <w:rPr>
            <w:noProof/>
            <w:webHidden/>
          </w:rPr>
          <w:t>133</w:t>
        </w:r>
        <w:r>
          <w:rPr>
            <w:noProof/>
            <w:webHidden/>
          </w:rPr>
          <w:fldChar w:fldCharType="end"/>
        </w:r>
      </w:hyperlink>
    </w:p>
    <w:p w14:paraId="06C076A3" w14:textId="5ABEEE54" w:rsidR="00E62FB0" w:rsidRDefault="00E62FB0">
      <w:pPr>
        <w:pStyle w:val="Abbildungsverzeichnis"/>
        <w:rPr>
          <w:rFonts w:asciiTheme="minorHAnsi" w:eastAsiaTheme="minorEastAsia" w:hAnsiTheme="minorHAnsi" w:cstheme="minorBidi"/>
          <w:noProof/>
          <w:sz w:val="22"/>
          <w:szCs w:val="22"/>
        </w:rPr>
      </w:pPr>
      <w:hyperlink w:anchor="_Toc111196169" w:history="1">
        <w:r w:rsidRPr="00DA444B">
          <w:rPr>
            <w:rStyle w:val="Hyperlink"/>
            <w:b/>
            <w:noProof/>
          </w:rPr>
          <w:t>Abbildung 40: Überschreitung und Abrechnung des Flexibilitätsrahmens am 06.03.10</w:t>
        </w:r>
        <w:r>
          <w:rPr>
            <w:noProof/>
            <w:webHidden/>
          </w:rPr>
          <w:tab/>
        </w:r>
        <w:r>
          <w:rPr>
            <w:noProof/>
            <w:webHidden/>
          </w:rPr>
          <w:fldChar w:fldCharType="begin"/>
        </w:r>
        <w:r>
          <w:rPr>
            <w:noProof/>
            <w:webHidden/>
          </w:rPr>
          <w:instrText xml:space="preserve"> PAGEREF _Toc111196169 \h </w:instrText>
        </w:r>
        <w:r>
          <w:rPr>
            <w:noProof/>
            <w:webHidden/>
          </w:rPr>
        </w:r>
        <w:r>
          <w:rPr>
            <w:noProof/>
            <w:webHidden/>
          </w:rPr>
          <w:fldChar w:fldCharType="separate"/>
        </w:r>
        <w:r>
          <w:rPr>
            <w:noProof/>
            <w:webHidden/>
          </w:rPr>
          <w:t>134</w:t>
        </w:r>
        <w:r>
          <w:rPr>
            <w:noProof/>
            <w:webHidden/>
          </w:rPr>
          <w:fldChar w:fldCharType="end"/>
        </w:r>
      </w:hyperlink>
    </w:p>
    <w:p w14:paraId="2093FC25" w14:textId="4368E2D0" w:rsidR="00E62FB0" w:rsidRDefault="00E62FB0">
      <w:pPr>
        <w:pStyle w:val="Abbildungsverzeichnis"/>
        <w:rPr>
          <w:rFonts w:asciiTheme="minorHAnsi" w:eastAsiaTheme="minorEastAsia" w:hAnsiTheme="minorHAnsi" w:cstheme="minorBidi"/>
          <w:noProof/>
          <w:sz w:val="22"/>
          <w:szCs w:val="22"/>
        </w:rPr>
      </w:pPr>
      <w:hyperlink w:anchor="_Toc111196170" w:history="1">
        <w:r w:rsidRPr="00DA444B">
          <w:rPr>
            <w:rStyle w:val="Hyperlink"/>
            <w:b/>
            <w:noProof/>
          </w:rPr>
          <w:t>Abbildung 41: Erläuterung Mehr-/Mindermenge</w:t>
        </w:r>
        <w:r>
          <w:rPr>
            <w:noProof/>
            <w:webHidden/>
          </w:rPr>
          <w:tab/>
        </w:r>
        <w:r>
          <w:rPr>
            <w:noProof/>
            <w:webHidden/>
          </w:rPr>
          <w:fldChar w:fldCharType="begin"/>
        </w:r>
        <w:r>
          <w:rPr>
            <w:noProof/>
            <w:webHidden/>
          </w:rPr>
          <w:instrText xml:space="preserve"> PAGEREF _Toc111196170 \h </w:instrText>
        </w:r>
        <w:r>
          <w:rPr>
            <w:noProof/>
            <w:webHidden/>
          </w:rPr>
        </w:r>
        <w:r>
          <w:rPr>
            <w:noProof/>
            <w:webHidden/>
          </w:rPr>
          <w:fldChar w:fldCharType="separate"/>
        </w:r>
        <w:r>
          <w:rPr>
            <w:noProof/>
            <w:webHidden/>
          </w:rPr>
          <w:t>142</w:t>
        </w:r>
        <w:r>
          <w:rPr>
            <w:noProof/>
            <w:webHidden/>
          </w:rPr>
          <w:fldChar w:fldCharType="end"/>
        </w:r>
      </w:hyperlink>
    </w:p>
    <w:p w14:paraId="683CE25E" w14:textId="634F531B" w:rsidR="00E62FB0" w:rsidRDefault="00E62FB0">
      <w:pPr>
        <w:pStyle w:val="Abbildungsverzeichnis"/>
        <w:rPr>
          <w:rFonts w:asciiTheme="minorHAnsi" w:eastAsiaTheme="minorEastAsia" w:hAnsiTheme="minorHAnsi" w:cstheme="minorBidi"/>
          <w:noProof/>
          <w:sz w:val="22"/>
          <w:szCs w:val="22"/>
        </w:rPr>
      </w:pPr>
      <w:hyperlink w:anchor="_Toc111196171" w:history="1">
        <w:r w:rsidRPr="00DA444B">
          <w:rPr>
            <w:rStyle w:val="Hyperlink"/>
            <w:b/>
            <w:bCs/>
            <w:noProof/>
          </w:rPr>
          <w:t>Abbildung 42: Beispiel zur Berechnung des Monatsdurchschnittspreises</w:t>
        </w:r>
        <w:r>
          <w:rPr>
            <w:noProof/>
            <w:webHidden/>
          </w:rPr>
          <w:tab/>
        </w:r>
        <w:r>
          <w:rPr>
            <w:noProof/>
            <w:webHidden/>
          </w:rPr>
          <w:fldChar w:fldCharType="begin"/>
        </w:r>
        <w:r>
          <w:rPr>
            <w:noProof/>
            <w:webHidden/>
          </w:rPr>
          <w:instrText xml:space="preserve"> PAGEREF _Toc111196171 \h </w:instrText>
        </w:r>
        <w:r>
          <w:rPr>
            <w:noProof/>
            <w:webHidden/>
          </w:rPr>
        </w:r>
        <w:r>
          <w:rPr>
            <w:noProof/>
            <w:webHidden/>
          </w:rPr>
          <w:fldChar w:fldCharType="separate"/>
        </w:r>
        <w:r>
          <w:rPr>
            <w:noProof/>
            <w:webHidden/>
          </w:rPr>
          <w:t>151</w:t>
        </w:r>
        <w:r>
          <w:rPr>
            <w:noProof/>
            <w:webHidden/>
          </w:rPr>
          <w:fldChar w:fldCharType="end"/>
        </w:r>
      </w:hyperlink>
    </w:p>
    <w:p w14:paraId="02C52291" w14:textId="2E0F61C5" w:rsidR="00E62FB0" w:rsidRDefault="00E62FB0">
      <w:pPr>
        <w:pStyle w:val="Abbildungsverzeichnis"/>
        <w:rPr>
          <w:rFonts w:asciiTheme="minorHAnsi" w:eastAsiaTheme="minorEastAsia" w:hAnsiTheme="minorHAnsi" w:cstheme="minorBidi"/>
          <w:noProof/>
          <w:sz w:val="22"/>
          <w:szCs w:val="22"/>
        </w:rPr>
      </w:pPr>
      <w:hyperlink w:anchor="_Toc111196172" w:history="1">
        <w:r w:rsidRPr="00DA444B">
          <w:rPr>
            <w:rStyle w:val="Hyperlink"/>
            <w:b/>
            <w:bCs/>
            <w:noProof/>
          </w:rPr>
          <w:t>Abbildung 43: Beispiel Bildung Mehr-/Mindermengenpreis</w:t>
        </w:r>
        <w:r>
          <w:rPr>
            <w:noProof/>
            <w:webHidden/>
          </w:rPr>
          <w:tab/>
        </w:r>
        <w:r>
          <w:rPr>
            <w:noProof/>
            <w:webHidden/>
          </w:rPr>
          <w:fldChar w:fldCharType="begin"/>
        </w:r>
        <w:r>
          <w:rPr>
            <w:noProof/>
            <w:webHidden/>
          </w:rPr>
          <w:instrText xml:space="preserve"> PAGEREF _Toc111196172 \h </w:instrText>
        </w:r>
        <w:r>
          <w:rPr>
            <w:noProof/>
            <w:webHidden/>
          </w:rPr>
        </w:r>
        <w:r>
          <w:rPr>
            <w:noProof/>
            <w:webHidden/>
          </w:rPr>
          <w:fldChar w:fldCharType="separate"/>
        </w:r>
        <w:r>
          <w:rPr>
            <w:noProof/>
            <w:webHidden/>
          </w:rPr>
          <w:t>152</w:t>
        </w:r>
        <w:r>
          <w:rPr>
            <w:noProof/>
            <w:webHidden/>
          </w:rPr>
          <w:fldChar w:fldCharType="end"/>
        </w:r>
      </w:hyperlink>
    </w:p>
    <w:p w14:paraId="5FCBD629" w14:textId="39574C07" w:rsidR="00E62FB0" w:rsidRDefault="00E62FB0">
      <w:pPr>
        <w:pStyle w:val="Abbildungsverzeichnis"/>
        <w:rPr>
          <w:rFonts w:asciiTheme="minorHAnsi" w:eastAsiaTheme="minorEastAsia" w:hAnsiTheme="minorHAnsi" w:cstheme="minorBidi"/>
          <w:noProof/>
          <w:sz w:val="22"/>
          <w:szCs w:val="22"/>
        </w:rPr>
      </w:pPr>
      <w:hyperlink w:anchor="_Toc111196173" w:history="1">
        <w:r w:rsidRPr="00DA444B">
          <w:rPr>
            <w:rStyle w:val="Hyperlink"/>
            <w:b/>
            <w:noProof/>
          </w:rPr>
          <w:t>Abbildung 44: Beispiel Mehr-/Mindermengenpreis für den Anwendungsmonat</w:t>
        </w:r>
        <w:r>
          <w:rPr>
            <w:noProof/>
            <w:webHidden/>
          </w:rPr>
          <w:tab/>
        </w:r>
        <w:r>
          <w:rPr>
            <w:noProof/>
            <w:webHidden/>
          </w:rPr>
          <w:fldChar w:fldCharType="begin"/>
        </w:r>
        <w:r>
          <w:rPr>
            <w:noProof/>
            <w:webHidden/>
          </w:rPr>
          <w:instrText xml:space="preserve"> PAGEREF _Toc111196173 \h </w:instrText>
        </w:r>
        <w:r>
          <w:rPr>
            <w:noProof/>
            <w:webHidden/>
          </w:rPr>
        </w:r>
        <w:r>
          <w:rPr>
            <w:noProof/>
            <w:webHidden/>
          </w:rPr>
          <w:fldChar w:fldCharType="separate"/>
        </w:r>
        <w:r>
          <w:rPr>
            <w:noProof/>
            <w:webHidden/>
          </w:rPr>
          <w:t>152</w:t>
        </w:r>
        <w:r>
          <w:rPr>
            <w:noProof/>
            <w:webHidden/>
          </w:rPr>
          <w:fldChar w:fldCharType="end"/>
        </w:r>
      </w:hyperlink>
    </w:p>
    <w:p w14:paraId="29E3D9A9" w14:textId="4A7F4F5C" w:rsidR="00E62FB0" w:rsidRDefault="00E62FB0">
      <w:pPr>
        <w:pStyle w:val="Abbildungsverzeichnis"/>
        <w:rPr>
          <w:rFonts w:asciiTheme="minorHAnsi" w:eastAsiaTheme="minorEastAsia" w:hAnsiTheme="minorHAnsi" w:cstheme="minorBidi"/>
          <w:noProof/>
          <w:sz w:val="22"/>
          <w:szCs w:val="22"/>
        </w:rPr>
      </w:pPr>
      <w:hyperlink w:anchor="_Toc111196174" w:history="1">
        <w:r w:rsidRPr="00DA444B">
          <w:rPr>
            <w:rStyle w:val="Hyperlink"/>
            <w:b/>
            <w:noProof/>
          </w:rPr>
          <w:t>Abbildung 45: Grenzen eines Netzkontos</w:t>
        </w:r>
        <w:r>
          <w:rPr>
            <w:noProof/>
            <w:webHidden/>
          </w:rPr>
          <w:tab/>
        </w:r>
        <w:r>
          <w:rPr>
            <w:noProof/>
            <w:webHidden/>
          </w:rPr>
          <w:fldChar w:fldCharType="begin"/>
        </w:r>
        <w:r>
          <w:rPr>
            <w:noProof/>
            <w:webHidden/>
          </w:rPr>
          <w:instrText xml:space="preserve"> PAGEREF _Toc111196174 \h </w:instrText>
        </w:r>
        <w:r>
          <w:rPr>
            <w:noProof/>
            <w:webHidden/>
          </w:rPr>
        </w:r>
        <w:r>
          <w:rPr>
            <w:noProof/>
            <w:webHidden/>
          </w:rPr>
          <w:fldChar w:fldCharType="separate"/>
        </w:r>
        <w:r>
          <w:rPr>
            <w:noProof/>
            <w:webHidden/>
          </w:rPr>
          <w:t>165</w:t>
        </w:r>
        <w:r>
          <w:rPr>
            <w:noProof/>
            <w:webHidden/>
          </w:rPr>
          <w:fldChar w:fldCharType="end"/>
        </w:r>
      </w:hyperlink>
    </w:p>
    <w:p w14:paraId="2521EF0E" w14:textId="571EBC1E" w:rsidR="00E62FB0" w:rsidRDefault="00E62FB0">
      <w:pPr>
        <w:pStyle w:val="Abbildungsverzeichnis"/>
        <w:rPr>
          <w:rFonts w:asciiTheme="minorHAnsi" w:eastAsiaTheme="minorEastAsia" w:hAnsiTheme="minorHAnsi" w:cstheme="minorBidi"/>
          <w:noProof/>
          <w:sz w:val="22"/>
          <w:szCs w:val="22"/>
        </w:rPr>
      </w:pPr>
      <w:hyperlink w:anchor="_Toc111196175" w:history="1">
        <w:r w:rsidRPr="00DA444B">
          <w:rPr>
            <w:rStyle w:val="Hyperlink"/>
            <w:b/>
            <w:noProof/>
          </w:rPr>
          <w:t>Abbildung 46: Berechnung der Netzkontosalden</w:t>
        </w:r>
        <w:r>
          <w:rPr>
            <w:noProof/>
            <w:webHidden/>
          </w:rPr>
          <w:tab/>
        </w:r>
        <w:r>
          <w:rPr>
            <w:noProof/>
            <w:webHidden/>
          </w:rPr>
          <w:fldChar w:fldCharType="begin"/>
        </w:r>
        <w:r>
          <w:rPr>
            <w:noProof/>
            <w:webHidden/>
          </w:rPr>
          <w:instrText xml:space="preserve"> PAGEREF _Toc111196175 \h </w:instrText>
        </w:r>
        <w:r>
          <w:rPr>
            <w:noProof/>
            <w:webHidden/>
          </w:rPr>
        </w:r>
        <w:r>
          <w:rPr>
            <w:noProof/>
            <w:webHidden/>
          </w:rPr>
          <w:fldChar w:fldCharType="separate"/>
        </w:r>
        <w:r>
          <w:rPr>
            <w:noProof/>
            <w:webHidden/>
          </w:rPr>
          <w:t>168</w:t>
        </w:r>
        <w:r>
          <w:rPr>
            <w:noProof/>
            <w:webHidden/>
          </w:rPr>
          <w:fldChar w:fldCharType="end"/>
        </w:r>
      </w:hyperlink>
    </w:p>
    <w:p w14:paraId="21DCAA94" w14:textId="1B5D6258" w:rsidR="00E62FB0" w:rsidRDefault="00E62FB0">
      <w:pPr>
        <w:pStyle w:val="Abbildungsverzeichnis"/>
        <w:rPr>
          <w:rFonts w:asciiTheme="minorHAnsi" w:eastAsiaTheme="minorEastAsia" w:hAnsiTheme="minorHAnsi" w:cstheme="minorBidi"/>
          <w:noProof/>
          <w:sz w:val="22"/>
          <w:szCs w:val="22"/>
        </w:rPr>
      </w:pPr>
      <w:hyperlink w:anchor="_Toc111196176" w:history="1">
        <w:r w:rsidRPr="00DA444B">
          <w:rPr>
            <w:rStyle w:val="Hyperlink"/>
            <w:b/>
            <w:noProof/>
          </w:rPr>
          <w:t>Abbildung 47: Struktur der Datenelemente im Netzkontoauszug bzw. Allokationsdatenbericht</w:t>
        </w:r>
        <w:r>
          <w:rPr>
            <w:noProof/>
            <w:webHidden/>
          </w:rPr>
          <w:tab/>
        </w:r>
        <w:r>
          <w:rPr>
            <w:noProof/>
            <w:webHidden/>
          </w:rPr>
          <w:fldChar w:fldCharType="begin"/>
        </w:r>
        <w:r>
          <w:rPr>
            <w:noProof/>
            <w:webHidden/>
          </w:rPr>
          <w:instrText xml:space="preserve"> PAGEREF _Toc111196176 \h </w:instrText>
        </w:r>
        <w:r>
          <w:rPr>
            <w:noProof/>
            <w:webHidden/>
          </w:rPr>
        </w:r>
        <w:r>
          <w:rPr>
            <w:noProof/>
            <w:webHidden/>
          </w:rPr>
          <w:fldChar w:fldCharType="separate"/>
        </w:r>
        <w:r>
          <w:rPr>
            <w:noProof/>
            <w:webHidden/>
          </w:rPr>
          <w:t>171</w:t>
        </w:r>
        <w:r>
          <w:rPr>
            <w:noProof/>
            <w:webHidden/>
          </w:rPr>
          <w:fldChar w:fldCharType="end"/>
        </w:r>
      </w:hyperlink>
    </w:p>
    <w:p w14:paraId="2988B5FA" w14:textId="428F8775" w:rsidR="00E62FB0" w:rsidRDefault="00E62FB0">
      <w:pPr>
        <w:pStyle w:val="Abbildungsverzeichnis"/>
        <w:rPr>
          <w:rFonts w:asciiTheme="minorHAnsi" w:eastAsiaTheme="minorEastAsia" w:hAnsiTheme="minorHAnsi" w:cstheme="minorBidi"/>
          <w:noProof/>
          <w:sz w:val="22"/>
          <w:szCs w:val="22"/>
        </w:rPr>
      </w:pPr>
      <w:hyperlink w:anchor="_Toc111196177" w:history="1">
        <w:r w:rsidRPr="00DA444B">
          <w:rPr>
            <w:rStyle w:val="Hyperlink"/>
            <w:b/>
            <w:noProof/>
          </w:rPr>
          <w:t xml:space="preserve">Abbildung 48: Datenspuren im Netzkontoauszug </w:t>
        </w:r>
        <w:r w:rsidRPr="00DA444B">
          <w:rPr>
            <w:rStyle w:val="Hyperlink"/>
            <w:rFonts w:cs="Arial"/>
            <w:b/>
            <w:bCs/>
            <w:noProof/>
          </w:rPr>
          <w:t>und im Allokationsdatenbericht</w:t>
        </w:r>
        <w:r>
          <w:rPr>
            <w:noProof/>
            <w:webHidden/>
          </w:rPr>
          <w:tab/>
        </w:r>
        <w:r>
          <w:rPr>
            <w:noProof/>
            <w:webHidden/>
          </w:rPr>
          <w:fldChar w:fldCharType="begin"/>
        </w:r>
        <w:r>
          <w:rPr>
            <w:noProof/>
            <w:webHidden/>
          </w:rPr>
          <w:instrText xml:space="preserve"> PAGEREF _Toc111196177 \h </w:instrText>
        </w:r>
        <w:r>
          <w:rPr>
            <w:noProof/>
            <w:webHidden/>
          </w:rPr>
        </w:r>
        <w:r>
          <w:rPr>
            <w:noProof/>
            <w:webHidden/>
          </w:rPr>
          <w:fldChar w:fldCharType="separate"/>
        </w:r>
        <w:r>
          <w:rPr>
            <w:noProof/>
            <w:webHidden/>
          </w:rPr>
          <w:t>173</w:t>
        </w:r>
        <w:r>
          <w:rPr>
            <w:noProof/>
            <w:webHidden/>
          </w:rPr>
          <w:fldChar w:fldCharType="end"/>
        </w:r>
      </w:hyperlink>
    </w:p>
    <w:p w14:paraId="7CB9F2DC" w14:textId="6FC3232F" w:rsidR="00E62FB0" w:rsidRDefault="00E62FB0">
      <w:pPr>
        <w:pStyle w:val="Abbildungsverzeichnis"/>
        <w:rPr>
          <w:rFonts w:asciiTheme="minorHAnsi" w:eastAsiaTheme="minorEastAsia" w:hAnsiTheme="minorHAnsi" w:cstheme="minorBidi"/>
          <w:noProof/>
          <w:sz w:val="22"/>
          <w:szCs w:val="22"/>
        </w:rPr>
      </w:pPr>
      <w:hyperlink w:anchor="_Toc111196178" w:history="1">
        <w:r w:rsidRPr="00DA444B">
          <w:rPr>
            <w:rStyle w:val="Hyperlink"/>
            <w:b/>
            <w:noProof/>
          </w:rPr>
          <w:t>Abbildung 49: Netzkontoauszug, Datenteil</w:t>
        </w:r>
        <w:r>
          <w:rPr>
            <w:noProof/>
            <w:webHidden/>
          </w:rPr>
          <w:tab/>
        </w:r>
        <w:r>
          <w:rPr>
            <w:noProof/>
            <w:webHidden/>
          </w:rPr>
          <w:fldChar w:fldCharType="begin"/>
        </w:r>
        <w:r>
          <w:rPr>
            <w:noProof/>
            <w:webHidden/>
          </w:rPr>
          <w:instrText xml:space="preserve"> PAGEREF _Toc111196178 \h </w:instrText>
        </w:r>
        <w:r>
          <w:rPr>
            <w:noProof/>
            <w:webHidden/>
          </w:rPr>
        </w:r>
        <w:r>
          <w:rPr>
            <w:noProof/>
            <w:webHidden/>
          </w:rPr>
          <w:fldChar w:fldCharType="separate"/>
        </w:r>
        <w:r>
          <w:rPr>
            <w:noProof/>
            <w:webHidden/>
          </w:rPr>
          <w:t>173</w:t>
        </w:r>
        <w:r>
          <w:rPr>
            <w:noProof/>
            <w:webHidden/>
          </w:rPr>
          <w:fldChar w:fldCharType="end"/>
        </w:r>
      </w:hyperlink>
    </w:p>
    <w:p w14:paraId="04A6E739" w14:textId="5C78E34E" w:rsidR="00E62FB0" w:rsidRDefault="00E62FB0">
      <w:pPr>
        <w:pStyle w:val="Abbildungsverzeichnis"/>
        <w:rPr>
          <w:rFonts w:asciiTheme="minorHAnsi" w:eastAsiaTheme="minorEastAsia" w:hAnsiTheme="minorHAnsi" w:cstheme="minorBidi"/>
          <w:noProof/>
          <w:sz w:val="22"/>
          <w:szCs w:val="22"/>
        </w:rPr>
      </w:pPr>
      <w:hyperlink w:anchor="_Toc111196179" w:history="1">
        <w:r w:rsidRPr="00DA444B">
          <w:rPr>
            <w:rStyle w:val="Hyperlink"/>
            <w:b/>
            <w:noProof/>
          </w:rPr>
          <w:t>Abbildung 50: Netzkontoauszug - Analyseteil</w:t>
        </w:r>
        <w:r>
          <w:rPr>
            <w:noProof/>
            <w:webHidden/>
          </w:rPr>
          <w:tab/>
        </w:r>
        <w:r>
          <w:rPr>
            <w:noProof/>
            <w:webHidden/>
          </w:rPr>
          <w:fldChar w:fldCharType="begin"/>
        </w:r>
        <w:r>
          <w:rPr>
            <w:noProof/>
            <w:webHidden/>
          </w:rPr>
          <w:instrText xml:space="preserve"> PAGEREF _Toc111196179 \h </w:instrText>
        </w:r>
        <w:r>
          <w:rPr>
            <w:noProof/>
            <w:webHidden/>
          </w:rPr>
        </w:r>
        <w:r>
          <w:rPr>
            <w:noProof/>
            <w:webHidden/>
          </w:rPr>
          <w:fldChar w:fldCharType="separate"/>
        </w:r>
        <w:r>
          <w:rPr>
            <w:noProof/>
            <w:webHidden/>
          </w:rPr>
          <w:t>174</w:t>
        </w:r>
        <w:r>
          <w:rPr>
            <w:noProof/>
            <w:webHidden/>
          </w:rPr>
          <w:fldChar w:fldCharType="end"/>
        </w:r>
      </w:hyperlink>
    </w:p>
    <w:p w14:paraId="12012E95" w14:textId="61768D0B" w:rsidR="00E62FB0" w:rsidRDefault="00E62FB0">
      <w:pPr>
        <w:pStyle w:val="Abbildungsverzeichnis"/>
        <w:rPr>
          <w:rFonts w:asciiTheme="minorHAnsi" w:eastAsiaTheme="minorEastAsia" w:hAnsiTheme="minorHAnsi" w:cstheme="minorBidi"/>
          <w:noProof/>
          <w:sz w:val="22"/>
          <w:szCs w:val="22"/>
        </w:rPr>
      </w:pPr>
      <w:hyperlink w:anchor="_Toc111196180" w:history="1">
        <w:r w:rsidRPr="00DA444B">
          <w:rPr>
            <w:rStyle w:val="Hyperlink"/>
            <w:b/>
            <w:noProof/>
          </w:rPr>
          <w:t>Abbildung 51: Allokationsdatenbericht Gesamt</w:t>
        </w:r>
        <w:r>
          <w:rPr>
            <w:noProof/>
            <w:webHidden/>
          </w:rPr>
          <w:tab/>
        </w:r>
        <w:r>
          <w:rPr>
            <w:noProof/>
            <w:webHidden/>
          </w:rPr>
          <w:fldChar w:fldCharType="begin"/>
        </w:r>
        <w:r>
          <w:rPr>
            <w:noProof/>
            <w:webHidden/>
          </w:rPr>
          <w:instrText xml:space="preserve"> PAGEREF _Toc111196180 \h </w:instrText>
        </w:r>
        <w:r>
          <w:rPr>
            <w:noProof/>
            <w:webHidden/>
          </w:rPr>
        </w:r>
        <w:r>
          <w:rPr>
            <w:noProof/>
            <w:webHidden/>
          </w:rPr>
          <w:fldChar w:fldCharType="separate"/>
        </w:r>
        <w:r>
          <w:rPr>
            <w:noProof/>
            <w:webHidden/>
          </w:rPr>
          <w:t>175</w:t>
        </w:r>
        <w:r>
          <w:rPr>
            <w:noProof/>
            <w:webHidden/>
          </w:rPr>
          <w:fldChar w:fldCharType="end"/>
        </w:r>
      </w:hyperlink>
    </w:p>
    <w:p w14:paraId="5264B86F" w14:textId="0612EDF3" w:rsidR="00E62FB0" w:rsidRDefault="00E62FB0">
      <w:pPr>
        <w:pStyle w:val="Abbildungsverzeichnis"/>
        <w:rPr>
          <w:rFonts w:asciiTheme="minorHAnsi" w:eastAsiaTheme="minorEastAsia" w:hAnsiTheme="minorHAnsi" w:cstheme="minorBidi"/>
          <w:noProof/>
          <w:sz w:val="22"/>
          <w:szCs w:val="22"/>
        </w:rPr>
      </w:pPr>
      <w:hyperlink w:anchor="_Toc111196181" w:history="1">
        <w:r w:rsidRPr="00DA444B">
          <w:rPr>
            <w:rStyle w:val="Hyperlink"/>
            <w:b/>
            <w:noProof/>
          </w:rPr>
          <w:t>Abbildung 52: Allokationsdatenbericht RLM</w:t>
        </w:r>
        <w:r>
          <w:rPr>
            <w:noProof/>
            <w:webHidden/>
          </w:rPr>
          <w:tab/>
        </w:r>
        <w:r>
          <w:rPr>
            <w:noProof/>
            <w:webHidden/>
          </w:rPr>
          <w:fldChar w:fldCharType="begin"/>
        </w:r>
        <w:r>
          <w:rPr>
            <w:noProof/>
            <w:webHidden/>
          </w:rPr>
          <w:instrText xml:space="preserve"> PAGEREF _Toc111196181 \h </w:instrText>
        </w:r>
        <w:r>
          <w:rPr>
            <w:noProof/>
            <w:webHidden/>
          </w:rPr>
        </w:r>
        <w:r>
          <w:rPr>
            <w:noProof/>
            <w:webHidden/>
          </w:rPr>
          <w:fldChar w:fldCharType="separate"/>
        </w:r>
        <w:r>
          <w:rPr>
            <w:noProof/>
            <w:webHidden/>
          </w:rPr>
          <w:t>176</w:t>
        </w:r>
        <w:r>
          <w:rPr>
            <w:noProof/>
            <w:webHidden/>
          </w:rPr>
          <w:fldChar w:fldCharType="end"/>
        </w:r>
      </w:hyperlink>
    </w:p>
    <w:p w14:paraId="7D045DE7" w14:textId="5823A073" w:rsidR="00E62FB0" w:rsidRDefault="00E62FB0">
      <w:pPr>
        <w:pStyle w:val="Abbildungsverzeichnis"/>
        <w:rPr>
          <w:rFonts w:asciiTheme="minorHAnsi" w:eastAsiaTheme="minorEastAsia" w:hAnsiTheme="minorHAnsi" w:cstheme="minorBidi"/>
          <w:noProof/>
          <w:sz w:val="22"/>
          <w:szCs w:val="22"/>
        </w:rPr>
      </w:pPr>
      <w:hyperlink w:anchor="_Toc111196182" w:history="1">
        <w:r w:rsidRPr="00DA444B">
          <w:rPr>
            <w:rStyle w:val="Hyperlink"/>
            <w:b/>
            <w:noProof/>
          </w:rPr>
          <w:t>Abbildung 53: Allokationsdatenbericht EntryNKP</w:t>
        </w:r>
        <w:r>
          <w:rPr>
            <w:noProof/>
            <w:webHidden/>
          </w:rPr>
          <w:tab/>
        </w:r>
        <w:r>
          <w:rPr>
            <w:noProof/>
            <w:webHidden/>
          </w:rPr>
          <w:fldChar w:fldCharType="begin"/>
        </w:r>
        <w:r>
          <w:rPr>
            <w:noProof/>
            <w:webHidden/>
          </w:rPr>
          <w:instrText xml:space="preserve"> PAGEREF _Toc111196182 \h </w:instrText>
        </w:r>
        <w:r>
          <w:rPr>
            <w:noProof/>
            <w:webHidden/>
          </w:rPr>
        </w:r>
        <w:r>
          <w:rPr>
            <w:noProof/>
            <w:webHidden/>
          </w:rPr>
          <w:fldChar w:fldCharType="separate"/>
        </w:r>
        <w:r>
          <w:rPr>
            <w:noProof/>
            <w:webHidden/>
          </w:rPr>
          <w:t>176</w:t>
        </w:r>
        <w:r>
          <w:rPr>
            <w:noProof/>
            <w:webHidden/>
          </w:rPr>
          <w:fldChar w:fldCharType="end"/>
        </w:r>
      </w:hyperlink>
    </w:p>
    <w:p w14:paraId="2B93501E" w14:textId="73994110" w:rsidR="00E62FB0" w:rsidRDefault="00E62FB0">
      <w:pPr>
        <w:pStyle w:val="Abbildungsverzeichnis"/>
        <w:rPr>
          <w:rFonts w:asciiTheme="minorHAnsi" w:eastAsiaTheme="minorEastAsia" w:hAnsiTheme="minorHAnsi" w:cstheme="minorBidi"/>
          <w:noProof/>
          <w:sz w:val="22"/>
          <w:szCs w:val="22"/>
        </w:rPr>
      </w:pPr>
      <w:hyperlink w:anchor="_Toc111196183" w:history="1">
        <w:r w:rsidRPr="00DA444B">
          <w:rPr>
            <w:rStyle w:val="Hyperlink"/>
            <w:b/>
            <w:noProof/>
          </w:rPr>
          <w:t>Abbildung 54: Allokationsdatenbericht Entryso/Exitso</w:t>
        </w:r>
        <w:r>
          <w:rPr>
            <w:noProof/>
            <w:webHidden/>
          </w:rPr>
          <w:tab/>
        </w:r>
        <w:r>
          <w:rPr>
            <w:noProof/>
            <w:webHidden/>
          </w:rPr>
          <w:fldChar w:fldCharType="begin"/>
        </w:r>
        <w:r>
          <w:rPr>
            <w:noProof/>
            <w:webHidden/>
          </w:rPr>
          <w:instrText xml:space="preserve"> PAGEREF _Toc111196183 \h </w:instrText>
        </w:r>
        <w:r>
          <w:rPr>
            <w:noProof/>
            <w:webHidden/>
          </w:rPr>
        </w:r>
        <w:r>
          <w:rPr>
            <w:noProof/>
            <w:webHidden/>
          </w:rPr>
          <w:fldChar w:fldCharType="separate"/>
        </w:r>
        <w:r>
          <w:rPr>
            <w:noProof/>
            <w:webHidden/>
          </w:rPr>
          <w:t>176</w:t>
        </w:r>
        <w:r>
          <w:rPr>
            <w:noProof/>
            <w:webHidden/>
          </w:rPr>
          <w:fldChar w:fldCharType="end"/>
        </w:r>
      </w:hyperlink>
    </w:p>
    <w:p w14:paraId="4D7569A3" w14:textId="42BBEA65" w:rsidR="00E62FB0" w:rsidRDefault="00E62FB0">
      <w:pPr>
        <w:pStyle w:val="Abbildungsverzeichnis"/>
        <w:rPr>
          <w:rFonts w:asciiTheme="minorHAnsi" w:eastAsiaTheme="minorEastAsia" w:hAnsiTheme="minorHAnsi" w:cstheme="minorBidi"/>
          <w:noProof/>
          <w:sz w:val="22"/>
          <w:szCs w:val="22"/>
        </w:rPr>
      </w:pPr>
      <w:hyperlink w:anchor="_Toc111196184" w:history="1">
        <w:r w:rsidRPr="00DA444B">
          <w:rPr>
            <w:rStyle w:val="Hyperlink"/>
            <w:b/>
            <w:noProof/>
          </w:rPr>
          <w:t>Abbildung 55: Darstellung bei Zeitumstellung in den stundenscharfen Allokationsdatenberichten (RLM, EntryNKP, Entryso/Exitso), am Beispiel RLM</w:t>
        </w:r>
        <w:r>
          <w:rPr>
            <w:noProof/>
            <w:webHidden/>
          </w:rPr>
          <w:tab/>
        </w:r>
        <w:r>
          <w:rPr>
            <w:noProof/>
            <w:webHidden/>
          </w:rPr>
          <w:fldChar w:fldCharType="begin"/>
        </w:r>
        <w:r>
          <w:rPr>
            <w:noProof/>
            <w:webHidden/>
          </w:rPr>
          <w:instrText xml:space="preserve"> PAGEREF _Toc111196184 \h </w:instrText>
        </w:r>
        <w:r>
          <w:rPr>
            <w:noProof/>
            <w:webHidden/>
          </w:rPr>
        </w:r>
        <w:r>
          <w:rPr>
            <w:noProof/>
            <w:webHidden/>
          </w:rPr>
          <w:fldChar w:fldCharType="separate"/>
        </w:r>
        <w:r>
          <w:rPr>
            <w:noProof/>
            <w:webHidden/>
          </w:rPr>
          <w:t>177</w:t>
        </w:r>
        <w:r>
          <w:rPr>
            <w:noProof/>
            <w:webHidden/>
          </w:rPr>
          <w:fldChar w:fldCharType="end"/>
        </w:r>
      </w:hyperlink>
    </w:p>
    <w:p w14:paraId="2C626AC8" w14:textId="5466D875" w:rsidR="00E62FB0" w:rsidRDefault="00E62FB0">
      <w:pPr>
        <w:pStyle w:val="Abbildungsverzeichnis"/>
        <w:rPr>
          <w:rFonts w:asciiTheme="minorHAnsi" w:eastAsiaTheme="minorEastAsia" w:hAnsiTheme="minorHAnsi" w:cstheme="minorBidi"/>
          <w:noProof/>
          <w:sz w:val="22"/>
          <w:szCs w:val="22"/>
        </w:rPr>
      </w:pPr>
      <w:hyperlink w:anchor="_Toc111196185" w:history="1">
        <w:r w:rsidRPr="00DA444B">
          <w:rPr>
            <w:rStyle w:val="Hyperlink"/>
            <w:b/>
            <w:noProof/>
          </w:rPr>
          <w:t>Abbildung 56: Rückabwicklung der Abrechnung nach der täglichen Netzkontosystematik als Anreizsystem für Netzbetreiber mit Stichtagsablesung</w:t>
        </w:r>
        <w:r>
          <w:rPr>
            <w:noProof/>
            <w:webHidden/>
          </w:rPr>
          <w:tab/>
        </w:r>
        <w:r>
          <w:rPr>
            <w:noProof/>
            <w:webHidden/>
          </w:rPr>
          <w:fldChar w:fldCharType="begin"/>
        </w:r>
        <w:r>
          <w:rPr>
            <w:noProof/>
            <w:webHidden/>
          </w:rPr>
          <w:instrText xml:space="preserve"> PAGEREF _Toc111196185 \h </w:instrText>
        </w:r>
        <w:r>
          <w:rPr>
            <w:noProof/>
            <w:webHidden/>
          </w:rPr>
        </w:r>
        <w:r>
          <w:rPr>
            <w:noProof/>
            <w:webHidden/>
          </w:rPr>
          <w:fldChar w:fldCharType="separate"/>
        </w:r>
        <w:r>
          <w:rPr>
            <w:noProof/>
            <w:webHidden/>
          </w:rPr>
          <w:t>182</w:t>
        </w:r>
        <w:r>
          <w:rPr>
            <w:noProof/>
            <w:webHidden/>
          </w:rPr>
          <w:fldChar w:fldCharType="end"/>
        </w:r>
      </w:hyperlink>
    </w:p>
    <w:p w14:paraId="56A748F5" w14:textId="0EB825FB" w:rsidR="00E62FB0" w:rsidRDefault="00E62FB0">
      <w:pPr>
        <w:pStyle w:val="Abbildungsverzeichnis"/>
        <w:rPr>
          <w:rFonts w:asciiTheme="minorHAnsi" w:eastAsiaTheme="minorEastAsia" w:hAnsiTheme="minorHAnsi" w:cstheme="minorBidi"/>
          <w:noProof/>
          <w:sz w:val="22"/>
          <w:szCs w:val="22"/>
        </w:rPr>
      </w:pPr>
      <w:hyperlink w:anchor="_Toc111196186" w:history="1">
        <w:r w:rsidRPr="00DA444B">
          <w:rPr>
            <w:rStyle w:val="Hyperlink"/>
            <w:b/>
            <w:noProof/>
          </w:rPr>
          <w:t>Abbildung 57: Rückabwicklung der Abrechnung nach der täglichen Netzkontosystematik als Anreizsystem für NB mit rollierender Ablesung</w:t>
        </w:r>
        <w:r>
          <w:rPr>
            <w:noProof/>
            <w:webHidden/>
          </w:rPr>
          <w:tab/>
        </w:r>
        <w:r>
          <w:rPr>
            <w:noProof/>
            <w:webHidden/>
          </w:rPr>
          <w:fldChar w:fldCharType="begin"/>
        </w:r>
        <w:r>
          <w:rPr>
            <w:noProof/>
            <w:webHidden/>
          </w:rPr>
          <w:instrText xml:space="preserve"> PAGEREF _Toc111196186 \h </w:instrText>
        </w:r>
        <w:r>
          <w:rPr>
            <w:noProof/>
            <w:webHidden/>
          </w:rPr>
        </w:r>
        <w:r>
          <w:rPr>
            <w:noProof/>
            <w:webHidden/>
          </w:rPr>
          <w:fldChar w:fldCharType="separate"/>
        </w:r>
        <w:r>
          <w:rPr>
            <w:noProof/>
            <w:webHidden/>
          </w:rPr>
          <w:t>184</w:t>
        </w:r>
        <w:r>
          <w:rPr>
            <w:noProof/>
            <w:webHidden/>
          </w:rPr>
          <w:fldChar w:fldCharType="end"/>
        </w:r>
      </w:hyperlink>
    </w:p>
    <w:p w14:paraId="1FE7372C" w14:textId="77777777" w:rsidR="0055457B" w:rsidRPr="009909C7" w:rsidRDefault="00561FFA" w:rsidP="003C2438">
      <w:pPr>
        <w:tabs>
          <w:tab w:val="left" w:pos="6086"/>
        </w:tabs>
        <w:rPr>
          <w:rFonts w:cs="Arial"/>
        </w:rPr>
      </w:pPr>
      <w:r w:rsidRPr="009909C7">
        <w:rPr>
          <w:rFonts w:cs="Arial"/>
          <w:caps/>
        </w:rPr>
        <w:fldChar w:fldCharType="end"/>
      </w:r>
    </w:p>
    <w:p w14:paraId="043C5A52" w14:textId="77777777" w:rsidR="00A53359" w:rsidRPr="00A53359" w:rsidRDefault="00DF612D" w:rsidP="003C2438">
      <w:pPr>
        <w:outlineLvl w:val="0"/>
      </w:pPr>
      <w:r w:rsidRPr="009909C7">
        <w:br w:type="page"/>
      </w:r>
      <w:bookmarkStart w:id="8" w:name="_Toc357091870"/>
      <w:bookmarkStart w:id="9" w:name="_Toc358284755"/>
      <w:bookmarkStart w:id="10" w:name="_Toc111118436"/>
      <w:r w:rsidRPr="005E563F">
        <w:rPr>
          <w:b/>
        </w:rPr>
        <w:lastRenderedPageBreak/>
        <w:t>Abkürzungsverzeichnis</w:t>
      </w:r>
      <w:bookmarkEnd w:id="8"/>
      <w:bookmarkEnd w:id="9"/>
      <w:bookmarkEnd w:id="10"/>
    </w:p>
    <w:tbl>
      <w:tblPr>
        <w:tblW w:w="5000" w:type="pct"/>
        <w:tblLayout w:type="fixed"/>
        <w:tblLook w:val="01E0" w:firstRow="1" w:lastRow="1" w:firstColumn="1" w:lastColumn="1" w:noHBand="0" w:noVBand="0"/>
      </w:tblPr>
      <w:tblGrid>
        <w:gridCol w:w="1765"/>
        <w:gridCol w:w="7305"/>
      </w:tblGrid>
      <w:tr w:rsidR="001E16BD" w:rsidRPr="00137F5A" w14:paraId="07A7D1A4" w14:textId="77777777" w:rsidTr="008968C7">
        <w:trPr>
          <w:trHeight w:val="113"/>
        </w:trPr>
        <w:tc>
          <w:tcPr>
            <w:tcW w:w="1765" w:type="dxa"/>
          </w:tcPr>
          <w:p w14:paraId="1A61AC45" w14:textId="77777777" w:rsidR="001E16BD" w:rsidRPr="000347CD" w:rsidRDefault="001E16BD" w:rsidP="003C2438">
            <w:r>
              <w:t>ABW</w:t>
            </w:r>
          </w:p>
        </w:tc>
        <w:tc>
          <w:tcPr>
            <w:tcW w:w="7305" w:type="dxa"/>
          </w:tcPr>
          <w:p w14:paraId="301A9A8D" w14:textId="77777777" w:rsidR="001E16BD" w:rsidRPr="000347CD" w:rsidRDefault="001E16BD" w:rsidP="003C2438">
            <w:r>
              <w:t>Abrechnungsbrennwert</w:t>
            </w:r>
          </w:p>
        </w:tc>
      </w:tr>
      <w:tr w:rsidR="00DF612D" w:rsidRPr="00137F5A" w14:paraId="7496850F" w14:textId="77777777" w:rsidTr="008968C7">
        <w:trPr>
          <w:trHeight w:val="113"/>
        </w:trPr>
        <w:tc>
          <w:tcPr>
            <w:tcW w:w="1765" w:type="dxa"/>
          </w:tcPr>
          <w:p w14:paraId="4C223FD1" w14:textId="77777777" w:rsidR="00DF612D" w:rsidRDefault="00DF612D" w:rsidP="003C2438">
            <w:r w:rsidRPr="000347CD">
              <w:t>ANB</w:t>
            </w:r>
          </w:p>
          <w:p w14:paraId="58F71A74" w14:textId="77777777" w:rsidR="00126998" w:rsidRPr="000347CD" w:rsidRDefault="00126998" w:rsidP="003C2438">
            <w:r>
              <w:t>BEATE</w:t>
            </w:r>
          </w:p>
        </w:tc>
        <w:tc>
          <w:tcPr>
            <w:tcW w:w="7305" w:type="dxa"/>
          </w:tcPr>
          <w:p w14:paraId="1ABEB2B4" w14:textId="77777777" w:rsidR="00DF612D" w:rsidRDefault="00DF612D" w:rsidP="003C2438">
            <w:r w:rsidRPr="000347CD">
              <w:t>Ausspeisenetzbetreiber</w:t>
            </w:r>
          </w:p>
          <w:p w14:paraId="20DA5FB6" w14:textId="4EA568D8" w:rsidR="00126998" w:rsidRPr="000347CD" w:rsidRDefault="003635D8" w:rsidP="003C2438">
            <w:r>
              <w:t>Festlegung</w:t>
            </w:r>
            <w:r w:rsidR="00126998">
              <w:t xml:space="preserve"> der Bundesnetzagentur </w:t>
            </w:r>
            <w:r>
              <w:t>von</w:t>
            </w:r>
            <w:r w:rsidR="00126998">
              <w:t xml:space="preserve"> Vorgaben zur Umrechnung von Jahresleistungspreisen in Leistungspreise für unterjährige Kapazitätsrechte sowie </w:t>
            </w:r>
            <w:r>
              <w:t xml:space="preserve">von </w:t>
            </w:r>
            <w:r w:rsidR="00126998">
              <w:t xml:space="preserve">Vorgaben zur sachgerechten Ermittlung der Netzentgelte nach </w:t>
            </w:r>
            <w:r w:rsidR="00126998" w:rsidDel="00815124">
              <w:t>§</w:t>
            </w:r>
            <w:r w:rsidR="00815124">
              <w:t> </w:t>
            </w:r>
            <w:r w:rsidR="00126998">
              <w:t xml:space="preserve">15 Abs. 2 bis 7 </w:t>
            </w:r>
            <w:proofErr w:type="spellStart"/>
            <w:r w:rsidR="00126998">
              <w:t>GasNEV</w:t>
            </w:r>
            <w:proofErr w:type="spellEnd"/>
            <w:r w:rsidR="00126998">
              <w:t xml:space="preserve"> vom 24.0</w:t>
            </w:r>
            <w:r>
              <w:t>3</w:t>
            </w:r>
            <w:r w:rsidR="00126998">
              <w:t>.</w:t>
            </w:r>
            <w:r>
              <w:t>2014</w:t>
            </w:r>
            <w:r w:rsidR="00126998">
              <w:t xml:space="preserve"> (Az. BK9-14</w:t>
            </w:r>
            <w:r>
              <w:t>-</w:t>
            </w:r>
            <w:r w:rsidR="00126998">
              <w:t>608)</w:t>
            </w:r>
          </w:p>
        </w:tc>
      </w:tr>
      <w:tr w:rsidR="001E16BD" w:rsidRPr="00137F5A" w14:paraId="746EB159" w14:textId="77777777" w:rsidTr="008968C7">
        <w:trPr>
          <w:trHeight w:val="113"/>
        </w:trPr>
        <w:tc>
          <w:tcPr>
            <w:tcW w:w="1765" w:type="dxa"/>
          </w:tcPr>
          <w:p w14:paraId="4D7B7647" w14:textId="77777777" w:rsidR="001E16BD" w:rsidRPr="000347CD" w:rsidRDefault="001E16BD" w:rsidP="003C2438">
            <w:r>
              <w:t>BBW</w:t>
            </w:r>
          </w:p>
        </w:tc>
        <w:tc>
          <w:tcPr>
            <w:tcW w:w="7305" w:type="dxa"/>
          </w:tcPr>
          <w:p w14:paraId="147555F1" w14:textId="77777777" w:rsidR="001E16BD" w:rsidRPr="000347CD" w:rsidRDefault="001E16BD" w:rsidP="003C2438">
            <w:r>
              <w:t>Bilanzierungsbrennwert</w:t>
            </w:r>
          </w:p>
        </w:tc>
      </w:tr>
      <w:tr w:rsidR="00DF612D" w:rsidRPr="00137F5A" w14:paraId="09853BC9" w14:textId="77777777" w:rsidTr="008968C7">
        <w:trPr>
          <w:trHeight w:val="113"/>
        </w:trPr>
        <w:tc>
          <w:tcPr>
            <w:tcW w:w="1765" w:type="dxa"/>
          </w:tcPr>
          <w:p w14:paraId="5596A961" w14:textId="77777777" w:rsidR="00DF612D" w:rsidRPr="000347CD" w:rsidRDefault="00DF612D" w:rsidP="003C2438">
            <w:r w:rsidRPr="000347CD">
              <w:t>BDEW</w:t>
            </w:r>
          </w:p>
        </w:tc>
        <w:tc>
          <w:tcPr>
            <w:tcW w:w="7305" w:type="dxa"/>
          </w:tcPr>
          <w:p w14:paraId="0FECC66F" w14:textId="77777777" w:rsidR="00DF612D" w:rsidRPr="000347CD" w:rsidRDefault="00DF612D" w:rsidP="003C2438">
            <w:r w:rsidRPr="000347CD">
              <w:t>Bundesverband der deutschen Energie- und Wasserwirtschaft</w:t>
            </w:r>
          </w:p>
        </w:tc>
      </w:tr>
      <w:tr w:rsidR="00DF612D" w:rsidRPr="00137F5A" w14:paraId="3FD130E9" w14:textId="77777777" w:rsidTr="008968C7">
        <w:trPr>
          <w:trHeight w:val="113"/>
        </w:trPr>
        <w:tc>
          <w:tcPr>
            <w:tcW w:w="1765" w:type="dxa"/>
          </w:tcPr>
          <w:p w14:paraId="57534EFB" w14:textId="77777777" w:rsidR="00DF612D" w:rsidRPr="000347CD" w:rsidRDefault="00DF612D" w:rsidP="003C2438">
            <w:r w:rsidRPr="000347CD">
              <w:t>BNetzA</w:t>
            </w:r>
          </w:p>
        </w:tc>
        <w:tc>
          <w:tcPr>
            <w:tcW w:w="7305" w:type="dxa"/>
          </w:tcPr>
          <w:p w14:paraId="3209DF88" w14:textId="77777777" w:rsidR="00DF612D" w:rsidRPr="000347CD" w:rsidRDefault="00DF612D" w:rsidP="003C2438">
            <w:r w:rsidRPr="000347CD">
              <w:t>Bundesnetzagentur für Elektrizität, Gas, Telekommunikation, Post und Eisenbahnen</w:t>
            </w:r>
          </w:p>
        </w:tc>
      </w:tr>
      <w:tr w:rsidR="00DF612D" w:rsidRPr="00137F5A" w14:paraId="04C1E6BE" w14:textId="77777777" w:rsidTr="008968C7">
        <w:trPr>
          <w:trHeight w:val="113"/>
        </w:trPr>
        <w:tc>
          <w:tcPr>
            <w:tcW w:w="1765" w:type="dxa"/>
          </w:tcPr>
          <w:p w14:paraId="574E1F94" w14:textId="77777777" w:rsidR="00DF612D" w:rsidRPr="000347CD" w:rsidRDefault="00DF612D" w:rsidP="003C2438">
            <w:r w:rsidRPr="000347CD">
              <w:t>BK</w:t>
            </w:r>
          </w:p>
        </w:tc>
        <w:tc>
          <w:tcPr>
            <w:tcW w:w="7305" w:type="dxa"/>
          </w:tcPr>
          <w:p w14:paraId="6B1E4ECC" w14:textId="77777777" w:rsidR="00DF612D" w:rsidRPr="000347CD" w:rsidRDefault="00DF612D" w:rsidP="003C2438">
            <w:r w:rsidRPr="000347CD">
              <w:t>Bilanzkreis</w:t>
            </w:r>
          </w:p>
        </w:tc>
      </w:tr>
      <w:tr w:rsidR="00DF612D" w:rsidRPr="00137F5A" w14:paraId="3CAF84B0" w14:textId="77777777" w:rsidTr="008968C7">
        <w:trPr>
          <w:trHeight w:val="113"/>
        </w:trPr>
        <w:tc>
          <w:tcPr>
            <w:tcW w:w="1765" w:type="dxa"/>
          </w:tcPr>
          <w:p w14:paraId="1DBDB99A" w14:textId="77777777" w:rsidR="00DF612D" w:rsidRPr="000347CD" w:rsidRDefault="00DF612D" w:rsidP="003C2438">
            <w:r w:rsidRPr="000347CD">
              <w:t>BKV</w:t>
            </w:r>
          </w:p>
        </w:tc>
        <w:tc>
          <w:tcPr>
            <w:tcW w:w="7305" w:type="dxa"/>
          </w:tcPr>
          <w:p w14:paraId="128613BA" w14:textId="77777777" w:rsidR="00DF612D" w:rsidRPr="000347CD" w:rsidRDefault="00DF612D" w:rsidP="003C2438">
            <w:r w:rsidRPr="000347CD">
              <w:t>Bilanzkreisverantwortlicher</w:t>
            </w:r>
          </w:p>
        </w:tc>
      </w:tr>
      <w:tr w:rsidR="003430DE" w:rsidRPr="00137F5A" w14:paraId="192C7AA1" w14:textId="77777777" w:rsidTr="008968C7">
        <w:trPr>
          <w:trHeight w:val="113"/>
        </w:trPr>
        <w:tc>
          <w:tcPr>
            <w:tcW w:w="1765" w:type="dxa"/>
          </w:tcPr>
          <w:p w14:paraId="34821DAB" w14:textId="77777777" w:rsidR="003430DE" w:rsidRPr="000347CD" w:rsidRDefault="003430DE" w:rsidP="003C2438">
            <w:r>
              <w:t>BP</w:t>
            </w:r>
          </w:p>
        </w:tc>
        <w:tc>
          <w:tcPr>
            <w:tcW w:w="7305" w:type="dxa"/>
          </w:tcPr>
          <w:p w14:paraId="7EB8F8C4" w14:textId="77777777" w:rsidR="003430DE" w:rsidRPr="000347CD" w:rsidRDefault="003430DE" w:rsidP="003C2438">
            <w:r>
              <w:t>Biogas-Bilanzierungsperiode</w:t>
            </w:r>
          </w:p>
        </w:tc>
      </w:tr>
      <w:tr w:rsidR="00515269" w:rsidRPr="00137F5A" w14:paraId="466B1D22" w14:textId="77777777" w:rsidTr="008968C7">
        <w:trPr>
          <w:trHeight w:val="113"/>
        </w:trPr>
        <w:tc>
          <w:tcPr>
            <w:tcW w:w="1765" w:type="dxa"/>
          </w:tcPr>
          <w:p w14:paraId="5A693D0A" w14:textId="77777777" w:rsidR="00515269" w:rsidRPr="000347CD" w:rsidRDefault="00515269" w:rsidP="003C2438">
            <w:r>
              <w:t>BW</w:t>
            </w:r>
          </w:p>
        </w:tc>
        <w:tc>
          <w:tcPr>
            <w:tcW w:w="7305" w:type="dxa"/>
          </w:tcPr>
          <w:p w14:paraId="12579E93" w14:textId="77777777" w:rsidR="00515269" w:rsidRPr="000347CD" w:rsidRDefault="00515269" w:rsidP="003C2438">
            <w:r>
              <w:t>Brennwert</w:t>
            </w:r>
          </w:p>
        </w:tc>
      </w:tr>
      <w:tr w:rsidR="00DF612D" w:rsidRPr="00137F5A" w14:paraId="687FFDDB" w14:textId="77777777" w:rsidTr="008968C7">
        <w:trPr>
          <w:trHeight w:val="113"/>
        </w:trPr>
        <w:tc>
          <w:tcPr>
            <w:tcW w:w="1765" w:type="dxa"/>
          </w:tcPr>
          <w:p w14:paraId="16496FE1" w14:textId="77777777" w:rsidR="00DF612D" w:rsidRPr="000347CD" w:rsidRDefault="00DF612D" w:rsidP="003C2438">
            <w:r w:rsidRPr="000347CD">
              <w:t>D</w:t>
            </w:r>
          </w:p>
        </w:tc>
        <w:tc>
          <w:tcPr>
            <w:tcW w:w="7305" w:type="dxa"/>
          </w:tcPr>
          <w:p w14:paraId="1A55CC01" w14:textId="77777777" w:rsidR="00DF612D" w:rsidRPr="000347CD" w:rsidRDefault="00DF612D" w:rsidP="003C2438">
            <w:r w:rsidRPr="000347CD">
              <w:t xml:space="preserve">Tag/Betrachtungstag (= Liefertag) im Format </w:t>
            </w:r>
            <w:proofErr w:type="spellStart"/>
            <w:r w:rsidRPr="000347CD">
              <w:t>Gastag</w:t>
            </w:r>
            <w:proofErr w:type="spellEnd"/>
          </w:p>
        </w:tc>
      </w:tr>
      <w:tr w:rsidR="00DF612D" w:rsidRPr="00137F5A" w14:paraId="6DD7867E" w14:textId="77777777" w:rsidTr="008968C7">
        <w:trPr>
          <w:trHeight w:val="113"/>
        </w:trPr>
        <w:tc>
          <w:tcPr>
            <w:tcW w:w="1765" w:type="dxa"/>
          </w:tcPr>
          <w:p w14:paraId="113A9CF1" w14:textId="77777777" w:rsidR="00DF612D" w:rsidRPr="000347CD" w:rsidRDefault="00DF612D" w:rsidP="003C2438">
            <w:r w:rsidRPr="000347CD">
              <w:t>D+1</w:t>
            </w:r>
          </w:p>
        </w:tc>
        <w:tc>
          <w:tcPr>
            <w:tcW w:w="7305" w:type="dxa"/>
          </w:tcPr>
          <w:p w14:paraId="10A38FFD" w14:textId="77777777" w:rsidR="00DF612D" w:rsidRPr="000347CD" w:rsidRDefault="00DF612D" w:rsidP="003C2438">
            <w:r w:rsidRPr="000347CD">
              <w:t>Folgetag auf den Liefertag</w:t>
            </w:r>
          </w:p>
        </w:tc>
      </w:tr>
      <w:tr w:rsidR="00DF612D" w:rsidRPr="00137F5A" w14:paraId="5675CA83" w14:textId="77777777" w:rsidTr="008968C7">
        <w:trPr>
          <w:trHeight w:val="113"/>
        </w:trPr>
        <w:tc>
          <w:tcPr>
            <w:tcW w:w="1765" w:type="dxa"/>
          </w:tcPr>
          <w:p w14:paraId="004F88B6" w14:textId="77777777" w:rsidR="00DF612D" w:rsidRPr="000347CD" w:rsidRDefault="00DF612D" w:rsidP="003C2438">
            <w:r w:rsidRPr="000347CD">
              <w:t>D+2</w:t>
            </w:r>
          </w:p>
        </w:tc>
        <w:tc>
          <w:tcPr>
            <w:tcW w:w="7305" w:type="dxa"/>
          </w:tcPr>
          <w:p w14:paraId="063C6831" w14:textId="77777777" w:rsidR="00DF612D" w:rsidRPr="000347CD" w:rsidRDefault="00DF612D" w:rsidP="003C2438">
            <w:r w:rsidRPr="000347CD">
              <w:t>Folge-Folgetag auf den Liefertag</w:t>
            </w:r>
          </w:p>
        </w:tc>
      </w:tr>
      <w:tr w:rsidR="00DF612D" w:rsidRPr="00137F5A" w14:paraId="2951A570" w14:textId="77777777" w:rsidTr="008968C7">
        <w:trPr>
          <w:trHeight w:val="113"/>
        </w:trPr>
        <w:tc>
          <w:tcPr>
            <w:tcW w:w="1765" w:type="dxa"/>
          </w:tcPr>
          <w:p w14:paraId="7FE6D9F7" w14:textId="77777777" w:rsidR="00DF612D" w:rsidRPr="000347CD" w:rsidRDefault="00DF612D" w:rsidP="003C2438">
            <w:r w:rsidRPr="000347CD">
              <w:t>D-1</w:t>
            </w:r>
          </w:p>
        </w:tc>
        <w:tc>
          <w:tcPr>
            <w:tcW w:w="7305" w:type="dxa"/>
          </w:tcPr>
          <w:p w14:paraId="5644D2A3" w14:textId="77777777" w:rsidR="00DF612D" w:rsidRPr="000347CD" w:rsidRDefault="00DF612D" w:rsidP="003C2438">
            <w:r w:rsidRPr="000347CD">
              <w:t>Vortag des Liefertages</w:t>
            </w:r>
          </w:p>
        </w:tc>
      </w:tr>
      <w:tr w:rsidR="00DF612D" w:rsidRPr="00137F5A" w14:paraId="15B73807" w14:textId="77777777" w:rsidTr="008968C7">
        <w:trPr>
          <w:trHeight w:val="113"/>
        </w:trPr>
        <w:tc>
          <w:tcPr>
            <w:tcW w:w="1765" w:type="dxa"/>
          </w:tcPr>
          <w:p w14:paraId="3C447495" w14:textId="77777777" w:rsidR="00DF612D" w:rsidRPr="000347CD" w:rsidRDefault="00DF612D" w:rsidP="003C2438">
            <w:r w:rsidRPr="000347CD">
              <w:t>D-2</w:t>
            </w:r>
          </w:p>
        </w:tc>
        <w:tc>
          <w:tcPr>
            <w:tcW w:w="7305" w:type="dxa"/>
          </w:tcPr>
          <w:p w14:paraId="29394921" w14:textId="77777777" w:rsidR="00DF612D" w:rsidRPr="000347CD" w:rsidRDefault="00DF612D" w:rsidP="003C2438">
            <w:r w:rsidRPr="000347CD">
              <w:t>Vor-Vortag des Liefertages</w:t>
            </w:r>
          </w:p>
        </w:tc>
      </w:tr>
      <w:tr w:rsidR="00DF612D" w:rsidRPr="00137F5A" w14:paraId="44F7BCA0" w14:textId="77777777" w:rsidTr="008968C7">
        <w:trPr>
          <w:trHeight w:val="113"/>
        </w:trPr>
        <w:tc>
          <w:tcPr>
            <w:tcW w:w="1765" w:type="dxa"/>
          </w:tcPr>
          <w:p w14:paraId="30ED317F" w14:textId="77777777" w:rsidR="00DF612D" w:rsidRPr="000347CD" w:rsidRDefault="00DF612D" w:rsidP="003C2438">
            <w:r w:rsidRPr="000347CD">
              <w:t>D-3</w:t>
            </w:r>
          </w:p>
        </w:tc>
        <w:tc>
          <w:tcPr>
            <w:tcW w:w="7305" w:type="dxa"/>
          </w:tcPr>
          <w:p w14:paraId="16909D85" w14:textId="77777777" w:rsidR="00DF612D" w:rsidRPr="000347CD" w:rsidRDefault="00DF612D" w:rsidP="003C2438">
            <w:r w:rsidRPr="000347CD">
              <w:t>Vor-Vor-Vortag des Liefertages</w:t>
            </w:r>
          </w:p>
        </w:tc>
      </w:tr>
      <w:tr w:rsidR="00DF612D" w:rsidRPr="00137F5A" w14:paraId="06B5B9E7" w14:textId="77777777" w:rsidTr="008968C7">
        <w:trPr>
          <w:trHeight w:val="113"/>
        </w:trPr>
        <w:tc>
          <w:tcPr>
            <w:tcW w:w="1765" w:type="dxa"/>
          </w:tcPr>
          <w:p w14:paraId="6F0C20A3" w14:textId="77777777" w:rsidR="00DF612D" w:rsidRPr="000347CD" w:rsidRDefault="00DF612D" w:rsidP="003C2438">
            <w:r w:rsidRPr="000347CD">
              <w:t>DVGW</w:t>
            </w:r>
          </w:p>
        </w:tc>
        <w:tc>
          <w:tcPr>
            <w:tcW w:w="7305" w:type="dxa"/>
          </w:tcPr>
          <w:p w14:paraId="3F4CF73D" w14:textId="77777777" w:rsidR="00DF612D" w:rsidRPr="005223C5" w:rsidRDefault="000F1EC8" w:rsidP="003C2438">
            <w:r w:rsidRPr="005223C5">
              <w:t>Deutscher Verein des Gas- und Wasserfaches e. V.</w:t>
            </w:r>
          </w:p>
        </w:tc>
      </w:tr>
      <w:tr w:rsidR="00DF612D" w:rsidRPr="00137F5A" w14:paraId="12D59B09" w14:textId="77777777" w:rsidTr="008968C7">
        <w:trPr>
          <w:trHeight w:val="113"/>
        </w:trPr>
        <w:tc>
          <w:tcPr>
            <w:tcW w:w="1765" w:type="dxa"/>
          </w:tcPr>
          <w:p w14:paraId="04A98520" w14:textId="77777777" w:rsidR="00DF612D" w:rsidRPr="000347CD" w:rsidRDefault="00DF612D" w:rsidP="003C2438">
            <w:r w:rsidRPr="000347CD">
              <w:t>EDM</w:t>
            </w:r>
          </w:p>
        </w:tc>
        <w:tc>
          <w:tcPr>
            <w:tcW w:w="7305" w:type="dxa"/>
          </w:tcPr>
          <w:p w14:paraId="7664C48F" w14:textId="77777777" w:rsidR="00DF612D" w:rsidRPr="000347CD" w:rsidRDefault="00DF612D" w:rsidP="003C2438">
            <w:r w:rsidRPr="000347CD">
              <w:t>Energiedatenmanagement</w:t>
            </w:r>
          </w:p>
        </w:tc>
      </w:tr>
      <w:tr w:rsidR="00DF612D" w:rsidRPr="00137F5A" w14:paraId="5BDB1B19" w14:textId="77777777" w:rsidTr="008968C7">
        <w:trPr>
          <w:trHeight w:val="113"/>
        </w:trPr>
        <w:tc>
          <w:tcPr>
            <w:tcW w:w="1765" w:type="dxa"/>
          </w:tcPr>
          <w:p w14:paraId="27A97021" w14:textId="77777777" w:rsidR="00DF612D" w:rsidRPr="000347CD" w:rsidRDefault="00DF612D" w:rsidP="003C2438">
            <w:r w:rsidRPr="000347CD">
              <w:t>ENB</w:t>
            </w:r>
          </w:p>
        </w:tc>
        <w:tc>
          <w:tcPr>
            <w:tcW w:w="7305" w:type="dxa"/>
          </w:tcPr>
          <w:p w14:paraId="2A3F5CE2" w14:textId="77777777" w:rsidR="00DF612D" w:rsidRPr="000347CD" w:rsidRDefault="00DF612D" w:rsidP="003C2438">
            <w:r w:rsidRPr="000347CD">
              <w:t>Einspeisenetzbetreiber</w:t>
            </w:r>
          </w:p>
        </w:tc>
      </w:tr>
      <w:tr w:rsidR="00DF612D" w:rsidRPr="00137F5A" w14:paraId="3BFF3F75" w14:textId="77777777" w:rsidTr="008968C7">
        <w:trPr>
          <w:trHeight w:val="113"/>
        </w:trPr>
        <w:tc>
          <w:tcPr>
            <w:tcW w:w="1765" w:type="dxa"/>
          </w:tcPr>
          <w:p w14:paraId="7FAB757B" w14:textId="77777777" w:rsidR="00DF612D" w:rsidRPr="000347CD" w:rsidRDefault="00DF612D" w:rsidP="003C2438">
            <w:r w:rsidRPr="000347CD">
              <w:t>FNB</w:t>
            </w:r>
          </w:p>
        </w:tc>
        <w:tc>
          <w:tcPr>
            <w:tcW w:w="7305" w:type="dxa"/>
          </w:tcPr>
          <w:p w14:paraId="6FC6E2FF" w14:textId="77777777" w:rsidR="00DF612D" w:rsidRPr="000347CD" w:rsidRDefault="00DF612D" w:rsidP="003C2438">
            <w:r w:rsidRPr="000347CD">
              <w:t>Fernleitungsnetzbetreiber</w:t>
            </w:r>
          </w:p>
        </w:tc>
      </w:tr>
      <w:tr w:rsidR="00DF612D" w:rsidRPr="00137F5A" w14:paraId="1FA482A7" w14:textId="77777777" w:rsidTr="008968C7">
        <w:trPr>
          <w:trHeight w:val="113"/>
        </w:trPr>
        <w:tc>
          <w:tcPr>
            <w:tcW w:w="1765" w:type="dxa"/>
          </w:tcPr>
          <w:p w14:paraId="4A3237DB" w14:textId="77777777" w:rsidR="00DF612D" w:rsidRPr="000347CD" w:rsidRDefault="00E2449C" w:rsidP="003C2438">
            <w:proofErr w:type="spellStart"/>
            <w:r>
              <w:t>GaBi</w:t>
            </w:r>
            <w:proofErr w:type="spellEnd"/>
            <w:r>
              <w:t xml:space="preserve"> Gas</w:t>
            </w:r>
            <w:r w:rsidR="003430DE">
              <w:t xml:space="preserve"> </w:t>
            </w:r>
          </w:p>
        </w:tc>
        <w:tc>
          <w:tcPr>
            <w:tcW w:w="7305" w:type="dxa"/>
          </w:tcPr>
          <w:p w14:paraId="0395A9EC" w14:textId="77777777" w:rsidR="00DF612D" w:rsidRPr="000347CD" w:rsidRDefault="00A22E0A" w:rsidP="003C2438">
            <w:r w:rsidRPr="00225340">
              <w:t xml:space="preserve">Festlegung der Bundesnetzagentur in Sachen </w:t>
            </w:r>
            <w:r w:rsidRPr="0058238B">
              <w:t xml:space="preserve">Bilanzierung </w:t>
            </w:r>
            <w:r w:rsidRPr="00225340">
              <w:t>Gas (Az. BK7-</w:t>
            </w:r>
            <w:r w:rsidRPr="0058238B">
              <w:t>14</w:t>
            </w:r>
            <w:r w:rsidRPr="00225340">
              <w:t>-0</w:t>
            </w:r>
            <w:r w:rsidRPr="0058238B">
              <w:t>20</w:t>
            </w:r>
            <w:r w:rsidRPr="00225340">
              <w:t xml:space="preserve">) vom </w:t>
            </w:r>
            <w:r w:rsidRPr="0058238B">
              <w:t>19</w:t>
            </w:r>
            <w:r w:rsidRPr="00225340">
              <w:t xml:space="preserve">. </w:t>
            </w:r>
            <w:r w:rsidRPr="0058238B">
              <w:t>Dezember</w:t>
            </w:r>
            <w:r w:rsidRPr="00225340">
              <w:t xml:space="preserve"> </w:t>
            </w:r>
            <w:r w:rsidR="008E0900" w:rsidRPr="0058238B">
              <w:t>2014</w:t>
            </w:r>
            <w:r w:rsidR="008E0900">
              <w:t xml:space="preserve"> (</w:t>
            </w:r>
            <w:proofErr w:type="spellStart"/>
            <w:r w:rsidR="008E0900">
              <w:t>GaBi</w:t>
            </w:r>
            <w:proofErr w:type="spellEnd"/>
            <w:r w:rsidR="008E0900">
              <w:t xml:space="preserve"> Gas 2.0)</w:t>
            </w:r>
            <w:r w:rsidRPr="00225340">
              <w:t>.</w:t>
            </w:r>
          </w:p>
        </w:tc>
      </w:tr>
      <w:tr w:rsidR="00DF612D" w:rsidRPr="00137F5A" w14:paraId="0ABBBC51" w14:textId="77777777" w:rsidTr="008968C7">
        <w:trPr>
          <w:trHeight w:val="113"/>
        </w:trPr>
        <w:tc>
          <w:tcPr>
            <w:tcW w:w="1765" w:type="dxa"/>
          </w:tcPr>
          <w:p w14:paraId="0534F1D3" w14:textId="77777777" w:rsidR="00DF612D" w:rsidRPr="000347CD" w:rsidRDefault="00DF612D" w:rsidP="003C2438">
            <w:proofErr w:type="spellStart"/>
            <w:r w:rsidRPr="000347CD">
              <w:t>GasNZV</w:t>
            </w:r>
            <w:proofErr w:type="spellEnd"/>
          </w:p>
        </w:tc>
        <w:tc>
          <w:tcPr>
            <w:tcW w:w="7305" w:type="dxa"/>
          </w:tcPr>
          <w:p w14:paraId="5B2DE51F" w14:textId="77777777" w:rsidR="00DF612D" w:rsidRPr="000347CD" w:rsidRDefault="00DF612D" w:rsidP="003C2438">
            <w:r w:rsidRPr="000347CD">
              <w:t>Gasnetzzugangsverordnung</w:t>
            </w:r>
          </w:p>
        </w:tc>
      </w:tr>
      <w:tr w:rsidR="00021DF3" w:rsidRPr="00137F5A" w14:paraId="24710D29" w14:textId="77777777" w:rsidTr="008968C7">
        <w:trPr>
          <w:trHeight w:val="113"/>
        </w:trPr>
        <w:tc>
          <w:tcPr>
            <w:tcW w:w="1765" w:type="dxa"/>
          </w:tcPr>
          <w:p w14:paraId="5F343209" w14:textId="77777777" w:rsidR="00021DF3" w:rsidRPr="000347CD" w:rsidRDefault="00021DF3" w:rsidP="003C2438">
            <w:proofErr w:type="spellStart"/>
            <w:r>
              <w:t>GeLi</w:t>
            </w:r>
            <w:proofErr w:type="spellEnd"/>
            <w:r>
              <w:t xml:space="preserve"> Gas</w:t>
            </w:r>
          </w:p>
        </w:tc>
        <w:tc>
          <w:tcPr>
            <w:tcW w:w="7305" w:type="dxa"/>
          </w:tcPr>
          <w:p w14:paraId="70706F77" w14:textId="77777777" w:rsidR="00021DF3" w:rsidRPr="000347CD" w:rsidRDefault="00021DF3" w:rsidP="005C28F6">
            <w:r>
              <w:t xml:space="preserve">Festlegung der Bundesnetzagentur zu </w:t>
            </w:r>
            <w:r w:rsidRPr="00021DF3">
              <w:t>einheitliche</w:t>
            </w:r>
            <w:r>
              <w:t>n</w:t>
            </w:r>
            <w:r w:rsidRPr="00021DF3">
              <w:t xml:space="preserve"> Geschäftsprozesse</w:t>
            </w:r>
            <w:r w:rsidR="009B260A">
              <w:t>n</w:t>
            </w:r>
            <w:r w:rsidRPr="00021DF3">
              <w:t xml:space="preserve"> und Datenformate</w:t>
            </w:r>
            <w:r w:rsidR="00575565">
              <w:t>n</w:t>
            </w:r>
            <w:r w:rsidRPr="00021DF3">
              <w:t xml:space="preserve"> beim Wechsel des Lieferanten bei der Belieferung mit Gas </w:t>
            </w:r>
            <w:r>
              <w:t>(Az. BK7-</w:t>
            </w:r>
            <w:r w:rsidR="005C28F6">
              <w:t>16-142</w:t>
            </w:r>
            <w:r>
              <w:t>)</w:t>
            </w:r>
          </w:p>
        </w:tc>
      </w:tr>
      <w:tr w:rsidR="00DF612D" w:rsidRPr="00137F5A" w14:paraId="393B1DDA" w14:textId="77777777" w:rsidTr="5F159DC6">
        <w:trPr>
          <w:trHeight w:val="113"/>
        </w:trPr>
        <w:tc>
          <w:tcPr>
            <w:tcW w:w="1765" w:type="dxa"/>
            <w:shd w:val="clear" w:color="auto" w:fill="FFFFFF" w:themeFill="background1"/>
          </w:tcPr>
          <w:p w14:paraId="2012AB26" w14:textId="77777777" w:rsidR="00DF612D" w:rsidRPr="000347CD" w:rsidRDefault="00DF612D" w:rsidP="003C2438">
            <w:r w:rsidRPr="000347CD">
              <w:lastRenderedPageBreak/>
              <w:t>GEODE</w:t>
            </w:r>
          </w:p>
        </w:tc>
        <w:tc>
          <w:tcPr>
            <w:tcW w:w="7305" w:type="dxa"/>
            <w:shd w:val="clear" w:color="auto" w:fill="FFFFFF" w:themeFill="background1"/>
          </w:tcPr>
          <w:p w14:paraId="073C8EB3" w14:textId="77777777" w:rsidR="00DF612D" w:rsidRPr="000347CD" w:rsidRDefault="00DF612D" w:rsidP="003C2438">
            <w:r w:rsidRPr="000347CD">
              <w:t>Europäischer Verband der unabhängigen Strom- und Gasverteilerunternehmen</w:t>
            </w:r>
          </w:p>
        </w:tc>
      </w:tr>
      <w:tr w:rsidR="00DF612D" w:rsidRPr="00137F5A" w14:paraId="684A35C4" w14:textId="77777777" w:rsidTr="5F159DC6">
        <w:trPr>
          <w:trHeight w:val="113"/>
        </w:trPr>
        <w:tc>
          <w:tcPr>
            <w:tcW w:w="1765" w:type="dxa"/>
            <w:shd w:val="clear" w:color="auto" w:fill="FFFFFF" w:themeFill="background1"/>
          </w:tcPr>
          <w:p w14:paraId="5C4CAF4D" w14:textId="77777777" w:rsidR="00DF612D" w:rsidRDefault="00DF612D" w:rsidP="003C2438">
            <w:r w:rsidRPr="000347CD">
              <w:t>GÜP</w:t>
            </w:r>
          </w:p>
          <w:p w14:paraId="2BF51035" w14:textId="398C8AF1" w:rsidR="00E025B6" w:rsidRPr="000347CD" w:rsidRDefault="00E025B6" w:rsidP="003C2438">
            <w:r>
              <w:t>LF</w:t>
            </w:r>
          </w:p>
        </w:tc>
        <w:tc>
          <w:tcPr>
            <w:tcW w:w="7305" w:type="dxa"/>
            <w:shd w:val="clear" w:color="auto" w:fill="FFFFFF" w:themeFill="background1"/>
          </w:tcPr>
          <w:p w14:paraId="4DDD084D" w14:textId="77777777" w:rsidR="00DF612D" w:rsidRDefault="00DF612D" w:rsidP="003C2438">
            <w:r w:rsidRPr="000347CD">
              <w:t>Grenzübergangspunkt</w:t>
            </w:r>
          </w:p>
          <w:p w14:paraId="737B9D30" w14:textId="4A4AC4EC" w:rsidR="00E025B6" w:rsidRPr="000347CD" w:rsidRDefault="00E025B6" w:rsidP="003C2438">
            <w:r>
              <w:t>Lieferant</w:t>
            </w:r>
          </w:p>
        </w:tc>
      </w:tr>
      <w:tr w:rsidR="00DF612D" w:rsidRPr="00137F5A" w14:paraId="68C8F768" w14:textId="77777777" w:rsidTr="5F159DC6">
        <w:trPr>
          <w:trHeight w:val="113"/>
        </w:trPr>
        <w:tc>
          <w:tcPr>
            <w:tcW w:w="1765" w:type="dxa"/>
            <w:shd w:val="clear" w:color="auto" w:fill="FFFFFF" w:themeFill="background1"/>
          </w:tcPr>
          <w:p w14:paraId="6A6BC2A0" w14:textId="77777777" w:rsidR="00DF612D" w:rsidRDefault="00DF612D" w:rsidP="003C2438">
            <w:r w:rsidRPr="000347CD">
              <w:t>LV</w:t>
            </w:r>
          </w:p>
          <w:p w14:paraId="01FD9FCF" w14:textId="4F348F4A" w:rsidR="00E025B6" w:rsidRPr="000347CD" w:rsidRDefault="00E025B6" w:rsidP="003C2438">
            <w:r>
              <w:t>KN</w:t>
            </w:r>
          </w:p>
        </w:tc>
        <w:tc>
          <w:tcPr>
            <w:tcW w:w="7305" w:type="dxa"/>
            <w:shd w:val="clear" w:color="auto" w:fill="FFFFFF" w:themeFill="background1"/>
          </w:tcPr>
          <w:p w14:paraId="32939C60" w14:textId="77777777" w:rsidR="00DF612D" w:rsidRDefault="00DF612D" w:rsidP="003C2438">
            <w:r w:rsidRPr="000347CD">
              <w:t>Letztverbraucher</w:t>
            </w:r>
          </w:p>
          <w:p w14:paraId="79E8887C" w14:textId="69C62227" w:rsidR="00E025B6" w:rsidRPr="000347CD" w:rsidRDefault="00E025B6" w:rsidP="003C2438">
            <w:r>
              <w:t>Kapazitätsnutzer</w:t>
            </w:r>
          </w:p>
        </w:tc>
      </w:tr>
      <w:tr w:rsidR="00DF612D" w:rsidRPr="00137F5A" w14:paraId="60E4BA78" w14:textId="77777777" w:rsidTr="5F159DC6">
        <w:trPr>
          <w:trHeight w:val="113"/>
        </w:trPr>
        <w:tc>
          <w:tcPr>
            <w:tcW w:w="1765" w:type="dxa"/>
            <w:shd w:val="clear" w:color="auto" w:fill="FFFFFF" w:themeFill="background1"/>
          </w:tcPr>
          <w:p w14:paraId="00C83304" w14:textId="77777777" w:rsidR="00DF612D" w:rsidRPr="000347CD" w:rsidRDefault="00DF612D" w:rsidP="003C2438">
            <w:proofErr w:type="spellStart"/>
            <w:r w:rsidRPr="000347CD">
              <w:t>KoV</w:t>
            </w:r>
            <w:proofErr w:type="spellEnd"/>
          </w:p>
        </w:tc>
        <w:tc>
          <w:tcPr>
            <w:tcW w:w="7305" w:type="dxa"/>
            <w:shd w:val="clear" w:color="auto" w:fill="FFFFFF" w:themeFill="background1"/>
          </w:tcPr>
          <w:p w14:paraId="1B59D8F4" w14:textId="6635B4F6" w:rsidR="00DF612D" w:rsidRPr="000347CD" w:rsidRDefault="00DF612D" w:rsidP="003C2438">
            <w:r w:rsidRPr="000347CD">
              <w:t xml:space="preserve">Vereinbarung über die Kooperation gemäß </w:t>
            </w:r>
            <w:r w:rsidRPr="000347CD" w:rsidDel="00815124">
              <w:t>§</w:t>
            </w:r>
            <w:r w:rsidR="00815124">
              <w:t> </w:t>
            </w:r>
            <w:r w:rsidRPr="000347CD">
              <w:t>20 Abs. 1 b) EnWG zwischen den Betreibern von in Deutschland gelegenen Gasversorgungsnetzen</w:t>
            </w:r>
          </w:p>
        </w:tc>
      </w:tr>
      <w:tr w:rsidR="00DF612D" w:rsidRPr="00137F5A" w14:paraId="38FE8202" w14:textId="77777777" w:rsidTr="5F159DC6">
        <w:trPr>
          <w:trHeight w:val="113"/>
        </w:trPr>
        <w:tc>
          <w:tcPr>
            <w:tcW w:w="1765" w:type="dxa"/>
            <w:shd w:val="clear" w:color="auto" w:fill="FFFFFF" w:themeFill="background1"/>
          </w:tcPr>
          <w:p w14:paraId="41D26AEB" w14:textId="77777777" w:rsidR="00DF612D" w:rsidRPr="000347CD" w:rsidRDefault="00DF612D" w:rsidP="003C2438">
            <w:r w:rsidRPr="000347CD">
              <w:t>KT</w:t>
            </w:r>
          </w:p>
        </w:tc>
        <w:tc>
          <w:tcPr>
            <w:tcW w:w="7305" w:type="dxa"/>
            <w:shd w:val="clear" w:color="auto" w:fill="FFFFFF" w:themeFill="background1"/>
          </w:tcPr>
          <w:p w14:paraId="405C88F2" w14:textId="3E348F3B" w:rsidR="00DF612D" w:rsidRPr="000347CD" w:rsidRDefault="00DF612D" w:rsidP="003C2438">
            <w:r w:rsidRPr="000347CD">
              <w:t>Kalendertag</w:t>
            </w:r>
          </w:p>
        </w:tc>
      </w:tr>
      <w:tr w:rsidR="00DF612D" w:rsidRPr="00137F5A" w14:paraId="70CFF63B" w14:textId="77777777" w:rsidTr="5F159DC6">
        <w:trPr>
          <w:trHeight w:val="113"/>
        </w:trPr>
        <w:tc>
          <w:tcPr>
            <w:tcW w:w="1765" w:type="dxa"/>
            <w:shd w:val="clear" w:color="auto" w:fill="FFFFFF" w:themeFill="background1"/>
          </w:tcPr>
          <w:p w14:paraId="16CE5541" w14:textId="77777777" w:rsidR="00DF612D" w:rsidRPr="000347CD" w:rsidRDefault="00DF612D" w:rsidP="003C2438">
            <w:r w:rsidRPr="000347CD">
              <w:t>M</w:t>
            </w:r>
          </w:p>
        </w:tc>
        <w:tc>
          <w:tcPr>
            <w:tcW w:w="7305" w:type="dxa"/>
            <w:shd w:val="clear" w:color="auto" w:fill="FFFFFF" w:themeFill="background1"/>
          </w:tcPr>
          <w:p w14:paraId="04A95FE1" w14:textId="77777777" w:rsidR="00AB3B33" w:rsidRPr="000347CD" w:rsidRDefault="00DF612D" w:rsidP="003C2438">
            <w:r w:rsidRPr="000347CD">
              <w:t>Liefermonat</w:t>
            </w:r>
          </w:p>
        </w:tc>
      </w:tr>
      <w:tr w:rsidR="00DF612D" w:rsidRPr="00B9455D" w14:paraId="48954051" w14:textId="77777777" w:rsidTr="5F159DC6">
        <w:trPr>
          <w:trHeight w:val="113"/>
        </w:trPr>
        <w:tc>
          <w:tcPr>
            <w:tcW w:w="1765" w:type="dxa"/>
            <w:shd w:val="clear" w:color="auto" w:fill="FFFFFF" w:themeFill="background1"/>
          </w:tcPr>
          <w:p w14:paraId="752617D0" w14:textId="77777777" w:rsidR="00DF612D" w:rsidRPr="000347CD" w:rsidRDefault="00DF612D" w:rsidP="003C2438">
            <w:r w:rsidRPr="000347CD">
              <w:t>M+2M</w:t>
            </w:r>
          </w:p>
        </w:tc>
        <w:tc>
          <w:tcPr>
            <w:tcW w:w="7305" w:type="dxa"/>
            <w:shd w:val="clear" w:color="auto" w:fill="FFFFFF" w:themeFill="background1"/>
          </w:tcPr>
          <w:p w14:paraId="516C736F" w14:textId="77777777" w:rsidR="00DF612D" w:rsidRPr="000347CD" w:rsidRDefault="00DF612D" w:rsidP="003C2438">
            <w:r w:rsidRPr="000347CD">
              <w:t>2 Kalendermonate nach Ende des Liefermonats</w:t>
            </w:r>
          </w:p>
        </w:tc>
      </w:tr>
      <w:tr w:rsidR="00DF612D" w:rsidRPr="00B9455D" w14:paraId="33DA73B7" w14:textId="77777777" w:rsidTr="5F159DC6">
        <w:trPr>
          <w:trHeight w:val="113"/>
        </w:trPr>
        <w:tc>
          <w:tcPr>
            <w:tcW w:w="1765" w:type="dxa"/>
            <w:shd w:val="clear" w:color="auto" w:fill="FFFFFF" w:themeFill="background1"/>
          </w:tcPr>
          <w:p w14:paraId="20D138D9" w14:textId="77777777" w:rsidR="00DF612D" w:rsidRPr="000347CD" w:rsidRDefault="00DF612D" w:rsidP="003C2438">
            <w:r w:rsidRPr="000347CD">
              <w:t>M+2M-</w:t>
            </w:r>
            <w:r w:rsidR="00211BC6">
              <w:t>x</w:t>
            </w:r>
            <w:r w:rsidR="00211BC6" w:rsidRPr="000347CD">
              <w:t>WT</w:t>
            </w:r>
          </w:p>
        </w:tc>
        <w:tc>
          <w:tcPr>
            <w:tcW w:w="7305" w:type="dxa"/>
            <w:shd w:val="clear" w:color="auto" w:fill="FFFFFF" w:themeFill="background1"/>
          </w:tcPr>
          <w:p w14:paraId="157E9302" w14:textId="11343C65" w:rsidR="00DF612D" w:rsidRPr="000347CD" w:rsidRDefault="00DF612D" w:rsidP="003C2438">
            <w:r w:rsidRPr="000347CD">
              <w:t xml:space="preserve">x-ter Werktag vor Ende des 2.Kalendermonats nach Ende des </w:t>
            </w:r>
            <w:r w:rsidR="003031C1" w:rsidRPr="000347CD">
              <w:br/>
            </w:r>
            <w:r w:rsidRPr="000347CD">
              <w:t>Liefermonats</w:t>
            </w:r>
          </w:p>
        </w:tc>
      </w:tr>
      <w:tr w:rsidR="00DF612D" w:rsidRPr="00B9455D" w14:paraId="20B6317B" w14:textId="77777777" w:rsidTr="5F159DC6">
        <w:trPr>
          <w:trHeight w:val="113"/>
        </w:trPr>
        <w:tc>
          <w:tcPr>
            <w:tcW w:w="1765" w:type="dxa"/>
            <w:shd w:val="clear" w:color="auto" w:fill="FFFFFF" w:themeFill="background1"/>
          </w:tcPr>
          <w:p w14:paraId="5E9611F7" w14:textId="77777777" w:rsidR="00DF612D" w:rsidRPr="000347CD" w:rsidRDefault="00DF612D" w:rsidP="003C2438">
            <w:proofErr w:type="spellStart"/>
            <w:r w:rsidRPr="000347CD">
              <w:t>M+</w:t>
            </w:r>
            <w:r w:rsidR="00211BC6">
              <w:t>x</w:t>
            </w:r>
            <w:r w:rsidR="00211BC6" w:rsidRPr="000347CD">
              <w:t>WT</w:t>
            </w:r>
            <w:proofErr w:type="spellEnd"/>
          </w:p>
        </w:tc>
        <w:tc>
          <w:tcPr>
            <w:tcW w:w="7305" w:type="dxa"/>
            <w:shd w:val="clear" w:color="auto" w:fill="FFFFFF" w:themeFill="background1"/>
          </w:tcPr>
          <w:p w14:paraId="3E3C0C71" w14:textId="77777777" w:rsidR="00DF612D" w:rsidRPr="000347CD" w:rsidRDefault="00DF612D" w:rsidP="003C2438">
            <w:r w:rsidRPr="000347CD">
              <w:t>x-ter Werktag nach Ende des Liefermonats</w:t>
            </w:r>
          </w:p>
        </w:tc>
      </w:tr>
      <w:tr w:rsidR="00DF612D" w:rsidRPr="00B9455D" w14:paraId="088EB61F" w14:textId="77777777" w:rsidTr="5F159DC6">
        <w:trPr>
          <w:trHeight w:val="113"/>
        </w:trPr>
        <w:tc>
          <w:tcPr>
            <w:tcW w:w="1765" w:type="dxa"/>
            <w:shd w:val="clear" w:color="auto" w:fill="FFFFFF" w:themeFill="background1"/>
          </w:tcPr>
          <w:p w14:paraId="0894FAC7" w14:textId="77777777" w:rsidR="00DF612D" w:rsidRPr="000347CD" w:rsidRDefault="00DF612D" w:rsidP="003C2438">
            <w:proofErr w:type="spellStart"/>
            <w:r w:rsidRPr="000347CD">
              <w:t>M+</w:t>
            </w:r>
            <w:r w:rsidR="00211BC6">
              <w:t>x</w:t>
            </w:r>
            <w:r w:rsidR="00211BC6" w:rsidRPr="000347CD">
              <w:t>KT</w:t>
            </w:r>
            <w:proofErr w:type="spellEnd"/>
          </w:p>
        </w:tc>
        <w:tc>
          <w:tcPr>
            <w:tcW w:w="7305" w:type="dxa"/>
            <w:shd w:val="clear" w:color="auto" w:fill="FFFFFF" w:themeFill="background1"/>
          </w:tcPr>
          <w:p w14:paraId="56655585" w14:textId="739E81A1" w:rsidR="00DF612D" w:rsidRPr="000347CD" w:rsidRDefault="00DF612D" w:rsidP="003C2438">
            <w:r w:rsidRPr="000347CD">
              <w:t>x-ter Kalendertag nach Ende des Liefermonats</w:t>
            </w:r>
          </w:p>
        </w:tc>
      </w:tr>
      <w:tr w:rsidR="00DF612D" w:rsidRPr="00137F5A" w14:paraId="7BA7FC75" w14:textId="77777777" w:rsidTr="5F159DC6">
        <w:trPr>
          <w:trHeight w:val="113"/>
        </w:trPr>
        <w:tc>
          <w:tcPr>
            <w:tcW w:w="1765" w:type="dxa"/>
            <w:shd w:val="clear" w:color="auto" w:fill="FFFFFF" w:themeFill="background1"/>
          </w:tcPr>
          <w:p w14:paraId="65ED7ED4" w14:textId="77777777" w:rsidR="00DF612D" w:rsidRPr="000347CD" w:rsidRDefault="00DF612D" w:rsidP="003C2438">
            <w:r w:rsidRPr="000347CD">
              <w:t>MGV</w:t>
            </w:r>
          </w:p>
        </w:tc>
        <w:tc>
          <w:tcPr>
            <w:tcW w:w="7305" w:type="dxa"/>
            <w:shd w:val="clear" w:color="auto" w:fill="FFFFFF" w:themeFill="background1"/>
          </w:tcPr>
          <w:p w14:paraId="6327745D" w14:textId="77777777" w:rsidR="00DF612D" w:rsidRPr="000347CD" w:rsidRDefault="00DF612D" w:rsidP="003C2438">
            <w:r w:rsidRPr="000347CD">
              <w:t>Marktgebietsverantwortlicher</w:t>
            </w:r>
          </w:p>
        </w:tc>
      </w:tr>
      <w:tr w:rsidR="00DF612D" w:rsidRPr="00137F5A" w14:paraId="09294217" w14:textId="77777777" w:rsidTr="5F159DC6">
        <w:trPr>
          <w:trHeight w:val="113"/>
        </w:trPr>
        <w:tc>
          <w:tcPr>
            <w:tcW w:w="1765" w:type="dxa"/>
            <w:shd w:val="clear" w:color="auto" w:fill="FFFFFF" w:themeFill="background1"/>
          </w:tcPr>
          <w:p w14:paraId="55CBA1AC" w14:textId="77777777" w:rsidR="00DF612D" w:rsidRPr="000347CD" w:rsidRDefault="00DF612D" w:rsidP="003C2438">
            <w:r w:rsidRPr="000347CD">
              <w:t>NB</w:t>
            </w:r>
          </w:p>
        </w:tc>
        <w:tc>
          <w:tcPr>
            <w:tcW w:w="7305" w:type="dxa"/>
            <w:shd w:val="clear" w:color="auto" w:fill="FFFFFF" w:themeFill="background1"/>
          </w:tcPr>
          <w:p w14:paraId="000634EE" w14:textId="77777777" w:rsidR="00DF612D" w:rsidRPr="000347CD" w:rsidRDefault="00DF612D" w:rsidP="003C2438">
            <w:r w:rsidRPr="000347CD">
              <w:t>Netzbetreiber</w:t>
            </w:r>
          </w:p>
        </w:tc>
      </w:tr>
      <w:tr w:rsidR="00173749" w:rsidRPr="00137F5A" w14:paraId="60F3861F" w14:textId="77777777" w:rsidTr="5F159DC6">
        <w:trPr>
          <w:trHeight w:val="113"/>
        </w:trPr>
        <w:tc>
          <w:tcPr>
            <w:tcW w:w="1765" w:type="dxa"/>
            <w:shd w:val="clear" w:color="auto" w:fill="FFFFFF" w:themeFill="background1"/>
          </w:tcPr>
          <w:p w14:paraId="0ED9259B" w14:textId="77777777" w:rsidR="00214DFA" w:rsidRPr="000347CD" w:rsidRDefault="00173749" w:rsidP="009F78A4">
            <w:r>
              <w:t>NK</w:t>
            </w:r>
          </w:p>
        </w:tc>
        <w:tc>
          <w:tcPr>
            <w:tcW w:w="7305" w:type="dxa"/>
            <w:shd w:val="clear" w:color="auto" w:fill="FFFFFF" w:themeFill="background1"/>
          </w:tcPr>
          <w:p w14:paraId="3B8463C0" w14:textId="77777777" w:rsidR="00214DFA" w:rsidRPr="000347CD" w:rsidRDefault="00173749" w:rsidP="00F14D90">
            <w:r>
              <w:t>Netzkonto</w:t>
            </w:r>
          </w:p>
        </w:tc>
      </w:tr>
      <w:tr w:rsidR="009F78A4" w:rsidRPr="00137F5A" w14:paraId="6AB6B184" w14:textId="77777777" w:rsidTr="5F159DC6">
        <w:trPr>
          <w:trHeight w:val="113"/>
        </w:trPr>
        <w:tc>
          <w:tcPr>
            <w:tcW w:w="1765" w:type="dxa"/>
            <w:shd w:val="clear" w:color="auto" w:fill="FFFFFF" w:themeFill="background1"/>
          </w:tcPr>
          <w:p w14:paraId="796D44ED" w14:textId="77777777" w:rsidR="009F78A4" w:rsidRDefault="009F78A4" w:rsidP="003C2438">
            <w:r>
              <w:t>NKBO</w:t>
            </w:r>
          </w:p>
        </w:tc>
        <w:tc>
          <w:tcPr>
            <w:tcW w:w="7305" w:type="dxa"/>
            <w:shd w:val="clear" w:color="auto" w:fill="FFFFFF" w:themeFill="background1"/>
          </w:tcPr>
          <w:p w14:paraId="6FFA26FD" w14:textId="77777777" w:rsidR="009F78A4" w:rsidRDefault="009F78A4" w:rsidP="003C2438">
            <w:r>
              <w:t>Netzkonto-Bilanzierungsobjekt</w:t>
            </w:r>
          </w:p>
        </w:tc>
      </w:tr>
      <w:tr w:rsidR="00DF612D" w:rsidRPr="00137F5A" w14:paraId="1387545E" w14:textId="77777777" w:rsidTr="5F159DC6">
        <w:trPr>
          <w:trHeight w:val="113"/>
        </w:trPr>
        <w:tc>
          <w:tcPr>
            <w:tcW w:w="1765" w:type="dxa"/>
            <w:shd w:val="clear" w:color="auto" w:fill="FFFFFF" w:themeFill="background1"/>
          </w:tcPr>
          <w:p w14:paraId="7DC50DA9" w14:textId="77777777" w:rsidR="00DF612D" w:rsidRPr="000347CD" w:rsidRDefault="00DF612D" w:rsidP="003C2438">
            <w:r w:rsidRPr="000347CD">
              <w:t>RBK</w:t>
            </w:r>
          </w:p>
        </w:tc>
        <w:tc>
          <w:tcPr>
            <w:tcW w:w="7305" w:type="dxa"/>
            <w:shd w:val="clear" w:color="auto" w:fill="FFFFFF" w:themeFill="background1"/>
          </w:tcPr>
          <w:p w14:paraId="0BA9FE24" w14:textId="77777777" w:rsidR="00DF612D" w:rsidRPr="000347CD" w:rsidRDefault="00DF612D" w:rsidP="003C2438">
            <w:r w:rsidRPr="000347CD">
              <w:t>Rechnungsbilanzkreis</w:t>
            </w:r>
          </w:p>
        </w:tc>
      </w:tr>
      <w:tr w:rsidR="00FF693B" w:rsidRPr="00137F5A" w14:paraId="503068CC" w14:textId="77777777" w:rsidTr="5F159DC6">
        <w:trPr>
          <w:trHeight w:val="113"/>
        </w:trPr>
        <w:tc>
          <w:tcPr>
            <w:tcW w:w="1765" w:type="dxa"/>
            <w:shd w:val="clear" w:color="auto" w:fill="FFFFFF" w:themeFill="background1"/>
          </w:tcPr>
          <w:p w14:paraId="49BC50D9" w14:textId="77777777" w:rsidR="00FF693B" w:rsidRPr="000347CD" w:rsidRDefault="00FF693B" w:rsidP="003C2438">
            <w:r>
              <w:t>P</w:t>
            </w:r>
            <w:r w:rsidR="00C21A68">
              <w:t>RISMA</w:t>
            </w:r>
          </w:p>
        </w:tc>
        <w:tc>
          <w:tcPr>
            <w:tcW w:w="7305" w:type="dxa"/>
            <w:shd w:val="clear" w:color="auto" w:fill="FFFFFF" w:themeFill="background1"/>
          </w:tcPr>
          <w:p w14:paraId="58765F3C" w14:textId="77777777" w:rsidR="00FF693B" w:rsidRPr="000347CD" w:rsidRDefault="00FF693B" w:rsidP="003C2438">
            <w:r>
              <w:t>Europäische Buchungsplattform für Gaskapazitäten</w:t>
            </w:r>
          </w:p>
        </w:tc>
      </w:tr>
      <w:tr w:rsidR="00DF612D" w:rsidRPr="00137F5A" w14:paraId="759E8F41" w14:textId="77777777" w:rsidTr="5F159DC6">
        <w:trPr>
          <w:trHeight w:val="113"/>
        </w:trPr>
        <w:tc>
          <w:tcPr>
            <w:tcW w:w="1765" w:type="dxa"/>
            <w:shd w:val="clear" w:color="auto" w:fill="FFFFFF" w:themeFill="background1"/>
          </w:tcPr>
          <w:p w14:paraId="6C313871" w14:textId="77777777" w:rsidR="00DF612D" w:rsidRPr="000347CD" w:rsidRDefault="00DF612D" w:rsidP="003C2438">
            <w:r w:rsidRPr="000347CD">
              <w:t>RLM</w:t>
            </w:r>
          </w:p>
        </w:tc>
        <w:tc>
          <w:tcPr>
            <w:tcW w:w="7305" w:type="dxa"/>
            <w:shd w:val="clear" w:color="auto" w:fill="FFFFFF" w:themeFill="background1"/>
          </w:tcPr>
          <w:p w14:paraId="374F3B31" w14:textId="77777777" w:rsidR="00DF612D" w:rsidRPr="000347CD" w:rsidRDefault="00375C8E" w:rsidP="003C2438">
            <w:r w:rsidRPr="000347CD">
              <w:t>Registrier</w:t>
            </w:r>
            <w:r>
              <w:t>end</w:t>
            </w:r>
            <w:r w:rsidRPr="000347CD">
              <w:t xml:space="preserve">e </w:t>
            </w:r>
            <w:r w:rsidR="00DF612D" w:rsidRPr="000347CD">
              <w:t>Leistungsmessung</w:t>
            </w:r>
          </w:p>
        </w:tc>
      </w:tr>
      <w:tr w:rsidR="00DF612D" w:rsidRPr="007F3007" w14:paraId="29CF8F81" w14:textId="77777777" w:rsidTr="5F159DC6">
        <w:trPr>
          <w:trHeight w:val="113"/>
        </w:trPr>
        <w:tc>
          <w:tcPr>
            <w:tcW w:w="1765" w:type="dxa"/>
            <w:shd w:val="clear" w:color="auto" w:fill="FFFFFF" w:themeFill="background1"/>
          </w:tcPr>
          <w:p w14:paraId="5EEAA341" w14:textId="77777777" w:rsidR="00DF612D" w:rsidRPr="000347CD" w:rsidRDefault="00DF612D" w:rsidP="003C2438">
            <w:r w:rsidRPr="000347CD">
              <w:t>SLP</w:t>
            </w:r>
          </w:p>
        </w:tc>
        <w:tc>
          <w:tcPr>
            <w:tcW w:w="7305" w:type="dxa"/>
            <w:shd w:val="clear" w:color="auto" w:fill="FFFFFF" w:themeFill="background1"/>
          </w:tcPr>
          <w:p w14:paraId="6A85CB27" w14:textId="77777777" w:rsidR="00DF612D" w:rsidRPr="000347CD" w:rsidRDefault="00DF612D" w:rsidP="003C2438">
            <w:r w:rsidRPr="000347CD">
              <w:t>Standardlastprofile</w:t>
            </w:r>
          </w:p>
        </w:tc>
      </w:tr>
      <w:tr w:rsidR="00DF612D" w:rsidRPr="007F3007" w14:paraId="327D832B" w14:textId="77777777" w:rsidTr="5F159DC6">
        <w:trPr>
          <w:trHeight w:val="113"/>
        </w:trPr>
        <w:tc>
          <w:tcPr>
            <w:tcW w:w="1765" w:type="dxa"/>
            <w:shd w:val="clear" w:color="auto" w:fill="FFFFFF" w:themeFill="background1"/>
          </w:tcPr>
          <w:p w14:paraId="1AC116C4" w14:textId="77777777" w:rsidR="00DF612D" w:rsidRPr="000347CD" w:rsidRDefault="00DF612D" w:rsidP="003C2438">
            <w:r w:rsidRPr="000347CD">
              <w:t>SBK</w:t>
            </w:r>
          </w:p>
        </w:tc>
        <w:tc>
          <w:tcPr>
            <w:tcW w:w="7305" w:type="dxa"/>
            <w:shd w:val="clear" w:color="auto" w:fill="FFFFFF" w:themeFill="background1"/>
          </w:tcPr>
          <w:p w14:paraId="7C931AF1" w14:textId="77777777" w:rsidR="00DF612D" w:rsidRPr="000347CD" w:rsidRDefault="00C44E92" w:rsidP="003C2438">
            <w:r>
              <w:t>Sub-Bilanzkonto</w:t>
            </w:r>
          </w:p>
        </w:tc>
      </w:tr>
      <w:tr w:rsidR="00DF612D" w:rsidRPr="00BA3912" w14:paraId="37349A32" w14:textId="77777777" w:rsidTr="5F159DC6">
        <w:trPr>
          <w:trHeight w:val="113"/>
        </w:trPr>
        <w:tc>
          <w:tcPr>
            <w:tcW w:w="1765" w:type="dxa"/>
            <w:shd w:val="clear" w:color="auto" w:fill="FFFFFF" w:themeFill="background1"/>
          </w:tcPr>
          <w:p w14:paraId="141DC697" w14:textId="77777777" w:rsidR="00DF612D" w:rsidRPr="000347CD" w:rsidRDefault="00DF612D" w:rsidP="003C2438">
            <w:r w:rsidRPr="000347CD">
              <w:t>SSO</w:t>
            </w:r>
          </w:p>
        </w:tc>
        <w:tc>
          <w:tcPr>
            <w:tcW w:w="7305" w:type="dxa"/>
            <w:shd w:val="clear" w:color="auto" w:fill="FFFFFF" w:themeFill="background1"/>
          </w:tcPr>
          <w:p w14:paraId="55584AA6" w14:textId="77777777" w:rsidR="00DF612D" w:rsidRPr="000347CD" w:rsidRDefault="00DF612D" w:rsidP="003C2438">
            <w:r w:rsidRPr="000347CD">
              <w:t>Speicherbetreiber</w:t>
            </w:r>
          </w:p>
        </w:tc>
      </w:tr>
      <w:tr w:rsidR="00DF612D" w:rsidRPr="00137F5A" w14:paraId="1CF00B21" w14:textId="77777777" w:rsidTr="5F159DC6">
        <w:trPr>
          <w:trHeight w:val="113"/>
        </w:trPr>
        <w:tc>
          <w:tcPr>
            <w:tcW w:w="1765" w:type="dxa"/>
            <w:shd w:val="clear" w:color="auto" w:fill="FFFFFF" w:themeFill="background1"/>
          </w:tcPr>
          <w:p w14:paraId="780C4C79" w14:textId="77777777" w:rsidR="00DF612D" w:rsidRPr="000347CD" w:rsidRDefault="0045393A" w:rsidP="003C2438">
            <w:r w:rsidRPr="000347CD">
              <w:t>TK</w:t>
            </w:r>
          </w:p>
        </w:tc>
        <w:tc>
          <w:tcPr>
            <w:tcW w:w="7305" w:type="dxa"/>
            <w:shd w:val="clear" w:color="auto" w:fill="FFFFFF" w:themeFill="background1"/>
          </w:tcPr>
          <w:p w14:paraId="0ADEB5C5" w14:textId="77777777" w:rsidR="00DF612D" w:rsidRPr="000347CD" w:rsidRDefault="00DF612D" w:rsidP="003C2438">
            <w:r w:rsidRPr="000347CD">
              <w:t>Transportkunde</w:t>
            </w:r>
          </w:p>
        </w:tc>
      </w:tr>
      <w:tr w:rsidR="00DF612D" w:rsidRPr="00137F5A" w14:paraId="6D3E240B" w14:textId="77777777" w:rsidTr="5F159DC6">
        <w:trPr>
          <w:trHeight w:val="113"/>
        </w:trPr>
        <w:tc>
          <w:tcPr>
            <w:tcW w:w="1765" w:type="dxa"/>
            <w:shd w:val="clear" w:color="auto" w:fill="FFFFFF" w:themeFill="background1"/>
          </w:tcPr>
          <w:p w14:paraId="3FE7AC2F" w14:textId="77777777" w:rsidR="00DF612D" w:rsidRPr="000347CD" w:rsidRDefault="00DF612D" w:rsidP="003C2438">
            <w:r w:rsidRPr="000347CD">
              <w:t>UBK</w:t>
            </w:r>
          </w:p>
        </w:tc>
        <w:tc>
          <w:tcPr>
            <w:tcW w:w="7305" w:type="dxa"/>
            <w:shd w:val="clear" w:color="auto" w:fill="FFFFFF" w:themeFill="background1"/>
          </w:tcPr>
          <w:p w14:paraId="35C54D95" w14:textId="77777777" w:rsidR="00DF612D" w:rsidRPr="000347CD" w:rsidRDefault="00DF612D" w:rsidP="003C2438">
            <w:r w:rsidRPr="000347CD">
              <w:t>Unterbilanzkreis</w:t>
            </w:r>
          </w:p>
        </w:tc>
      </w:tr>
      <w:tr w:rsidR="00DF612D" w:rsidRPr="00137F5A" w14:paraId="44A06668" w14:textId="77777777" w:rsidTr="5F159DC6">
        <w:trPr>
          <w:trHeight w:val="113"/>
        </w:trPr>
        <w:tc>
          <w:tcPr>
            <w:tcW w:w="1765" w:type="dxa"/>
            <w:shd w:val="clear" w:color="auto" w:fill="FFFFFF" w:themeFill="background1"/>
          </w:tcPr>
          <w:p w14:paraId="3D6A7B1F" w14:textId="77777777" w:rsidR="00DF612D" w:rsidRDefault="00DF612D" w:rsidP="003C2438">
            <w:r w:rsidRPr="000347CD">
              <w:t>VHP</w:t>
            </w:r>
          </w:p>
          <w:p w14:paraId="03F9AED0" w14:textId="5CCE4636" w:rsidR="00031D18" w:rsidRPr="000347CD" w:rsidRDefault="00031D18" w:rsidP="003C2438">
            <w:r>
              <w:t>VIP</w:t>
            </w:r>
          </w:p>
        </w:tc>
        <w:tc>
          <w:tcPr>
            <w:tcW w:w="7305" w:type="dxa"/>
            <w:shd w:val="clear" w:color="auto" w:fill="FFFFFF" w:themeFill="background1"/>
          </w:tcPr>
          <w:p w14:paraId="720E3B8C" w14:textId="77777777" w:rsidR="00DF612D" w:rsidRDefault="00DF612D" w:rsidP="003C2438">
            <w:r w:rsidRPr="000347CD">
              <w:t>Virtueller Handelspunkt</w:t>
            </w:r>
          </w:p>
          <w:p w14:paraId="1CB41BEF" w14:textId="270F6C76" w:rsidR="00031D18" w:rsidRPr="000347CD" w:rsidRDefault="00031D18" w:rsidP="003C2438">
            <w:r>
              <w:t>Virtueller Kopplungspunkt</w:t>
            </w:r>
          </w:p>
        </w:tc>
      </w:tr>
      <w:tr w:rsidR="00D36CB3" w:rsidRPr="00137F5A" w14:paraId="7BDDE7CE" w14:textId="77777777" w:rsidTr="5F159DC6">
        <w:trPr>
          <w:trHeight w:val="113"/>
        </w:trPr>
        <w:tc>
          <w:tcPr>
            <w:tcW w:w="1765" w:type="dxa"/>
            <w:shd w:val="clear" w:color="auto" w:fill="FFFFFF" w:themeFill="background1"/>
          </w:tcPr>
          <w:p w14:paraId="588581AA" w14:textId="77777777" w:rsidR="00D36CB3" w:rsidRPr="000347CD" w:rsidRDefault="00D36CB3" w:rsidP="003C2438">
            <w:r w:rsidRPr="000347CD">
              <w:t>VKU</w:t>
            </w:r>
          </w:p>
        </w:tc>
        <w:tc>
          <w:tcPr>
            <w:tcW w:w="7305" w:type="dxa"/>
            <w:shd w:val="clear" w:color="auto" w:fill="FFFFFF" w:themeFill="background1"/>
          </w:tcPr>
          <w:p w14:paraId="14CC4774" w14:textId="77777777" w:rsidR="00D36CB3" w:rsidRPr="000347CD" w:rsidRDefault="00D36CB3" w:rsidP="003C2438">
            <w:r w:rsidRPr="000347CD">
              <w:t>Verband kommunaler Unternehmen</w:t>
            </w:r>
          </w:p>
        </w:tc>
      </w:tr>
      <w:tr w:rsidR="00D36CB3" w:rsidRPr="00137F5A" w14:paraId="5FDBE1E4" w14:textId="77777777" w:rsidTr="008968C7">
        <w:trPr>
          <w:trHeight w:val="113"/>
        </w:trPr>
        <w:tc>
          <w:tcPr>
            <w:tcW w:w="1765" w:type="dxa"/>
          </w:tcPr>
          <w:p w14:paraId="0B12D2A9" w14:textId="77777777" w:rsidR="00D36CB3" w:rsidRPr="000347CD" w:rsidRDefault="00D36CB3" w:rsidP="003C2438">
            <w:r w:rsidRPr="000347CD">
              <w:lastRenderedPageBreak/>
              <w:t>WT</w:t>
            </w:r>
          </w:p>
        </w:tc>
        <w:tc>
          <w:tcPr>
            <w:tcW w:w="7305" w:type="dxa"/>
          </w:tcPr>
          <w:p w14:paraId="6C284494" w14:textId="77777777" w:rsidR="00D36CB3" w:rsidRPr="000347CD" w:rsidRDefault="00D36CB3" w:rsidP="003C2438">
            <w:r w:rsidRPr="000347CD">
              <w:t>Werktag</w:t>
            </w:r>
          </w:p>
        </w:tc>
      </w:tr>
      <w:tr w:rsidR="00D36CB3" w:rsidRPr="00137F5A" w14:paraId="36AAE906" w14:textId="77777777" w:rsidTr="008968C7">
        <w:trPr>
          <w:trHeight w:val="113"/>
        </w:trPr>
        <w:tc>
          <w:tcPr>
            <w:tcW w:w="1765" w:type="dxa"/>
          </w:tcPr>
          <w:p w14:paraId="1175D90C" w14:textId="77777777" w:rsidR="00D36CB3" w:rsidRPr="000347CD" w:rsidRDefault="00D36CB3" w:rsidP="003C2438">
            <w:r w:rsidRPr="000347CD">
              <w:t>ZRT</w:t>
            </w:r>
          </w:p>
        </w:tc>
        <w:tc>
          <w:tcPr>
            <w:tcW w:w="7305" w:type="dxa"/>
          </w:tcPr>
          <w:p w14:paraId="71146671" w14:textId="77777777" w:rsidR="00D36CB3" w:rsidRPr="000347CD" w:rsidRDefault="00D36CB3" w:rsidP="003C2438">
            <w:r w:rsidRPr="000347CD">
              <w:t>Zeitreihentyp</w:t>
            </w:r>
          </w:p>
        </w:tc>
      </w:tr>
    </w:tbl>
    <w:p w14:paraId="55BA5B47" w14:textId="77777777" w:rsidR="00DF612D" w:rsidRPr="007D5A2E" w:rsidRDefault="00DF612D" w:rsidP="003C2438">
      <w:pPr>
        <w:pStyle w:val="berschrift1"/>
      </w:pPr>
      <w:bookmarkStart w:id="11" w:name="_Toc284323602"/>
      <w:bookmarkStart w:id="12" w:name="_Toc284334278"/>
      <w:bookmarkStart w:id="13" w:name="_Toc285005244"/>
      <w:bookmarkStart w:id="14" w:name="_Toc318120243"/>
      <w:bookmarkStart w:id="15" w:name="_Toc296694064"/>
      <w:bookmarkStart w:id="16" w:name="_Toc391540125"/>
      <w:bookmarkStart w:id="17" w:name="_Toc412661287"/>
      <w:bookmarkStart w:id="18" w:name="_Toc111118437"/>
      <w:bookmarkStart w:id="19" w:name="_Toc201402593"/>
      <w:bookmarkStart w:id="20" w:name="_Toc201483864"/>
      <w:bookmarkStart w:id="21" w:name="_Ref284853046"/>
      <w:bookmarkStart w:id="22" w:name="_Toc285005451"/>
      <w:bookmarkStart w:id="23" w:name="_Toc285126056"/>
      <w:bookmarkStart w:id="24" w:name="_Toc137895355"/>
      <w:bookmarkStart w:id="25" w:name="_Toc140207655"/>
      <w:bookmarkStart w:id="26" w:name="_Toc139688043"/>
      <w:bookmarkStart w:id="27" w:name="_Toc165385231"/>
      <w:r w:rsidRPr="0054741D">
        <w:lastRenderedPageBreak/>
        <w:t>Einleitung</w:t>
      </w:r>
      <w:bookmarkStart w:id="28" w:name="_Toc137895349"/>
      <w:bookmarkStart w:id="29" w:name="_Toc140207650"/>
      <w:bookmarkStart w:id="30" w:name="_Toc139688037"/>
      <w:bookmarkEnd w:id="11"/>
      <w:bookmarkEnd w:id="12"/>
      <w:bookmarkEnd w:id="13"/>
      <w:bookmarkEnd w:id="14"/>
      <w:bookmarkEnd w:id="15"/>
      <w:bookmarkEnd w:id="16"/>
      <w:bookmarkEnd w:id="17"/>
      <w:bookmarkEnd w:id="18"/>
    </w:p>
    <w:p w14:paraId="694C934C" w14:textId="77777777" w:rsidR="007E05AB" w:rsidRDefault="00DF612D" w:rsidP="003C2438">
      <w:pPr>
        <w:pStyle w:val="berschrift2"/>
        <w:spacing w:before="480"/>
        <w:ind w:left="567" w:hanging="567"/>
      </w:pPr>
      <w:bookmarkStart w:id="31" w:name="_Toc137895350"/>
      <w:bookmarkStart w:id="32" w:name="_Toc140207651"/>
      <w:bookmarkStart w:id="33" w:name="_Toc139688038"/>
      <w:bookmarkStart w:id="34" w:name="_Toc165385227"/>
      <w:bookmarkStart w:id="35" w:name="_Toc284323604"/>
      <w:bookmarkStart w:id="36" w:name="_Toc284334280"/>
      <w:bookmarkStart w:id="37" w:name="_Toc285005246"/>
      <w:bookmarkStart w:id="38" w:name="_Toc318120245"/>
      <w:bookmarkStart w:id="39" w:name="_Toc296694066"/>
      <w:bookmarkStart w:id="40" w:name="_Toc391540126"/>
      <w:bookmarkStart w:id="41" w:name="_Toc412661288"/>
      <w:bookmarkStart w:id="42" w:name="_Toc111118438"/>
      <w:bookmarkEnd w:id="28"/>
      <w:bookmarkEnd w:id="29"/>
      <w:bookmarkEnd w:id="30"/>
      <w:r w:rsidRPr="00C51198">
        <w:t>Ziel</w:t>
      </w:r>
      <w:r w:rsidRPr="0063141C">
        <w:t xml:space="preserve"> des Leitfadens</w:t>
      </w:r>
      <w:bookmarkEnd w:id="31"/>
      <w:bookmarkEnd w:id="32"/>
      <w:bookmarkEnd w:id="33"/>
      <w:bookmarkEnd w:id="34"/>
      <w:bookmarkEnd w:id="35"/>
      <w:bookmarkEnd w:id="36"/>
      <w:bookmarkEnd w:id="37"/>
      <w:bookmarkEnd w:id="38"/>
      <w:bookmarkEnd w:id="39"/>
      <w:bookmarkEnd w:id="40"/>
      <w:bookmarkEnd w:id="41"/>
      <w:bookmarkEnd w:id="42"/>
    </w:p>
    <w:p w14:paraId="39BBC904" w14:textId="77777777" w:rsidR="00DF612D" w:rsidRDefault="00DF612D" w:rsidP="003C2438">
      <w:pPr>
        <w:spacing w:before="120"/>
        <w:rPr>
          <w:rFonts w:cs="Arial"/>
        </w:rPr>
      </w:pPr>
      <w:r>
        <w:rPr>
          <w:rFonts w:cs="Arial"/>
        </w:rPr>
        <w:t xml:space="preserve">In diesem </w:t>
      </w:r>
      <w:r w:rsidRPr="004628C2">
        <w:rPr>
          <w:rFonts w:cs="Arial"/>
        </w:rPr>
        <w:t>Leitfa</w:t>
      </w:r>
      <w:r>
        <w:rPr>
          <w:rFonts w:cs="Arial"/>
        </w:rPr>
        <w:t>den werden sämtliche</w:t>
      </w:r>
      <w:r w:rsidRPr="004628C2">
        <w:rPr>
          <w:rFonts w:cs="Arial"/>
        </w:rPr>
        <w:t xml:space="preserve"> </w:t>
      </w:r>
      <w:r>
        <w:rPr>
          <w:rFonts w:cs="Arial"/>
        </w:rPr>
        <w:t xml:space="preserve">relevante </w:t>
      </w:r>
      <w:r w:rsidRPr="004628C2">
        <w:rPr>
          <w:rFonts w:cs="Arial"/>
        </w:rPr>
        <w:t>Hauptprozesse</w:t>
      </w:r>
      <w:r>
        <w:rPr>
          <w:rFonts w:cs="Arial"/>
        </w:rPr>
        <w:t xml:space="preserve"> der Bilanzkreisführung beschrieben und </w:t>
      </w:r>
      <w:r w:rsidRPr="004628C2">
        <w:rPr>
          <w:rFonts w:cs="Arial"/>
        </w:rPr>
        <w:t>dar</w:t>
      </w:r>
      <w:r>
        <w:rPr>
          <w:rFonts w:cs="Arial"/>
        </w:rPr>
        <w:t xml:space="preserve">gestellt. Alle </w:t>
      </w:r>
      <w:r w:rsidRPr="004628C2">
        <w:rPr>
          <w:rFonts w:cs="Arial"/>
        </w:rPr>
        <w:t>beteiligten Marktteilnehmer</w:t>
      </w:r>
      <w:r>
        <w:rPr>
          <w:rFonts w:cs="Arial"/>
        </w:rPr>
        <w:t xml:space="preserve"> sollen </w:t>
      </w:r>
      <w:r w:rsidRPr="004628C2">
        <w:rPr>
          <w:rFonts w:cs="Arial"/>
        </w:rPr>
        <w:t>in die Lage versetz</w:t>
      </w:r>
      <w:r>
        <w:rPr>
          <w:rFonts w:cs="Arial"/>
        </w:rPr>
        <w:t>t werd</w:t>
      </w:r>
      <w:r w:rsidRPr="004628C2">
        <w:rPr>
          <w:rFonts w:cs="Arial"/>
        </w:rPr>
        <w:t xml:space="preserve">en, die </w:t>
      </w:r>
      <w:r>
        <w:rPr>
          <w:rFonts w:cs="Arial"/>
        </w:rPr>
        <w:t xml:space="preserve">Regelungen der Kooperationsvereinbarung </w:t>
      </w:r>
      <w:r w:rsidR="006468FB">
        <w:rPr>
          <w:rFonts w:cs="Arial"/>
        </w:rPr>
        <w:t xml:space="preserve">Gas </w:t>
      </w:r>
      <w:r>
        <w:rPr>
          <w:rFonts w:cs="Arial"/>
        </w:rPr>
        <w:t xml:space="preserve">anwenden und </w:t>
      </w:r>
      <w:r w:rsidRPr="004628C2">
        <w:rPr>
          <w:rFonts w:cs="Arial"/>
        </w:rPr>
        <w:t>umsetzen zu können</w:t>
      </w:r>
      <w:r>
        <w:rPr>
          <w:rFonts w:cs="Arial"/>
        </w:rPr>
        <w:t>.</w:t>
      </w:r>
    </w:p>
    <w:p w14:paraId="741B6256" w14:textId="77777777" w:rsidR="00DF612D" w:rsidRDefault="00DF612D" w:rsidP="003C2438">
      <w:pPr>
        <w:spacing w:before="120"/>
        <w:rPr>
          <w:rFonts w:cs="Arial"/>
        </w:rPr>
      </w:pPr>
      <w:r>
        <w:rPr>
          <w:rFonts w:cs="Arial"/>
        </w:rPr>
        <w:t>Sämtliche</w:t>
      </w:r>
      <w:r w:rsidRPr="004628C2">
        <w:rPr>
          <w:rFonts w:cs="Arial"/>
        </w:rPr>
        <w:t xml:space="preserve"> </w:t>
      </w:r>
      <w:r>
        <w:rPr>
          <w:rFonts w:cs="Arial"/>
        </w:rPr>
        <w:t>hier</w:t>
      </w:r>
      <w:r w:rsidRPr="004628C2">
        <w:rPr>
          <w:rFonts w:cs="Arial"/>
        </w:rPr>
        <w:t xml:space="preserve"> verwende</w:t>
      </w:r>
      <w:r>
        <w:rPr>
          <w:rFonts w:cs="Arial"/>
        </w:rPr>
        <w:t>te</w:t>
      </w:r>
      <w:r w:rsidRPr="004628C2">
        <w:rPr>
          <w:rFonts w:cs="Arial"/>
        </w:rPr>
        <w:t xml:space="preserve"> Definitionen sind direkt aus dem Energiewirtschaftsgesetz, den zugehörigen Verordnun</w:t>
      </w:r>
      <w:r>
        <w:rPr>
          <w:rFonts w:cs="Arial"/>
        </w:rPr>
        <w:t xml:space="preserve">gen, </w:t>
      </w:r>
      <w:r w:rsidRPr="004628C2">
        <w:rPr>
          <w:rFonts w:cs="Arial"/>
        </w:rPr>
        <w:t>der Kooperationsvereinbarung</w:t>
      </w:r>
      <w:r w:rsidR="00820862">
        <w:rPr>
          <w:rFonts w:cs="Arial"/>
        </w:rPr>
        <w:t xml:space="preserve"> </w:t>
      </w:r>
      <w:r w:rsidR="006468FB">
        <w:rPr>
          <w:rFonts w:cs="Arial"/>
        </w:rPr>
        <w:t xml:space="preserve">Gas </w:t>
      </w:r>
      <w:r w:rsidRPr="004628C2">
        <w:rPr>
          <w:rFonts w:cs="Arial"/>
        </w:rPr>
        <w:t xml:space="preserve">sowie aus dem DVGW-Regelwerk zitiert oder abgeleitet. Die agierenden </w:t>
      </w:r>
      <w:r>
        <w:rPr>
          <w:rFonts w:cs="Arial"/>
        </w:rPr>
        <w:t>Marktp</w:t>
      </w:r>
      <w:r w:rsidRPr="004628C2">
        <w:rPr>
          <w:rFonts w:cs="Arial"/>
        </w:rPr>
        <w:t xml:space="preserve">artner sind in ihrer Funktion im Markt unter dem </w:t>
      </w:r>
      <w:r>
        <w:rPr>
          <w:rFonts w:cs="Arial"/>
        </w:rPr>
        <w:t>Oberb</w:t>
      </w:r>
      <w:r w:rsidRPr="004628C2">
        <w:rPr>
          <w:rFonts w:cs="Arial"/>
        </w:rPr>
        <w:t xml:space="preserve">egriff „Marktrollen“ beschrieben. </w:t>
      </w:r>
      <w:r>
        <w:rPr>
          <w:rFonts w:cs="Arial"/>
        </w:rPr>
        <w:t>Eine</w:t>
      </w:r>
      <w:r w:rsidRPr="004628C2">
        <w:rPr>
          <w:rFonts w:cs="Arial"/>
        </w:rPr>
        <w:t xml:space="preserve"> Differenzierung erfolgt dabei ausschließlich unter funktionalen Aspekten, </w:t>
      </w:r>
      <w:r>
        <w:rPr>
          <w:rFonts w:cs="Arial"/>
        </w:rPr>
        <w:t>da</w:t>
      </w:r>
      <w:r w:rsidRPr="004628C2">
        <w:rPr>
          <w:rFonts w:cs="Arial"/>
        </w:rPr>
        <w:t xml:space="preserve"> mehrere Funktionen und Aufgaben von ein und demselben Unterne</w:t>
      </w:r>
      <w:r>
        <w:rPr>
          <w:rFonts w:cs="Arial"/>
        </w:rPr>
        <w:t>hmen wahrgenommen werden können</w:t>
      </w:r>
      <w:r w:rsidRPr="004628C2">
        <w:rPr>
          <w:rFonts w:cs="Arial"/>
        </w:rPr>
        <w:t>.</w:t>
      </w:r>
    </w:p>
    <w:p w14:paraId="59986CCF" w14:textId="77777777" w:rsidR="00DF612D" w:rsidRDefault="00DF612D" w:rsidP="003C2438">
      <w:pPr>
        <w:spacing w:before="120"/>
        <w:rPr>
          <w:rFonts w:cs="Arial"/>
        </w:rPr>
      </w:pPr>
      <w:r>
        <w:rPr>
          <w:rFonts w:cs="Arial"/>
        </w:rPr>
        <w:t>Der Leitfaden gliedert sich in 2 Teile:</w:t>
      </w:r>
    </w:p>
    <w:p w14:paraId="0807737E" w14:textId="77777777" w:rsidR="00C27052" w:rsidRDefault="00DF612D" w:rsidP="003C2438">
      <w:pPr>
        <w:spacing w:before="120"/>
        <w:contextualSpacing/>
        <w:rPr>
          <w:rFonts w:cs="Arial"/>
        </w:rPr>
      </w:pPr>
      <w:r>
        <w:rPr>
          <w:rFonts w:cs="Arial"/>
        </w:rPr>
        <w:t>Teil 1: Textbeschreibung der Prozesse und Abläufe</w:t>
      </w:r>
      <w:r w:rsidR="006468FB">
        <w:rPr>
          <w:rFonts w:cs="Arial"/>
        </w:rPr>
        <w:t>,</w:t>
      </w:r>
      <w:r w:rsidR="00C27052">
        <w:rPr>
          <w:rFonts w:cs="Arial"/>
        </w:rPr>
        <w:t xml:space="preserve"> inkl. folgende Anlagen:</w:t>
      </w:r>
    </w:p>
    <w:p w14:paraId="20E66219" w14:textId="77777777" w:rsidR="00C27052" w:rsidRPr="003A03FA" w:rsidRDefault="00C27052" w:rsidP="007F76BC">
      <w:pPr>
        <w:pStyle w:val="Listenabsatz"/>
        <w:numPr>
          <w:ilvl w:val="0"/>
          <w:numId w:val="24"/>
        </w:numPr>
      </w:pPr>
      <w:r w:rsidRPr="003A03FA">
        <w:t>Anlage 1 Stammdatenaustausch am NKP</w:t>
      </w:r>
    </w:p>
    <w:p w14:paraId="414E0AD6" w14:textId="0B7AC6FF" w:rsidR="00C27052" w:rsidRPr="003A03FA" w:rsidRDefault="00C27052" w:rsidP="007F76BC">
      <w:pPr>
        <w:pStyle w:val="Listenabsatz"/>
        <w:numPr>
          <w:ilvl w:val="0"/>
          <w:numId w:val="24"/>
        </w:numPr>
      </w:pPr>
      <w:r w:rsidRPr="003A03FA">
        <w:t xml:space="preserve">Anlage 2 Teilbilanz bei </w:t>
      </w:r>
      <w:r w:rsidR="00594F6D" w:rsidRPr="003A03FA">
        <w:t>Marktraumumstellung (</w:t>
      </w:r>
      <w:r w:rsidRPr="003A03FA">
        <w:t>MRU</w:t>
      </w:r>
      <w:r w:rsidR="00594F6D" w:rsidRPr="003A03FA">
        <w:t>)</w:t>
      </w:r>
    </w:p>
    <w:p w14:paraId="47932CDF" w14:textId="3E1CDC7C" w:rsidR="00DF612D" w:rsidRDefault="00DF612D" w:rsidP="003C2438">
      <w:pPr>
        <w:spacing w:before="120"/>
        <w:contextualSpacing/>
        <w:rPr>
          <w:rFonts w:cs="Arial"/>
        </w:rPr>
      </w:pPr>
    </w:p>
    <w:p w14:paraId="742D4186" w14:textId="77777777" w:rsidR="00DF612D" w:rsidRPr="004628C2" w:rsidRDefault="00DF612D" w:rsidP="003C2438">
      <w:pPr>
        <w:spacing w:before="120"/>
        <w:rPr>
          <w:rFonts w:cs="Arial"/>
        </w:rPr>
      </w:pPr>
      <w:r>
        <w:rPr>
          <w:rFonts w:cs="Arial"/>
        </w:rPr>
        <w:t xml:space="preserve">Teil 2: Prozessbeschreibung mit </w:t>
      </w:r>
      <w:proofErr w:type="spellStart"/>
      <w:r>
        <w:rPr>
          <w:rFonts w:cs="Arial"/>
        </w:rPr>
        <w:t>Use</w:t>
      </w:r>
      <w:r w:rsidR="00613B15">
        <w:rPr>
          <w:rFonts w:cs="Arial"/>
        </w:rPr>
        <w:t>c</w:t>
      </w:r>
      <w:r>
        <w:rPr>
          <w:rFonts w:cs="Arial"/>
        </w:rPr>
        <w:t>ases</w:t>
      </w:r>
      <w:proofErr w:type="spellEnd"/>
      <w:r>
        <w:rPr>
          <w:rFonts w:cs="Arial"/>
        </w:rPr>
        <w:t xml:space="preserve"> im UML-Format</w:t>
      </w:r>
      <w:r w:rsidR="006468FB">
        <w:rPr>
          <w:rFonts w:cs="Arial"/>
        </w:rPr>
        <w:t>.</w:t>
      </w:r>
    </w:p>
    <w:p w14:paraId="07379BB5" w14:textId="77777777" w:rsidR="007E05AB" w:rsidRDefault="00DF612D" w:rsidP="003C2438">
      <w:pPr>
        <w:pStyle w:val="berschrift2"/>
        <w:spacing w:before="480"/>
        <w:ind w:left="567" w:hanging="567"/>
      </w:pPr>
      <w:bookmarkStart w:id="43" w:name="_Toc284323606"/>
      <w:bookmarkStart w:id="44" w:name="_Toc284334282"/>
      <w:bookmarkStart w:id="45" w:name="_Toc285005248"/>
      <w:bookmarkStart w:id="46" w:name="_Toc318120247"/>
      <w:bookmarkStart w:id="47" w:name="_Toc296694068"/>
      <w:bookmarkStart w:id="48" w:name="_Toc391540127"/>
      <w:bookmarkStart w:id="49" w:name="_Toc412661289"/>
      <w:bookmarkStart w:id="50" w:name="_Toc111118439"/>
      <w:r w:rsidRPr="004628C2">
        <w:t>Darstellung der verschiedenen Marktrollen</w:t>
      </w:r>
      <w:bookmarkEnd w:id="43"/>
      <w:bookmarkEnd w:id="44"/>
      <w:bookmarkEnd w:id="45"/>
      <w:bookmarkEnd w:id="46"/>
      <w:bookmarkEnd w:id="47"/>
      <w:bookmarkEnd w:id="48"/>
      <w:bookmarkEnd w:id="49"/>
      <w:bookmarkEnd w:id="50"/>
    </w:p>
    <w:p w14:paraId="7B5D2320" w14:textId="77777777" w:rsidR="00DF612D" w:rsidRPr="004628C2" w:rsidRDefault="00DF612D" w:rsidP="003C2438">
      <w:pPr>
        <w:spacing w:before="120"/>
        <w:rPr>
          <w:rFonts w:cs="Arial"/>
        </w:rPr>
      </w:pPr>
      <w:r w:rsidRPr="004628C2">
        <w:rPr>
          <w:rFonts w:cs="Arial"/>
        </w:rPr>
        <w:t xml:space="preserve">Folgende Marktrollen sind </w:t>
      </w:r>
      <w:r>
        <w:rPr>
          <w:rFonts w:cs="Arial"/>
        </w:rPr>
        <w:t>an den</w:t>
      </w:r>
      <w:r w:rsidRPr="004628C2">
        <w:rPr>
          <w:rFonts w:cs="Arial"/>
        </w:rPr>
        <w:t xml:space="preserve"> </w:t>
      </w:r>
      <w:r>
        <w:rPr>
          <w:rFonts w:cs="Arial"/>
        </w:rPr>
        <w:t>Prozessen</w:t>
      </w:r>
      <w:r w:rsidRPr="004628C2">
        <w:rPr>
          <w:rFonts w:cs="Arial"/>
        </w:rPr>
        <w:t xml:space="preserve"> des Bilanzkreismanagement</w:t>
      </w:r>
      <w:r w:rsidR="00E62AA4">
        <w:rPr>
          <w:rFonts w:cs="Arial"/>
        </w:rPr>
        <w:t>s</w:t>
      </w:r>
      <w:r w:rsidRPr="004628C2">
        <w:rPr>
          <w:rFonts w:cs="Arial"/>
        </w:rPr>
        <w:t xml:space="preserve"> be</w:t>
      </w:r>
      <w:r>
        <w:rPr>
          <w:rFonts w:cs="Arial"/>
        </w:rPr>
        <w:t>teiligt</w:t>
      </w:r>
      <w:r w:rsidRPr="004628C2">
        <w:rPr>
          <w:rFonts w:cs="Arial"/>
        </w:rPr>
        <w:t>:</w:t>
      </w:r>
    </w:p>
    <w:p w14:paraId="3F19818E" w14:textId="77777777" w:rsidR="00BD078D" w:rsidRDefault="00DF612D" w:rsidP="007F76BC">
      <w:pPr>
        <w:pStyle w:val="Listenabsatz"/>
        <w:numPr>
          <w:ilvl w:val="0"/>
          <w:numId w:val="24"/>
        </w:numPr>
      </w:pPr>
      <w:r w:rsidRPr="00312237">
        <w:t>Bilanzkreisverantwortlicher (BKV)</w:t>
      </w:r>
      <w:r w:rsidR="00280BAE">
        <w:t>,</w:t>
      </w:r>
    </w:p>
    <w:p w14:paraId="508BF309" w14:textId="77777777" w:rsidR="00BD078D" w:rsidRDefault="00DF612D" w:rsidP="007F76BC">
      <w:pPr>
        <w:pStyle w:val="Listenabsatz"/>
        <w:numPr>
          <w:ilvl w:val="0"/>
          <w:numId w:val="24"/>
        </w:numPr>
      </w:pPr>
      <w:r w:rsidRPr="00312237">
        <w:t>Marktgebietsverantwortlicher (MGV)</w:t>
      </w:r>
      <w:r w:rsidR="00280BAE">
        <w:t>,</w:t>
      </w:r>
    </w:p>
    <w:p w14:paraId="23F780EE" w14:textId="77777777" w:rsidR="00BD078D" w:rsidRDefault="00DF612D" w:rsidP="007F76BC">
      <w:pPr>
        <w:pStyle w:val="Listenabsatz"/>
        <w:numPr>
          <w:ilvl w:val="0"/>
          <w:numId w:val="24"/>
        </w:numPr>
      </w:pPr>
      <w:r w:rsidRPr="00312237">
        <w:t>Netzbetreiber (NB) in der Ausprägung:</w:t>
      </w:r>
    </w:p>
    <w:p w14:paraId="6919EA13" w14:textId="77777777" w:rsidR="00BD078D" w:rsidRDefault="00DF612D" w:rsidP="007F76BC">
      <w:pPr>
        <w:pStyle w:val="Listenabsatz"/>
        <w:numPr>
          <w:ilvl w:val="1"/>
          <w:numId w:val="24"/>
        </w:numPr>
        <w:ind w:left="938" w:hanging="392"/>
      </w:pPr>
      <w:r w:rsidRPr="00312237">
        <w:t>Ausspeisenetzbetreiber (ANB)</w:t>
      </w:r>
      <w:r w:rsidR="00AC61FD">
        <w:t>,</w:t>
      </w:r>
    </w:p>
    <w:p w14:paraId="2235BCE9" w14:textId="77777777" w:rsidR="00BD078D" w:rsidRDefault="00DF612D" w:rsidP="007F76BC">
      <w:pPr>
        <w:pStyle w:val="Listenabsatz"/>
        <w:numPr>
          <w:ilvl w:val="1"/>
          <w:numId w:val="24"/>
        </w:numPr>
        <w:ind w:left="938" w:hanging="392"/>
      </w:pPr>
      <w:r>
        <w:t>Eins</w:t>
      </w:r>
      <w:r w:rsidRPr="00312237">
        <w:t>peisenetzbetreiber (ENB)</w:t>
      </w:r>
      <w:r w:rsidR="00AC61FD">
        <w:t>,</w:t>
      </w:r>
    </w:p>
    <w:p w14:paraId="029D009A" w14:textId="77777777" w:rsidR="007E05AB" w:rsidRDefault="00DF612D" w:rsidP="007F76BC">
      <w:pPr>
        <w:pStyle w:val="Listenabsatz"/>
        <w:numPr>
          <w:ilvl w:val="1"/>
          <w:numId w:val="24"/>
        </w:numPr>
        <w:ind w:left="938" w:hanging="392"/>
      </w:pPr>
      <w:r w:rsidRPr="00312237">
        <w:t>Fernleitungsnetzbetreiber (FNB)</w:t>
      </w:r>
      <w:r w:rsidR="00280BAE">
        <w:t>,</w:t>
      </w:r>
    </w:p>
    <w:p w14:paraId="5C2CD222" w14:textId="77777777" w:rsidR="00BD078D" w:rsidRDefault="00DF612D" w:rsidP="007F76BC">
      <w:pPr>
        <w:pStyle w:val="Listenabsatz"/>
        <w:numPr>
          <w:ilvl w:val="0"/>
          <w:numId w:val="24"/>
        </w:numPr>
      </w:pPr>
      <w:r w:rsidRPr="00AE0C2B">
        <w:t>Speicherbetreiber (SSO)</w:t>
      </w:r>
      <w:r w:rsidR="00280BAE">
        <w:t>,</w:t>
      </w:r>
    </w:p>
    <w:p w14:paraId="3E86596A" w14:textId="74A7C8BE" w:rsidR="00BD078D" w:rsidRDefault="00DF612D" w:rsidP="007F76BC">
      <w:pPr>
        <w:pStyle w:val="Listenabsatz"/>
        <w:numPr>
          <w:ilvl w:val="0"/>
          <w:numId w:val="24"/>
        </w:numPr>
      </w:pPr>
      <w:r w:rsidRPr="00AE0C2B">
        <w:t>Biogas-Einspeiser</w:t>
      </w:r>
      <w:r w:rsidR="00280BAE">
        <w:t>,</w:t>
      </w:r>
    </w:p>
    <w:p w14:paraId="4E3BAE81" w14:textId="77777777" w:rsidR="00E025B6" w:rsidRDefault="00E025B6" w:rsidP="00E025B6">
      <w:pPr>
        <w:pStyle w:val="Listenabsatz"/>
        <w:numPr>
          <w:ilvl w:val="0"/>
          <w:numId w:val="24"/>
        </w:numPr>
      </w:pPr>
      <w:r>
        <w:t>Kapazitätsnutzer (KN),</w:t>
      </w:r>
    </w:p>
    <w:p w14:paraId="63CD18C2" w14:textId="45A44A39" w:rsidR="00E025B6" w:rsidRDefault="00E025B6" w:rsidP="00E025B6">
      <w:pPr>
        <w:pStyle w:val="Listenabsatz"/>
        <w:numPr>
          <w:ilvl w:val="0"/>
          <w:numId w:val="24"/>
        </w:numPr>
      </w:pPr>
      <w:r>
        <w:t>Lieferant (LF),</w:t>
      </w:r>
    </w:p>
    <w:p w14:paraId="43211A0A" w14:textId="77777777" w:rsidR="00BD078D" w:rsidRDefault="0045393A" w:rsidP="007F76BC">
      <w:pPr>
        <w:pStyle w:val="Listenabsatz"/>
        <w:numPr>
          <w:ilvl w:val="0"/>
          <w:numId w:val="24"/>
        </w:numPr>
      </w:pPr>
      <w:r w:rsidRPr="00312237">
        <w:t>Transportkunde (TK)</w:t>
      </w:r>
      <w:r>
        <w:t>,</w:t>
      </w:r>
    </w:p>
    <w:p w14:paraId="67F0C600" w14:textId="77777777" w:rsidR="00BD078D" w:rsidRDefault="00DF612D" w:rsidP="007F76BC">
      <w:pPr>
        <w:pStyle w:val="Listenabsatz"/>
        <w:numPr>
          <w:ilvl w:val="0"/>
          <w:numId w:val="24"/>
        </w:numPr>
      </w:pPr>
      <w:r w:rsidRPr="00312237">
        <w:t>Letztverbraucher (LV)</w:t>
      </w:r>
      <w:r w:rsidR="00AC61FD">
        <w:t>.</w:t>
      </w:r>
    </w:p>
    <w:p w14:paraId="0999A347" w14:textId="77777777" w:rsidR="00E025B6" w:rsidRDefault="00E025B6" w:rsidP="003C2438">
      <w:pPr>
        <w:tabs>
          <w:tab w:val="left" w:pos="284"/>
        </w:tabs>
        <w:spacing w:before="120"/>
      </w:pPr>
    </w:p>
    <w:p w14:paraId="0053A923" w14:textId="22B9E38F" w:rsidR="00E025B6" w:rsidRDefault="00E025B6" w:rsidP="003C2438">
      <w:pPr>
        <w:tabs>
          <w:tab w:val="left" w:pos="284"/>
        </w:tabs>
        <w:spacing w:before="120"/>
      </w:pPr>
      <w:r w:rsidRPr="00E947B1">
        <w:lastRenderedPageBreak/>
        <w:t xml:space="preserve">In diesem Leitfaden werden an verschiedenen Stellen die Begriffe Transportkunde, Lieferant und Kapazitätsnutzer </w:t>
      </w:r>
      <w:r>
        <w:t>verwendet</w:t>
      </w:r>
      <w:r w:rsidRPr="00572342">
        <w:t>.</w:t>
      </w:r>
      <w:r>
        <w:t xml:space="preserve"> B</w:t>
      </w:r>
      <w:r w:rsidRPr="00572342">
        <w:t>ei Regelungen, die die vertragliche Abwicklung beschreiben</w:t>
      </w:r>
      <w:r>
        <w:t>,</w:t>
      </w:r>
      <w:r w:rsidRPr="00572342">
        <w:t xml:space="preserve"> </w:t>
      </w:r>
      <w:r>
        <w:t xml:space="preserve">wird </w:t>
      </w:r>
      <w:r w:rsidRPr="00572342">
        <w:t xml:space="preserve">der </w:t>
      </w:r>
      <w:r>
        <w:t xml:space="preserve">Begriff </w:t>
      </w:r>
      <w:r w:rsidRPr="00572342">
        <w:t xml:space="preserve">Transportkunde </w:t>
      </w:r>
      <w:r>
        <w:t>verwendet</w:t>
      </w:r>
      <w:r w:rsidRPr="00572342">
        <w:t xml:space="preserve">, bei Regelungen, die die prozessuale Abwicklung </w:t>
      </w:r>
      <w:r>
        <w:t xml:space="preserve">im Sinne der Marktkommunikation </w:t>
      </w:r>
      <w:r w:rsidRPr="00572342">
        <w:t>beschreiben</w:t>
      </w:r>
      <w:r>
        <w:t>,</w:t>
      </w:r>
      <w:r w:rsidRPr="00572342">
        <w:t xml:space="preserve"> </w:t>
      </w:r>
      <w:r>
        <w:t xml:space="preserve">wird </w:t>
      </w:r>
      <w:r w:rsidRPr="00572342">
        <w:t xml:space="preserve">der </w:t>
      </w:r>
      <w:r>
        <w:t xml:space="preserve">Begriff </w:t>
      </w:r>
      <w:r w:rsidRPr="00572342">
        <w:t>Kapazitätsnutzer bzw. Lieferant</w:t>
      </w:r>
      <w:r>
        <w:t xml:space="preserve"> verwendet</w:t>
      </w:r>
      <w:r w:rsidRPr="00572342">
        <w:t>.</w:t>
      </w:r>
    </w:p>
    <w:p w14:paraId="1AE8DC12" w14:textId="6619A173" w:rsidR="00DF612D" w:rsidRPr="004628C2" w:rsidRDefault="0011373C" w:rsidP="003C2438">
      <w:pPr>
        <w:tabs>
          <w:tab w:val="left" w:pos="284"/>
        </w:tabs>
        <w:spacing w:before="120"/>
        <w:rPr>
          <w:rFonts w:cs="Arial"/>
        </w:rPr>
      </w:pPr>
      <w:r>
        <w:fldChar w:fldCharType="begin"/>
      </w:r>
      <w:r>
        <w:instrText xml:space="preserve"> REF _Ref296695609 \h  \* MERGEFORMAT </w:instrText>
      </w:r>
      <w:r>
        <w:fldChar w:fldCharType="separate"/>
      </w:r>
      <w:r w:rsidR="00692E23" w:rsidRPr="00692E23">
        <w:t>Abbildung 1</w:t>
      </w:r>
      <w:r>
        <w:fldChar w:fldCharType="end"/>
      </w:r>
      <w:r w:rsidR="00DF612D">
        <w:rPr>
          <w:rFonts w:cs="Arial"/>
        </w:rPr>
        <w:t xml:space="preserve"> </w:t>
      </w:r>
      <w:r w:rsidR="00DF612D" w:rsidRPr="004628C2">
        <w:rPr>
          <w:rFonts w:cs="Arial"/>
        </w:rPr>
        <w:t>gibt einen Überblick über das Zusammenspiel der einzelnen Marktrollen</w:t>
      </w:r>
      <w:r w:rsidR="00DF612D">
        <w:rPr>
          <w:rFonts w:cs="Arial"/>
        </w:rPr>
        <w:t>,</w:t>
      </w:r>
      <w:r w:rsidR="00DF612D" w:rsidRPr="004628C2">
        <w:rPr>
          <w:rFonts w:cs="Arial"/>
        </w:rPr>
        <w:t xml:space="preserve"> der Verträge bzw. Vereinbarungen</w:t>
      </w:r>
      <w:r w:rsidR="00DF612D">
        <w:rPr>
          <w:rFonts w:cs="Arial"/>
        </w:rPr>
        <w:t>,</w:t>
      </w:r>
      <w:r w:rsidR="00DF612D" w:rsidRPr="004628C2">
        <w:rPr>
          <w:rFonts w:cs="Arial"/>
        </w:rPr>
        <w:t xml:space="preserve"> die für die Bilanzkreisführung notwendig sind</w:t>
      </w:r>
      <w:r w:rsidR="000C031B">
        <w:rPr>
          <w:rFonts w:cs="Arial"/>
        </w:rPr>
        <w:t>,</w:t>
      </w:r>
      <w:r w:rsidR="00DF612D">
        <w:rPr>
          <w:rFonts w:cs="Arial"/>
        </w:rPr>
        <w:t xml:space="preserve"> und d</w:t>
      </w:r>
      <w:r w:rsidR="00AC61FD">
        <w:rPr>
          <w:rFonts w:cs="Arial"/>
        </w:rPr>
        <w:t>ie</w:t>
      </w:r>
      <w:r w:rsidR="00DF612D">
        <w:rPr>
          <w:rFonts w:cs="Arial"/>
        </w:rPr>
        <w:t xml:space="preserve"> abzuwickelnden Hauptprozesse</w:t>
      </w:r>
      <w:r w:rsidR="00DF612D" w:rsidRPr="004628C2">
        <w:rPr>
          <w:rFonts w:cs="Arial"/>
        </w:rPr>
        <w:t xml:space="preserve">. Der Gesamtprozess </w:t>
      </w:r>
      <w:r w:rsidR="00DF612D">
        <w:rPr>
          <w:rFonts w:cs="Arial"/>
        </w:rPr>
        <w:t>kann hinsichtlich der beteiligten Marktrollen in mehrere</w:t>
      </w:r>
      <w:r w:rsidR="00DF612D" w:rsidRPr="004628C2">
        <w:rPr>
          <w:rFonts w:cs="Arial"/>
        </w:rPr>
        <w:t xml:space="preserve"> </w:t>
      </w:r>
      <w:r w:rsidR="00DF612D">
        <w:rPr>
          <w:rFonts w:cs="Arial"/>
        </w:rPr>
        <w:t>Ebenen</w:t>
      </w:r>
      <w:r w:rsidR="00DF612D" w:rsidRPr="004628C2">
        <w:rPr>
          <w:rFonts w:cs="Arial"/>
        </w:rPr>
        <w:t xml:space="preserve"> unterteil</w:t>
      </w:r>
      <w:r w:rsidR="00DF612D">
        <w:rPr>
          <w:rFonts w:cs="Arial"/>
        </w:rPr>
        <w:t>t werden</w:t>
      </w:r>
      <w:r w:rsidR="00DF612D" w:rsidRPr="004628C2">
        <w:rPr>
          <w:rFonts w:cs="Arial"/>
        </w:rPr>
        <w:t>:</w:t>
      </w:r>
    </w:p>
    <w:p w14:paraId="724F71DB" w14:textId="77777777" w:rsidR="007E05AB" w:rsidRDefault="00DF612D" w:rsidP="007F76BC">
      <w:pPr>
        <w:pStyle w:val="Listenabsatz"/>
        <w:numPr>
          <w:ilvl w:val="0"/>
          <w:numId w:val="24"/>
        </w:numPr>
      </w:pPr>
      <w:r w:rsidRPr="00AC61FD">
        <w:t>ENB-Ebene</w:t>
      </w:r>
      <w:r w:rsidR="00280BAE">
        <w:t>,</w:t>
      </w:r>
    </w:p>
    <w:p w14:paraId="6CCFDE29" w14:textId="77777777" w:rsidR="007E05AB" w:rsidRDefault="00DF612D" w:rsidP="007F76BC">
      <w:pPr>
        <w:pStyle w:val="Listenabsatz"/>
        <w:numPr>
          <w:ilvl w:val="0"/>
          <w:numId w:val="24"/>
        </w:numPr>
      </w:pPr>
      <w:r w:rsidRPr="00AC61FD">
        <w:t>MGV-Ebene</w:t>
      </w:r>
      <w:r w:rsidR="00280BAE">
        <w:t>,</w:t>
      </w:r>
    </w:p>
    <w:p w14:paraId="7D8AB19E" w14:textId="77777777" w:rsidR="007E05AB" w:rsidRDefault="00DF612D" w:rsidP="007F76BC">
      <w:pPr>
        <w:pStyle w:val="Listenabsatz"/>
        <w:numPr>
          <w:ilvl w:val="0"/>
          <w:numId w:val="24"/>
        </w:numPr>
      </w:pPr>
      <w:r w:rsidRPr="00AC61FD">
        <w:t>ANB-Ebene</w:t>
      </w:r>
      <w:r w:rsidR="00280BAE">
        <w:t>,</w:t>
      </w:r>
    </w:p>
    <w:p w14:paraId="4CCCFBCD" w14:textId="77777777" w:rsidR="007E05AB" w:rsidRDefault="00DF612D" w:rsidP="007F76BC">
      <w:pPr>
        <w:pStyle w:val="Listenabsatz"/>
        <w:numPr>
          <w:ilvl w:val="0"/>
          <w:numId w:val="24"/>
        </w:numPr>
      </w:pPr>
      <w:r w:rsidRPr="00AC61FD">
        <w:t>Weitere Infrastrukturbetreiber, z.</w:t>
      </w:r>
      <w:r w:rsidR="00E01202">
        <w:t> </w:t>
      </w:r>
      <w:r w:rsidRPr="00AC61FD">
        <w:t>B. SSO,</w:t>
      </w:r>
      <w:r w:rsidR="0031624E" w:rsidRPr="00AC61FD">
        <w:t xml:space="preserve"> welche nicht Unterzeichner der</w:t>
      </w:r>
      <w:r w:rsidR="00521B67" w:rsidRPr="00AC61FD">
        <w:t xml:space="preserve"> </w:t>
      </w:r>
      <w:r w:rsidRPr="00AC61FD">
        <w:t>Kooperat</w:t>
      </w:r>
      <w:r w:rsidR="00384FCA" w:rsidRPr="00384FCA">
        <w:t>i</w:t>
      </w:r>
      <w:r w:rsidRPr="00AC61FD">
        <w:t>on</w:t>
      </w:r>
      <w:r w:rsidR="00384FCA" w:rsidRPr="00384FCA">
        <w:t>s</w:t>
      </w:r>
      <w:r w:rsidRPr="00AC61FD">
        <w:t>vereinbarung Gas sind.</w:t>
      </w:r>
      <w:bookmarkStart w:id="51" w:name="_Toc205183453"/>
    </w:p>
    <w:p w14:paraId="57187FE8" w14:textId="77CF8E8E" w:rsidR="00FA2DF2" w:rsidRDefault="00FA2DF2" w:rsidP="003C2438"/>
    <w:p w14:paraId="18530A2C" w14:textId="37605CFF" w:rsidR="00E025B6" w:rsidRDefault="00E025B6" w:rsidP="003C2438">
      <w:r w:rsidRPr="00755B26">
        <w:rPr>
          <w:noProof/>
        </w:rPr>
        <w:drawing>
          <wp:inline distT="0" distB="0" distL="0" distR="0" wp14:anchorId="06DC81B9" wp14:editId="30029BCB">
            <wp:extent cx="5759450" cy="35058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59450" cy="3505875"/>
                    </a:xfrm>
                    <a:prstGeom prst="rect">
                      <a:avLst/>
                    </a:prstGeom>
                  </pic:spPr>
                </pic:pic>
              </a:graphicData>
            </a:graphic>
          </wp:inline>
        </w:drawing>
      </w:r>
    </w:p>
    <w:p w14:paraId="61EFDDE4" w14:textId="6CF819CD" w:rsidR="00E157A6" w:rsidRDefault="00DF612D" w:rsidP="003C2438">
      <w:pPr>
        <w:pStyle w:val="Abbildung"/>
        <w:rPr>
          <w:b/>
        </w:rPr>
      </w:pPr>
      <w:bookmarkStart w:id="52" w:name="_Ref296695609"/>
      <w:bookmarkStart w:id="53" w:name="_Toc285005395"/>
      <w:bookmarkStart w:id="54" w:name="_Toc285313952"/>
      <w:bookmarkStart w:id="55" w:name="_Toc318120260"/>
      <w:bookmarkStart w:id="56" w:name="_Toc296694327"/>
      <w:bookmarkStart w:id="57" w:name="_Toc285126075"/>
      <w:bookmarkStart w:id="58" w:name="_Toc357091874"/>
      <w:bookmarkStart w:id="59" w:name="_Toc390346554"/>
      <w:bookmarkStart w:id="60" w:name="_Toc412562624"/>
      <w:bookmarkStart w:id="61" w:name="_Toc437530303"/>
      <w:bookmarkStart w:id="62" w:name="_Toc111118584"/>
      <w:bookmarkStart w:id="63" w:name="_Toc111196130"/>
      <w:bookmarkEnd w:id="51"/>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1</w:t>
      </w:r>
      <w:r w:rsidR="00561FFA" w:rsidRPr="00996036">
        <w:rPr>
          <w:b/>
        </w:rPr>
        <w:fldChar w:fldCharType="end"/>
      </w:r>
      <w:bookmarkEnd w:id="52"/>
      <w:r w:rsidRPr="00996036">
        <w:rPr>
          <w:b/>
        </w:rPr>
        <w:t>: Überblick über das Zusammenspiel der einzelnen Marktrollen</w:t>
      </w:r>
      <w:bookmarkEnd w:id="53"/>
      <w:bookmarkEnd w:id="54"/>
      <w:bookmarkEnd w:id="55"/>
      <w:bookmarkEnd w:id="56"/>
      <w:bookmarkEnd w:id="57"/>
      <w:bookmarkEnd w:id="58"/>
      <w:bookmarkEnd w:id="59"/>
      <w:bookmarkEnd w:id="60"/>
      <w:bookmarkEnd w:id="61"/>
      <w:r w:rsidR="00E025B6">
        <w:rPr>
          <w:b/>
        </w:rPr>
        <w:t>/Vertragspartner</w:t>
      </w:r>
      <w:bookmarkEnd w:id="62"/>
      <w:bookmarkEnd w:id="63"/>
    </w:p>
    <w:p w14:paraId="4A206246" w14:textId="77777777" w:rsidR="00496A80" w:rsidRDefault="00496A80" w:rsidP="003C2438"/>
    <w:p w14:paraId="5766E73A" w14:textId="38DC9374" w:rsidR="00DF612D" w:rsidRPr="00855C10" w:rsidRDefault="00DF612D" w:rsidP="003C2438">
      <w:r w:rsidRPr="00855C10">
        <w:lastRenderedPageBreak/>
        <w:t xml:space="preserve">Sämtliche </w:t>
      </w:r>
      <w:r>
        <w:t xml:space="preserve">Prozesse der Marktrolle SSO sind nicht Teil dieses Leitfadens, mit Ausnahme der in Kap. </w:t>
      </w:r>
      <w:r w:rsidR="0011373C">
        <w:fldChar w:fldCharType="begin"/>
      </w:r>
      <w:r w:rsidR="0011373C">
        <w:instrText xml:space="preserve"> REF _Ref291640624 \r \h  \* MERGEFORMAT </w:instrText>
      </w:r>
      <w:r w:rsidR="0011373C">
        <w:fldChar w:fldCharType="separate"/>
      </w:r>
      <w:r w:rsidR="00692E23">
        <w:t>6.4</w:t>
      </w:r>
      <w:r w:rsidR="0011373C">
        <w:fldChar w:fldCharType="end"/>
      </w:r>
      <w:r>
        <w:t xml:space="preserve"> beschriebenen Regeln für die Einspeicherung von Biogas. Es wird den Infrastrukturbe</w:t>
      </w:r>
      <w:r w:rsidRPr="0003683C">
        <w:t>treibern angrenzender System</w:t>
      </w:r>
      <w:r w:rsidR="00280BAE">
        <w:t>e (Speicher, Produktionsanlagen</w:t>
      </w:r>
      <w:r w:rsidRPr="0003683C">
        <w:t xml:space="preserve"> </w:t>
      </w:r>
      <w:r w:rsidR="0031234B" w:rsidRPr="0003683C">
        <w:t>etc.</w:t>
      </w:r>
      <w:r w:rsidRPr="0003683C">
        <w:t>) empfohlen, die</w:t>
      </w:r>
      <w:r>
        <w:t xml:space="preserve"> Prozesse analog zu den in diesem Leitfaden beschriebenen Prozessen aufzusetzen. Dies betrifft insbesondere die Prozesse für die </w:t>
      </w:r>
      <w:r w:rsidRPr="00A85194">
        <w:t>Nominierung (Kap.</w:t>
      </w:r>
      <w:r w:rsidR="00914689">
        <w:t xml:space="preserve"> </w:t>
      </w:r>
      <w:r w:rsidR="0011373C">
        <w:fldChar w:fldCharType="begin"/>
      </w:r>
      <w:r w:rsidR="0011373C">
        <w:instrText xml:space="preserve"> REF _Ref348533483 \r \h  \* MERGEFORMAT </w:instrText>
      </w:r>
      <w:r w:rsidR="0011373C">
        <w:fldChar w:fldCharType="separate"/>
      </w:r>
      <w:r w:rsidR="00692E23">
        <w:t>4</w:t>
      </w:r>
      <w:r w:rsidR="0011373C">
        <w:fldChar w:fldCharType="end"/>
      </w:r>
      <w:r>
        <w:t xml:space="preserve">) und die Allokation von Mengen (Kap. </w:t>
      </w:r>
      <w:r w:rsidR="0011373C">
        <w:fldChar w:fldCharType="begin"/>
      </w:r>
      <w:r w:rsidR="0011373C">
        <w:instrText xml:space="preserve"> REF _Ref348533519 \r \h  \* MERGEFORMAT </w:instrText>
      </w:r>
      <w:r w:rsidR="0011373C">
        <w:fldChar w:fldCharType="separate"/>
      </w:r>
      <w:r w:rsidR="00692E23">
        <w:t>5</w:t>
      </w:r>
      <w:r w:rsidR="0011373C">
        <w:fldChar w:fldCharType="end"/>
      </w:r>
      <w:r w:rsidR="000C031B">
        <w:t>).</w:t>
      </w:r>
    </w:p>
    <w:p w14:paraId="21C18712" w14:textId="77777777" w:rsidR="00DF612D" w:rsidRPr="0063141C" w:rsidRDefault="00DF612D" w:rsidP="003C2438">
      <w:pPr>
        <w:pStyle w:val="berschrift1"/>
      </w:pPr>
      <w:bookmarkStart w:id="64" w:name="_Toc318120248"/>
      <w:bookmarkStart w:id="65" w:name="_Toc296694069"/>
      <w:bookmarkStart w:id="66" w:name="_Toc391540128"/>
      <w:bookmarkStart w:id="67" w:name="_Toc412661290"/>
      <w:bookmarkStart w:id="68" w:name="_Toc111118440"/>
      <w:r>
        <w:lastRenderedPageBreak/>
        <w:t>Grundlagen</w:t>
      </w:r>
      <w:bookmarkEnd w:id="64"/>
      <w:bookmarkEnd w:id="65"/>
      <w:bookmarkEnd w:id="66"/>
      <w:bookmarkEnd w:id="67"/>
      <w:bookmarkEnd w:id="68"/>
    </w:p>
    <w:p w14:paraId="18677FB4" w14:textId="4E08CDE0" w:rsidR="00DF612D" w:rsidRDefault="00DF612D" w:rsidP="003C2438">
      <w:r w:rsidRPr="004E777B">
        <w:t>Die Bilanzkreisführung stellt eine Teilaufgabe innerhalb der gaswirtschaftlichen Prozesskette zur Durchführung von Gastransporten dar.</w:t>
      </w:r>
      <w:bookmarkStart w:id="69" w:name="_Toc121584702"/>
    </w:p>
    <w:p w14:paraId="559ADEC7" w14:textId="77777777" w:rsidR="00A87ACC" w:rsidRDefault="00A87ACC" w:rsidP="003C2438"/>
    <w:p w14:paraId="31614F96" w14:textId="77777777" w:rsidR="00914689" w:rsidRDefault="00A87ACC" w:rsidP="003C2438">
      <w:r>
        <w:rPr>
          <w:noProof/>
        </w:rPr>
        <w:drawing>
          <wp:inline distT="0" distB="0" distL="0" distR="0" wp14:anchorId="35F10360" wp14:editId="7A1B54AF">
            <wp:extent cx="5760720" cy="1980449"/>
            <wp:effectExtent l="1905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srcRect/>
                    <a:stretch>
                      <a:fillRect/>
                    </a:stretch>
                  </pic:blipFill>
                  <pic:spPr bwMode="auto">
                    <a:xfrm>
                      <a:off x="0" y="0"/>
                      <a:ext cx="5760720" cy="1980449"/>
                    </a:xfrm>
                    <a:prstGeom prst="rect">
                      <a:avLst/>
                    </a:prstGeom>
                    <a:noFill/>
                    <a:ln w="9525">
                      <a:noFill/>
                      <a:miter lim="800000"/>
                      <a:headEnd/>
                      <a:tailEnd/>
                    </a:ln>
                  </pic:spPr>
                </pic:pic>
              </a:graphicData>
            </a:graphic>
          </wp:inline>
        </w:drawing>
      </w:r>
    </w:p>
    <w:p w14:paraId="7D36F86B" w14:textId="0B0B6066" w:rsidR="00E157A6" w:rsidRDefault="00DF612D" w:rsidP="003C2438">
      <w:pPr>
        <w:pStyle w:val="Abbildung"/>
        <w:rPr>
          <w:b/>
        </w:rPr>
      </w:pPr>
      <w:bookmarkStart w:id="70" w:name="_Toc141014077"/>
      <w:bookmarkStart w:id="71" w:name="_Toc205183454"/>
      <w:bookmarkStart w:id="72" w:name="_Toc285005396"/>
      <w:bookmarkStart w:id="73" w:name="_Toc285313953"/>
      <w:bookmarkStart w:id="74" w:name="_Toc285126076"/>
      <w:bookmarkStart w:id="75" w:name="_Toc318120261"/>
      <w:bookmarkStart w:id="76" w:name="_Toc296694328"/>
      <w:bookmarkStart w:id="77" w:name="_Toc357091876"/>
      <w:bookmarkStart w:id="78" w:name="_Toc390346555"/>
      <w:bookmarkStart w:id="79" w:name="_Toc412562625"/>
      <w:bookmarkStart w:id="80" w:name="_Toc437530304"/>
      <w:bookmarkStart w:id="81" w:name="_Toc111118585"/>
      <w:bookmarkStart w:id="82" w:name="_Toc111196131"/>
      <w:bookmarkEnd w:id="69"/>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2</w:t>
      </w:r>
      <w:r w:rsidR="00561FFA" w:rsidRPr="00996036">
        <w:rPr>
          <w:b/>
        </w:rPr>
        <w:fldChar w:fldCharType="end"/>
      </w:r>
      <w:r w:rsidRPr="00996036">
        <w:rPr>
          <w:b/>
        </w:rPr>
        <w:t>: Prozesskette „Durchführung des Netzzugangs</w:t>
      </w:r>
      <w:bookmarkEnd w:id="70"/>
      <w:bookmarkEnd w:id="71"/>
      <w:bookmarkEnd w:id="72"/>
      <w:bookmarkEnd w:id="73"/>
      <w:bookmarkEnd w:id="74"/>
      <w:r w:rsidRPr="00996036">
        <w:rPr>
          <w:b/>
        </w:rPr>
        <w:t>“</w:t>
      </w:r>
      <w:bookmarkEnd w:id="75"/>
      <w:bookmarkEnd w:id="76"/>
      <w:bookmarkEnd w:id="77"/>
      <w:bookmarkEnd w:id="78"/>
      <w:bookmarkEnd w:id="79"/>
      <w:bookmarkEnd w:id="80"/>
      <w:bookmarkEnd w:id="81"/>
      <w:bookmarkEnd w:id="82"/>
    </w:p>
    <w:p w14:paraId="40E51349" w14:textId="77777777" w:rsidR="007E05AB" w:rsidRDefault="00DF612D" w:rsidP="003C2438">
      <w:pPr>
        <w:pStyle w:val="berschrift2"/>
        <w:spacing w:before="480" w:after="240"/>
        <w:ind w:left="567" w:hanging="567"/>
      </w:pPr>
      <w:bookmarkStart w:id="83" w:name="_Toc318120250"/>
      <w:bookmarkStart w:id="84" w:name="_Toc296694071"/>
      <w:bookmarkStart w:id="85" w:name="_Toc391540129"/>
      <w:bookmarkStart w:id="86" w:name="_Toc412661291"/>
      <w:bookmarkStart w:id="87" w:name="_Toc111118441"/>
      <w:r w:rsidRPr="005F6BA2">
        <w:t>Begriffsbestimmungen</w:t>
      </w:r>
      <w:bookmarkEnd w:id="83"/>
      <w:bookmarkEnd w:id="84"/>
      <w:bookmarkEnd w:id="85"/>
      <w:bookmarkEnd w:id="86"/>
      <w:bookmarkEnd w:id="87"/>
    </w:p>
    <w:p w14:paraId="2F21BF72" w14:textId="77777777" w:rsidR="00E157A6" w:rsidRDefault="00DF612D" w:rsidP="003C2438">
      <w:pPr>
        <w:keepNext/>
        <w:rPr>
          <w:b/>
        </w:rPr>
      </w:pPr>
      <w:bookmarkStart w:id="88" w:name="_Toc357091878"/>
      <w:r w:rsidRPr="0062136D">
        <w:rPr>
          <w:b/>
        </w:rPr>
        <w:t>Allokation</w:t>
      </w:r>
      <w:bookmarkEnd w:id="88"/>
    </w:p>
    <w:p w14:paraId="3CBA4FC8" w14:textId="77777777" w:rsidR="00E157A6" w:rsidRDefault="00DF612D" w:rsidP="003C2438">
      <w:r w:rsidRPr="0062136D">
        <w:t>Zuordnung von Gasmengen zu einem Bilanzkreis</w:t>
      </w:r>
      <w:r w:rsidR="006B3544">
        <w:t>.</w:t>
      </w:r>
    </w:p>
    <w:p w14:paraId="52937D8D" w14:textId="77777777" w:rsidR="00E157A6" w:rsidRDefault="00DF612D" w:rsidP="003C2438">
      <w:pPr>
        <w:keepNext/>
        <w:rPr>
          <w:b/>
        </w:rPr>
      </w:pPr>
      <w:bookmarkStart w:id="89" w:name="_Toc357091879"/>
      <w:r w:rsidRPr="0062136D">
        <w:rPr>
          <w:b/>
        </w:rPr>
        <w:t>Ausspeisenetzbetreiber (ANB)</w:t>
      </w:r>
      <w:bookmarkEnd w:id="89"/>
    </w:p>
    <w:p w14:paraId="7F447883" w14:textId="4FCFBC9B" w:rsidR="00E157A6" w:rsidRDefault="00DF612D" w:rsidP="003C2438">
      <w:r w:rsidRPr="0062136D">
        <w:t xml:space="preserve">Netzbetreiber, mit </w:t>
      </w:r>
      <w:r w:rsidR="009F1E57">
        <w:t xml:space="preserve">dem der Transportkunde nach </w:t>
      </w:r>
      <w:r w:rsidR="009F1E57" w:rsidDel="00815124">
        <w:t>§</w:t>
      </w:r>
      <w:r w:rsidR="00815124">
        <w:t> </w:t>
      </w:r>
      <w:r w:rsidR="009F1E57">
        <w:t xml:space="preserve">3 Abs. 1 Satz </w:t>
      </w:r>
      <w:r w:rsidRPr="0062136D">
        <w:t>1</w:t>
      </w:r>
      <w:r w:rsidR="009F1E57">
        <w:t xml:space="preserve"> </w:t>
      </w:r>
      <w:proofErr w:type="spellStart"/>
      <w:r w:rsidRPr="0062136D">
        <w:t>GasNZV</w:t>
      </w:r>
      <w:proofErr w:type="spellEnd"/>
      <w:r w:rsidRPr="0062136D">
        <w:t xml:space="preserve"> einen Ausspeisevertrag, auch in Form eines Lieferantenrahmenvertrages, abschließt.</w:t>
      </w:r>
    </w:p>
    <w:p w14:paraId="00D0482F" w14:textId="77777777" w:rsidR="00E157A6" w:rsidRDefault="00DF612D" w:rsidP="003C2438">
      <w:pPr>
        <w:keepNext/>
        <w:rPr>
          <w:b/>
        </w:rPr>
      </w:pPr>
      <w:bookmarkStart w:id="90" w:name="_Toc284825962"/>
      <w:bookmarkStart w:id="91" w:name="_Toc284875046"/>
      <w:bookmarkStart w:id="92" w:name="_Toc284876624"/>
      <w:bookmarkStart w:id="93" w:name="_Toc284825963"/>
      <w:bookmarkStart w:id="94" w:name="_Toc284875047"/>
      <w:bookmarkStart w:id="95" w:name="_Toc284876625"/>
      <w:bookmarkStart w:id="96" w:name="_Toc285686697"/>
      <w:bookmarkStart w:id="97" w:name="_Toc285686840"/>
      <w:bookmarkStart w:id="98" w:name="_Toc285686698"/>
      <w:bookmarkStart w:id="99" w:name="_Toc285686841"/>
      <w:bookmarkStart w:id="100" w:name="_Toc285686699"/>
      <w:bookmarkStart w:id="101" w:name="_Toc285686842"/>
      <w:bookmarkStart w:id="102" w:name="_Toc170208298"/>
      <w:bookmarkStart w:id="103" w:name="_Toc357091880"/>
      <w:bookmarkStart w:id="104" w:name="_Toc137895354"/>
      <w:bookmarkStart w:id="105" w:name="_Toc140207654"/>
      <w:bookmarkStart w:id="106" w:name="_Toc139688042"/>
      <w:bookmarkStart w:id="107" w:name="_Toc165385230"/>
      <w:bookmarkEnd w:id="90"/>
      <w:bookmarkEnd w:id="91"/>
      <w:bookmarkEnd w:id="92"/>
      <w:bookmarkEnd w:id="93"/>
      <w:bookmarkEnd w:id="94"/>
      <w:bookmarkEnd w:id="95"/>
      <w:bookmarkEnd w:id="96"/>
      <w:bookmarkEnd w:id="97"/>
      <w:bookmarkEnd w:id="98"/>
      <w:bookmarkEnd w:id="99"/>
      <w:bookmarkEnd w:id="100"/>
      <w:bookmarkEnd w:id="101"/>
      <w:bookmarkEnd w:id="102"/>
      <w:r w:rsidRPr="0062136D">
        <w:rPr>
          <w:b/>
        </w:rPr>
        <w:t>Ausspeisepunkt</w:t>
      </w:r>
      <w:bookmarkEnd w:id="103"/>
    </w:p>
    <w:p w14:paraId="516DD9A9" w14:textId="5056A16C" w:rsidR="00E157A6" w:rsidRDefault="00DF612D" w:rsidP="003C2438">
      <w:r w:rsidRPr="0062136D">
        <w:t xml:space="preserve">Ein Punkt </w:t>
      </w:r>
      <w:r w:rsidR="002C656B">
        <w:t xml:space="preserve">im </w:t>
      </w:r>
      <w:r w:rsidRPr="0062136D">
        <w:t xml:space="preserve">Marktgebiet, an dem Gas durch einen Transportkunden aus einem Netz eines Netzbetreibers zur Belieferung von Letztverbrauchern oder zum Zwecke der Einspeicherung entnommen werden bzw. an Grenzübergängen übertragen werden kann. Als Ausspeisepunkt gilt im Fernleitungsnetz auch die Zusammenfassung mehrerer Ausspeisepunkte zu einer Zone gemäß </w:t>
      </w:r>
      <w:r w:rsidRPr="0062136D" w:rsidDel="00815124">
        <w:t>§</w:t>
      </w:r>
      <w:r w:rsidR="00815124">
        <w:t> </w:t>
      </w:r>
      <w:r w:rsidRPr="0062136D">
        <w:t xml:space="preserve">11 Abs. 2 </w:t>
      </w:r>
      <w:proofErr w:type="spellStart"/>
      <w:r w:rsidRPr="0062136D">
        <w:t>GasNZV</w:t>
      </w:r>
      <w:proofErr w:type="spellEnd"/>
      <w:r w:rsidRPr="0062136D">
        <w:t>.</w:t>
      </w:r>
    </w:p>
    <w:p w14:paraId="43C8F6BB" w14:textId="77777777" w:rsidR="0087639B" w:rsidRDefault="0087639B" w:rsidP="0087639B">
      <w:r>
        <w:rPr>
          <w:rFonts w:cs="Arial"/>
        </w:rPr>
        <w:t xml:space="preserve">Gemäß dem Rollenmodell für die Marktkommunikation im deutschen Energiemarkt </w:t>
      </w:r>
      <w:r>
        <w:t>wird der Ausspeisepunkt als ausspeisende Marktlokation bezeichnet.</w:t>
      </w:r>
    </w:p>
    <w:p w14:paraId="54866B23" w14:textId="77777777" w:rsidR="0087639B" w:rsidRDefault="0087639B" w:rsidP="003C2438"/>
    <w:p w14:paraId="7E441723" w14:textId="77777777" w:rsidR="00E157A6" w:rsidRDefault="00DF612D" w:rsidP="003C2438">
      <w:pPr>
        <w:keepNext/>
        <w:rPr>
          <w:b/>
        </w:rPr>
      </w:pPr>
      <w:bookmarkStart w:id="108" w:name="_Toc357091881"/>
      <w:r w:rsidRPr="0062136D">
        <w:rPr>
          <w:b/>
        </w:rPr>
        <w:lastRenderedPageBreak/>
        <w:t>Bilanzkreis</w:t>
      </w:r>
      <w:bookmarkEnd w:id="108"/>
      <w:r w:rsidR="00280BAE">
        <w:rPr>
          <w:b/>
        </w:rPr>
        <w:t xml:space="preserve"> (BK)</w:t>
      </w:r>
    </w:p>
    <w:p w14:paraId="153890DB" w14:textId="77777777" w:rsidR="00E157A6" w:rsidRDefault="00DF612D" w:rsidP="003C2438">
      <w:r w:rsidRPr="0062136D">
        <w:t xml:space="preserve">Die Zusammenfassung von Einspeise- und Ausspeisepunkten, die dem Zweck dient, </w:t>
      </w:r>
      <w:r w:rsidR="004663E8">
        <w:t>Ein</w:t>
      </w:r>
      <w:r w:rsidR="00280BAE">
        <w:t>-</w:t>
      </w:r>
      <w:r w:rsidR="004663E8">
        <w:t>speisemengen</w:t>
      </w:r>
      <w:r w:rsidRPr="0062136D">
        <w:t xml:space="preserve"> und Ausspeisemengen zu saldieren und die Abwicklung von Handelstransak</w:t>
      </w:r>
      <w:r w:rsidR="000C031B">
        <w:t>tionen zu ermöglichen.</w:t>
      </w:r>
    </w:p>
    <w:p w14:paraId="3619CDD8" w14:textId="77777777" w:rsidR="00E157A6" w:rsidRDefault="00DF612D" w:rsidP="003C2438">
      <w:pPr>
        <w:keepNext/>
        <w:rPr>
          <w:b/>
        </w:rPr>
      </w:pPr>
      <w:bookmarkStart w:id="109" w:name="_Toc357091882"/>
      <w:r w:rsidRPr="0062136D">
        <w:rPr>
          <w:b/>
        </w:rPr>
        <w:t>Bilanzkreisnummer</w:t>
      </w:r>
      <w:bookmarkEnd w:id="109"/>
    </w:p>
    <w:p w14:paraId="16FA985C" w14:textId="72347256" w:rsidR="00E157A6" w:rsidRDefault="00DF612D" w:rsidP="003C2438">
      <w:r w:rsidRPr="0062136D">
        <w:t>Eindeutige Nummer, die vo</w:t>
      </w:r>
      <w:r w:rsidR="002C656B">
        <w:t>m</w:t>
      </w:r>
      <w:r w:rsidRPr="0062136D">
        <w:t xml:space="preserve"> Marktgebietsverantwortlichen an einen Bilanzkreisverantwortlichen für einen Bilanzkreis vergeben wird</w:t>
      </w:r>
      <w:r w:rsidR="002C656B">
        <w:t>.</w:t>
      </w:r>
    </w:p>
    <w:p w14:paraId="26B3C070" w14:textId="77777777" w:rsidR="00E157A6" w:rsidRDefault="00DF612D" w:rsidP="003C2438">
      <w:pPr>
        <w:keepNext/>
        <w:rPr>
          <w:b/>
        </w:rPr>
      </w:pPr>
      <w:bookmarkStart w:id="110" w:name="_Toc357091883"/>
      <w:r w:rsidRPr="0062136D">
        <w:rPr>
          <w:b/>
        </w:rPr>
        <w:t>Bilanzkreisverantwortlicher (BKV)</w:t>
      </w:r>
      <w:bookmarkEnd w:id="110"/>
    </w:p>
    <w:p w14:paraId="58EA594F" w14:textId="1421DD20" w:rsidR="00E157A6" w:rsidRDefault="00DF612D" w:rsidP="003C2438">
      <w:r w:rsidRPr="0062136D">
        <w:t>Ist eine natürliche oder juristische Person, die gegenüber dem Marktgebietsverantwortlichen für die Abwicklung des Bilanzkreises verantwortlich ist.</w:t>
      </w:r>
    </w:p>
    <w:p w14:paraId="3C4A3081" w14:textId="77777777" w:rsidR="0087639B" w:rsidRDefault="0087639B" w:rsidP="0087639B">
      <w:pPr>
        <w:autoSpaceDE w:val="0"/>
        <w:autoSpaceDN w:val="0"/>
        <w:adjustRightInd w:val="0"/>
        <w:spacing w:after="0" w:line="240" w:lineRule="auto"/>
        <w:rPr>
          <w:rFonts w:cs="Arial"/>
        </w:rPr>
      </w:pPr>
      <w:r w:rsidRPr="003F6ADF">
        <w:rPr>
          <w:rFonts w:cs="Arial"/>
        </w:rPr>
        <w:t xml:space="preserve">Der Bilanzkreisverantwortliche ist </w:t>
      </w:r>
      <w:r>
        <w:rPr>
          <w:rFonts w:cs="Arial"/>
        </w:rPr>
        <w:t xml:space="preserve">gemäß dem „Rollenmodell für die Marktkommunikation im deutschen Energiemarkt“ </w:t>
      </w:r>
      <w:r w:rsidRPr="003F6ADF">
        <w:rPr>
          <w:rFonts w:cs="Arial"/>
        </w:rPr>
        <w:t>verantwortlich für den energetischen und finanziellen Ausgleich von Bilanzkreisen.</w:t>
      </w:r>
    </w:p>
    <w:p w14:paraId="317116A0" w14:textId="77777777" w:rsidR="00E157A6" w:rsidRDefault="001C3F7A" w:rsidP="003C2438">
      <w:pPr>
        <w:keepNext/>
        <w:rPr>
          <w:b/>
        </w:rPr>
      </w:pPr>
      <w:bookmarkStart w:id="111" w:name="_Toc357091884"/>
      <w:r w:rsidRPr="0062136D">
        <w:rPr>
          <w:b/>
        </w:rPr>
        <w:t>Biogas</w:t>
      </w:r>
      <w:bookmarkEnd w:id="111"/>
    </w:p>
    <w:p w14:paraId="5A7DB351" w14:textId="77777777" w:rsidR="00E157A6" w:rsidRDefault="00DD526F" w:rsidP="003C2438">
      <w:r w:rsidRPr="0062136D">
        <w:t>Biomethan, Gas aus Biomasse, Deponiegas, Klärgas und Grubengas sowie Wasserstoff, der durch Wasserelektrolyse erzeugt worden ist, und synthetisch erzeugtes Methan, wenn der zur Elektrolyse eingesetzte Strom und das zur Methanisierung eingesetzte Kohlendioxid oder Kohlenmonoxid jeweils nachweislich weit überwiegend aus erneuerbaren Energiequellen im Sinne der Richtlinie 2009/28/EG (</w:t>
      </w:r>
      <w:proofErr w:type="spellStart"/>
      <w:r w:rsidRPr="0062136D">
        <w:t>ABl.</w:t>
      </w:r>
      <w:proofErr w:type="spellEnd"/>
      <w:r w:rsidRPr="0062136D">
        <w:t xml:space="preserve"> L 140 vom 5.</w:t>
      </w:r>
      <w:r w:rsidR="0005742D">
        <w:t xml:space="preserve"> Juni </w:t>
      </w:r>
      <w:r w:rsidRPr="0062136D">
        <w:t>2009, S. 16) stammen</w:t>
      </w:r>
      <w:r w:rsidR="002B1266" w:rsidRPr="0062136D">
        <w:t>.</w:t>
      </w:r>
    </w:p>
    <w:p w14:paraId="2355174C" w14:textId="77777777" w:rsidR="00E157A6" w:rsidRDefault="00000573" w:rsidP="003C2438">
      <w:pPr>
        <w:keepNext/>
        <w:rPr>
          <w:b/>
        </w:rPr>
      </w:pPr>
      <w:r w:rsidRPr="00000573">
        <w:rPr>
          <w:b/>
        </w:rPr>
        <w:t>Biogas-Bilanzierungsperiode (BP)</w:t>
      </w:r>
    </w:p>
    <w:p w14:paraId="126B9588" w14:textId="77777777" w:rsidR="00E157A6" w:rsidRDefault="001030FE" w:rsidP="003C2438">
      <w:r w:rsidRPr="001030FE">
        <w:t>Der Bilanzierungszeitraum eines Biogas-BK</w:t>
      </w:r>
      <w:r>
        <w:t xml:space="preserve"> (maximal 12 Monate)</w:t>
      </w:r>
      <w:r w:rsidR="00280BAE">
        <w:t>.</w:t>
      </w:r>
    </w:p>
    <w:p w14:paraId="44542A7E" w14:textId="77777777" w:rsidR="00E157A6" w:rsidRDefault="00A46DAD" w:rsidP="003C2438">
      <w:pPr>
        <w:keepNext/>
        <w:rPr>
          <w:b/>
        </w:rPr>
      </w:pPr>
      <w:bookmarkStart w:id="112" w:name="_Toc357091885"/>
      <w:r>
        <w:rPr>
          <w:b/>
        </w:rPr>
        <w:t>Differenzmengenpreis</w:t>
      </w:r>
    </w:p>
    <w:p w14:paraId="6BEF046E" w14:textId="7A135AAB" w:rsidR="00E157A6" w:rsidRDefault="00A46DAD" w:rsidP="003C2438">
      <w:r w:rsidRPr="00337ACE">
        <w:t>Der tägliche</w:t>
      </w:r>
      <w:r w:rsidR="00280BAE" w:rsidRPr="00337ACE">
        <w:t>,</w:t>
      </w:r>
      <w:r w:rsidRPr="00337ACE">
        <w:t xml:space="preserve"> </w:t>
      </w:r>
      <w:r w:rsidR="002C656B">
        <w:t xml:space="preserve">für das </w:t>
      </w:r>
      <w:r w:rsidRPr="00337ACE">
        <w:t>Marktgebiet gebildete mengengewichtete Gasdurchschnittspreis mit dem Lieferort virtueller Handelspunkt (unter Einbeziehung von Day</w:t>
      </w:r>
      <w:r w:rsidR="00BE4F0A">
        <w:t>-</w:t>
      </w:r>
      <w:proofErr w:type="spellStart"/>
      <w:r w:rsidRPr="00337ACE">
        <w:t>Ahead</w:t>
      </w:r>
      <w:proofErr w:type="spellEnd"/>
      <w:r w:rsidRPr="00337ACE">
        <w:t xml:space="preserve">- und </w:t>
      </w:r>
      <w:proofErr w:type="spellStart"/>
      <w:r w:rsidRPr="00337ACE">
        <w:t>Within</w:t>
      </w:r>
      <w:proofErr w:type="spellEnd"/>
      <w:r w:rsidR="00BE4F0A">
        <w:t>-</w:t>
      </w:r>
      <w:r w:rsidRPr="00337ACE">
        <w:t>Day-Produkten).</w:t>
      </w:r>
    </w:p>
    <w:p w14:paraId="4B89D5F0" w14:textId="77777777" w:rsidR="00E157A6" w:rsidRDefault="00DF612D" w:rsidP="003C2438">
      <w:pPr>
        <w:keepNext/>
        <w:rPr>
          <w:b/>
        </w:rPr>
      </w:pPr>
      <w:r w:rsidRPr="0062136D">
        <w:rPr>
          <w:b/>
        </w:rPr>
        <w:t>Einspeisenetzbetreiber (ENB)</w:t>
      </w:r>
      <w:bookmarkEnd w:id="112"/>
    </w:p>
    <w:p w14:paraId="01E13A46" w14:textId="30ED5F52" w:rsidR="00E157A6" w:rsidRDefault="00DF612D" w:rsidP="003C2438">
      <w:r w:rsidRPr="0062136D">
        <w:t>Netzbetreiber, mi</w:t>
      </w:r>
      <w:r w:rsidR="002E3E8E">
        <w:t xml:space="preserve">t dem der Transportkunde nach </w:t>
      </w:r>
      <w:r w:rsidR="002E3E8E" w:rsidDel="00815124">
        <w:t>§</w:t>
      </w:r>
      <w:r w:rsidR="00815124">
        <w:t> </w:t>
      </w:r>
      <w:r w:rsidR="002E3E8E">
        <w:t xml:space="preserve">3 Abs. 1 Satz 1 </w:t>
      </w:r>
      <w:proofErr w:type="spellStart"/>
      <w:r w:rsidRPr="0062136D">
        <w:t>GasNZV</w:t>
      </w:r>
      <w:proofErr w:type="spellEnd"/>
      <w:r w:rsidRPr="0062136D">
        <w:t xml:space="preserve"> einen </w:t>
      </w:r>
      <w:proofErr w:type="spellStart"/>
      <w:r w:rsidR="004663E8">
        <w:t>Einspei</w:t>
      </w:r>
      <w:r w:rsidR="00B250FB">
        <w:t>-</w:t>
      </w:r>
      <w:r w:rsidR="004663E8">
        <w:t>severtrag</w:t>
      </w:r>
      <w:proofErr w:type="spellEnd"/>
      <w:r w:rsidRPr="0062136D">
        <w:t xml:space="preserve"> abschließt. Dies kann z.</w:t>
      </w:r>
      <w:r w:rsidR="0005742D">
        <w:t> </w:t>
      </w:r>
      <w:r w:rsidRPr="0062136D">
        <w:t xml:space="preserve">B. an Speichern, an LNG-Einspeisungen, inländischen Produktionsanlagen, an Grenzübergängen zu ausländischen Netzen, und </w:t>
      </w:r>
      <w:proofErr w:type="spellStart"/>
      <w:r w:rsidRPr="0062136D">
        <w:t>Biogaseinspeisepunkten</w:t>
      </w:r>
      <w:proofErr w:type="spellEnd"/>
      <w:r w:rsidRPr="0062136D">
        <w:t xml:space="preserve"> bzw. Mischanlagen der Fall sein. Damit kann jeder Netzbetreiber zum ENB werden, sobald die erste Biogasanlage in seinem Netz in Betrieb geht und Gas einspeist.</w:t>
      </w:r>
    </w:p>
    <w:p w14:paraId="388539FD" w14:textId="77777777" w:rsidR="00E157A6" w:rsidRDefault="00DF612D" w:rsidP="003C2438">
      <w:pPr>
        <w:keepNext/>
        <w:rPr>
          <w:b/>
        </w:rPr>
      </w:pPr>
      <w:bookmarkStart w:id="113" w:name="_Toc357091886"/>
      <w:r w:rsidRPr="0062136D">
        <w:rPr>
          <w:b/>
        </w:rPr>
        <w:t>Einspeisepunkt</w:t>
      </w:r>
      <w:bookmarkEnd w:id="113"/>
    </w:p>
    <w:p w14:paraId="6A0E7F58" w14:textId="59079B4E" w:rsidR="00E157A6" w:rsidRDefault="00DF612D" w:rsidP="003C2438">
      <w:r w:rsidRPr="0062136D">
        <w:t xml:space="preserve">Ein Punkt innerhalb </w:t>
      </w:r>
      <w:r w:rsidR="002C656B">
        <w:t>des</w:t>
      </w:r>
      <w:r w:rsidR="002C656B" w:rsidRPr="0062136D">
        <w:t xml:space="preserve"> </w:t>
      </w:r>
      <w:r w:rsidRPr="0062136D">
        <w:t xml:space="preserve">Marktgebietes, an dem Gas durch einen Transportkunden von Grenzübergängen, inländischen </w:t>
      </w:r>
      <w:r w:rsidRPr="0062136D" w:rsidDel="00C2079D">
        <w:t xml:space="preserve">Quellen und </w:t>
      </w:r>
      <w:r w:rsidRPr="0062136D">
        <w:t xml:space="preserve">Produktionsanlagen, LNG-Anlagen, Biogasanlagen oder aus Speichern an einen Netzbetreiber in dessen Netz übergeben werden kann. </w:t>
      </w:r>
      <w:r w:rsidRPr="0062136D">
        <w:lastRenderedPageBreak/>
        <w:t xml:space="preserve">Als Einspeisepunkt gilt im Fernleitungsnetz auch die Zusammenfassung mehrerer Einspeisepunkte zu einer Zone gemäß </w:t>
      </w:r>
      <w:r w:rsidRPr="0062136D" w:rsidDel="00815124">
        <w:t>§</w:t>
      </w:r>
      <w:r w:rsidR="00815124">
        <w:t> </w:t>
      </w:r>
      <w:r w:rsidRPr="0062136D">
        <w:t xml:space="preserve">11 Abs. 2 </w:t>
      </w:r>
      <w:proofErr w:type="spellStart"/>
      <w:r w:rsidRPr="0062136D">
        <w:t>GasNZV</w:t>
      </w:r>
      <w:proofErr w:type="spellEnd"/>
      <w:r w:rsidRPr="0062136D">
        <w:t>.</w:t>
      </w:r>
    </w:p>
    <w:p w14:paraId="3977B460" w14:textId="77777777" w:rsidR="0087639B" w:rsidRDefault="0087639B" w:rsidP="0087639B">
      <w:r>
        <w:t>G</w:t>
      </w:r>
      <w:r>
        <w:rPr>
          <w:rFonts w:cs="Arial"/>
        </w:rPr>
        <w:t xml:space="preserve">emäß dem „Rollenmodell für die Marktkommunikation im deutschen Energiemarkt“ </w:t>
      </w:r>
      <w:r>
        <w:t>wird der Einspeisepunkt als einspeisende Marktlokation bezeichnet.</w:t>
      </w:r>
    </w:p>
    <w:p w14:paraId="49383B0B" w14:textId="77777777" w:rsidR="00E157A6" w:rsidRDefault="00DF612D" w:rsidP="003C2438">
      <w:pPr>
        <w:keepNext/>
        <w:rPr>
          <w:b/>
        </w:rPr>
      </w:pPr>
      <w:bookmarkStart w:id="114" w:name="_Toc357091887"/>
      <w:r w:rsidRPr="0062136D">
        <w:rPr>
          <w:b/>
        </w:rPr>
        <w:t>Fernleitungsnetzbetreiber (FNB)</w:t>
      </w:r>
      <w:bookmarkEnd w:id="114"/>
    </w:p>
    <w:p w14:paraId="0D3DFA4D" w14:textId="77777777" w:rsidR="00E157A6" w:rsidRDefault="00DF612D" w:rsidP="003C2438">
      <w:r w:rsidRPr="0062136D">
        <w:t>Ein Netzbetreiber, bei dem für den Netzzugang Entry- oder Exit-Kapazitäten gebucht werden müssen. Dieser Netzbetreiber wendet nicht das Netzpartizipationsmodell an.</w:t>
      </w:r>
    </w:p>
    <w:p w14:paraId="1DB825A1" w14:textId="77777777" w:rsidR="00E157A6" w:rsidRDefault="00DF612D" w:rsidP="003C2438">
      <w:pPr>
        <w:keepNext/>
        <w:rPr>
          <w:b/>
        </w:rPr>
      </w:pPr>
      <w:bookmarkStart w:id="115" w:name="_Toc357091890"/>
      <w:proofErr w:type="spellStart"/>
      <w:r w:rsidRPr="0062136D">
        <w:rPr>
          <w:b/>
        </w:rPr>
        <w:t>Gastag</w:t>
      </w:r>
      <w:bookmarkEnd w:id="115"/>
      <w:proofErr w:type="spellEnd"/>
    </w:p>
    <w:p w14:paraId="3C885A2B" w14:textId="77777777" w:rsidR="00E157A6" w:rsidRDefault="00DF612D" w:rsidP="003C2438">
      <w:r w:rsidRPr="0062136D">
        <w:t xml:space="preserve">Der </w:t>
      </w:r>
      <w:proofErr w:type="spellStart"/>
      <w:r w:rsidRPr="0062136D">
        <w:t>Gastag</w:t>
      </w:r>
      <w:proofErr w:type="spellEnd"/>
      <w:r w:rsidRPr="0062136D">
        <w:t xml:space="preserve"> beginnt um 06:00 Uhr und endet um 06:00 Uhr des folgenden Tages.</w:t>
      </w:r>
      <w:bookmarkStart w:id="116" w:name="_Toc357091891"/>
    </w:p>
    <w:p w14:paraId="1A172833" w14:textId="77777777" w:rsidR="00E157A6" w:rsidRDefault="00DF612D" w:rsidP="003C2438">
      <w:pPr>
        <w:keepNext/>
        <w:rPr>
          <w:b/>
        </w:rPr>
      </w:pPr>
      <w:bookmarkStart w:id="117" w:name="_Toc357091896"/>
      <w:bookmarkEnd w:id="116"/>
      <w:r w:rsidRPr="0062136D">
        <w:rPr>
          <w:b/>
        </w:rPr>
        <w:t>Grenzübergangspunkt (GÜP)</w:t>
      </w:r>
      <w:bookmarkEnd w:id="117"/>
    </w:p>
    <w:p w14:paraId="056DE028" w14:textId="77777777" w:rsidR="00E157A6" w:rsidRDefault="00DF612D" w:rsidP="003C2438">
      <w:r w:rsidRPr="0062136D">
        <w:t>Netzkopplungspunkt zwischen zwei Netzbetreibern, die unterschiedlichen Ländern zugeordnet sind.</w:t>
      </w:r>
    </w:p>
    <w:p w14:paraId="633D17C6" w14:textId="77777777" w:rsidR="00E157A6" w:rsidRDefault="00DF612D" w:rsidP="003C2438">
      <w:pPr>
        <w:keepNext/>
        <w:rPr>
          <w:b/>
        </w:rPr>
      </w:pPr>
      <w:bookmarkStart w:id="118" w:name="_Toc357091897"/>
      <w:r w:rsidRPr="0062136D">
        <w:rPr>
          <w:b/>
        </w:rPr>
        <w:t>Kapazität</w:t>
      </w:r>
      <w:bookmarkEnd w:id="118"/>
    </w:p>
    <w:p w14:paraId="39C5FE71" w14:textId="6A08F33D" w:rsidR="00E157A6" w:rsidRDefault="00DF612D" w:rsidP="003C2438">
      <w:r w:rsidRPr="0062136D">
        <w:t xml:space="preserve">Maximale stündliche Flussrate an einem Ein- oder Ausspeisepunkt in </w:t>
      </w:r>
      <w:r w:rsidR="00C908F5" w:rsidRPr="0062136D">
        <w:t>kWh</w:t>
      </w:r>
      <w:r w:rsidR="00406396">
        <w:t>/h</w:t>
      </w:r>
      <w:r w:rsidR="00C908F5" w:rsidRPr="0062136D">
        <w:t>.</w:t>
      </w:r>
    </w:p>
    <w:p w14:paraId="6051157B" w14:textId="77777777" w:rsidR="0087639B" w:rsidRDefault="0087639B" w:rsidP="0087639B">
      <w:r>
        <w:t>Kapazitätsnutzer (KN)</w:t>
      </w:r>
    </w:p>
    <w:p w14:paraId="21B1EAB9" w14:textId="77777777" w:rsidR="0087639B" w:rsidRDefault="0087639B" w:rsidP="0087639B">
      <w:r>
        <w:t>G</w:t>
      </w:r>
      <w:r>
        <w:rPr>
          <w:rFonts w:cs="Arial"/>
        </w:rPr>
        <w:t xml:space="preserve">emäß dem „Rollenmodell für die Marktkommunikation im deutschen Energiemarkt“ </w:t>
      </w:r>
      <w:r>
        <w:t xml:space="preserve">erwirbt der Kapazitätsnutzer Kapazitäten für den Gastransport an buchbaren Punkten in einem </w:t>
      </w:r>
      <w:proofErr w:type="spellStart"/>
      <w:r>
        <w:t>entry</w:t>
      </w:r>
      <w:proofErr w:type="spellEnd"/>
      <w:r>
        <w:t>-exit-System und ordnet diese Bilanzkreisen zu.</w:t>
      </w:r>
    </w:p>
    <w:p w14:paraId="7BBF0406" w14:textId="77777777" w:rsidR="00E157A6" w:rsidRDefault="00DF612D" w:rsidP="003C2438">
      <w:pPr>
        <w:keepNext/>
        <w:rPr>
          <w:b/>
        </w:rPr>
      </w:pPr>
      <w:bookmarkStart w:id="119" w:name="_Toc357091898"/>
      <w:r w:rsidRPr="0062136D">
        <w:rPr>
          <w:b/>
        </w:rPr>
        <w:t>Letztverbraucher (LV)</w:t>
      </w:r>
      <w:bookmarkEnd w:id="119"/>
    </w:p>
    <w:p w14:paraId="6A0A4540" w14:textId="7C299416" w:rsidR="00E157A6" w:rsidRDefault="00DF612D" w:rsidP="003C2438">
      <w:r w:rsidRPr="0062136D">
        <w:t>Natürliche oder juristische Personen, die Energie für den eigenen Verbrauch kaufen.</w:t>
      </w:r>
      <w:bookmarkStart w:id="120" w:name="_Toc357091899"/>
    </w:p>
    <w:p w14:paraId="270F97D2" w14:textId="47936229" w:rsidR="007E6C6F" w:rsidRDefault="009B69B3" w:rsidP="003C2438">
      <w:pPr>
        <w:rPr>
          <w:b/>
        </w:rPr>
      </w:pPr>
      <w:r>
        <w:rPr>
          <w:b/>
        </w:rPr>
        <w:t>Lieferant (LF)</w:t>
      </w:r>
    </w:p>
    <w:p w14:paraId="1C401886" w14:textId="3A0E988E" w:rsidR="009B69B3" w:rsidRDefault="00551269" w:rsidP="003C2438">
      <w:pPr>
        <w:rPr>
          <w:rFonts w:cs="Arial"/>
        </w:rPr>
      </w:pPr>
      <w:r w:rsidRPr="5F159DC6">
        <w:rPr>
          <w:rFonts w:cs="Arial"/>
          <w:color w:val="000000" w:themeColor="text1"/>
        </w:rPr>
        <w:t>Gasl</w:t>
      </w:r>
      <w:r w:rsidR="00ED613D" w:rsidRPr="5F159DC6">
        <w:rPr>
          <w:rFonts w:cs="Arial"/>
          <w:color w:val="000000" w:themeColor="text1"/>
        </w:rPr>
        <w:t xml:space="preserve">ieferant nach </w:t>
      </w:r>
      <w:r w:rsidR="00ED613D" w:rsidRPr="5F159DC6" w:rsidDel="00815124">
        <w:rPr>
          <w:rFonts w:cs="Arial"/>
          <w:color w:val="000000" w:themeColor="text1"/>
        </w:rPr>
        <w:t>§</w:t>
      </w:r>
      <w:r w:rsidR="00815124" w:rsidRPr="5F159DC6">
        <w:rPr>
          <w:rFonts w:cs="Arial"/>
          <w:color w:val="000000" w:themeColor="text1"/>
        </w:rPr>
        <w:t> </w:t>
      </w:r>
      <w:r w:rsidR="00ED613D" w:rsidRPr="5F159DC6">
        <w:rPr>
          <w:rFonts w:cs="Arial"/>
          <w:color w:val="000000" w:themeColor="text1"/>
        </w:rPr>
        <w:t>3 Nr</w:t>
      </w:r>
      <w:r w:rsidRPr="5F159DC6">
        <w:rPr>
          <w:rFonts w:cs="Arial"/>
          <w:color w:val="000000" w:themeColor="text1"/>
        </w:rPr>
        <w:t>.</w:t>
      </w:r>
      <w:r w:rsidR="00ED613D" w:rsidRPr="5F159DC6">
        <w:rPr>
          <w:rFonts w:cs="Arial"/>
          <w:color w:val="000000" w:themeColor="text1"/>
        </w:rPr>
        <w:t xml:space="preserve"> 19b EnWG ist eine natürliche und juristische Person, deren Geschäftstätigkeit ganz oder teilweise auf den Vertrieb von Gas zum Zwecke der Belieferung von Letztverbrauchern ausgerichtet ist. </w:t>
      </w:r>
    </w:p>
    <w:p w14:paraId="2B3B5124" w14:textId="77777777" w:rsidR="0087639B" w:rsidRPr="003F6ADF" w:rsidRDefault="0087639B" w:rsidP="0087639B">
      <w:r>
        <w:rPr>
          <w:rFonts w:cs="Arial"/>
        </w:rPr>
        <w:t xml:space="preserve">Gemäß dem „Rollenmodell für die Marktkommunikation im deutschen Energiemarkt“ </w:t>
      </w:r>
      <w:r>
        <w:t xml:space="preserve">ist der </w:t>
      </w:r>
      <w:r w:rsidRPr="003F6ADF">
        <w:t>Lieferant verantwortlich für die Belieferung von Marktlokationen, die Energie</w:t>
      </w:r>
      <w:r>
        <w:t xml:space="preserve"> </w:t>
      </w:r>
      <w:r w:rsidRPr="003F6ADF">
        <w:t>verbrauchen und die Abnahme von Energie von Marktlokationen, die Energie erzeugen</w:t>
      </w:r>
      <w:r>
        <w:t>. Weiter i</w:t>
      </w:r>
      <w:r>
        <w:rPr>
          <w:rFonts w:cs="Arial"/>
        </w:rPr>
        <w:t>st d</w:t>
      </w:r>
      <w:r w:rsidRPr="003F6ADF">
        <w:t>er Lieferant finanziell verantwortlich</w:t>
      </w:r>
      <w:r>
        <w:t xml:space="preserve"> </w:t>
      </w:r>
      <w:r w:rsidRPr="003F6ADF">
        <w:t>für den Ausgleich zwischen den bilanzierten</w:t>
      </w:r>
      <w:r>
        <w:t xml:space="preserve"> </w:t>
      </w:r>
      <w:r w:rsidRPr="003F6ADF">
        <w:t>und gemessenen Energiemengen von</w:t>
      </w:r>
      <w:r>
        <w:t xml:space="preserve"> </w:t>
      </w:r>
      <w:r w:rsidRPr="003F6ADF">
        <w:t>den nach Standardlastprofil bilanzierten</w:t>
      </w:r>
      <w:r>
        <w:t xml:space="preserve"> </w:t>
      </w:r>
      <w:r w:rsidRPr="003F6ADF">
        <w:t>Marktlokationen.</w:t>
      </w:r>
    </w:p>
    <w:p w14:paraId="61F9A039" w14:textId="77777777" w:rsidR="005453A8" w:rsidRPr="000F19EB" w:rsidRDefault="005453A8" w:rsidP="003C2438">
      <w:pPr>
        <w:rPr>
          <w:b/>
        </w:rPr>
      </w:pPr>
      <w:r w:rsidRPr="000F19EB">
        <w:rPr>
          <w:b/>
        </w:rPr>
        <w:t>Liefermonat</w:t>
      </w:r>
    </w:p>
    <w:p w14:paraId="408498DA" w14:textId="77777777" w:rsidR="005453A8" w:rsidRDefault="005453A8" w:rsidP="003C2438">
      <w:r>
        <w:t>Der Monat M ist der Liefermonat.</w:t>
      </w:r>
      <w:r w:rsidRPr="001C70D8">
        <w:t xml:space="preserve"> </w:t>
      </w:r>
      <w:r w:rsidRPr="00243ED4">
        <w:rPr>
          <w:bCs/>
        </w:rPr>
        <w:t>Der Liefermonat umfasst den Zeitraum vom 1.Tag</w:t>
      </w:r>
      <w:r>
        <w:rPr>
          <w:bCs/>
        </w:rPr>
        <w:t>,</w:t>
      </w:r>
      <w:r w:rsidRPr="00243ED4">
        <w:rPr>
          <w:bCs/>
        </w:rPr>
        <w:t xml:space="preserve"> 06:00 Uhr des Liefermonats bis zum 1.Tag</w:t>
      </w:r>
      <w:r>
        <w:rPr>
          <w:bCs/>
        </w:rPr>
        <w:t>,</w:t>
      </w:r>
      <w:r w:rsidRPr="00243ED4">
        <w:rPr>
          <w:bCs/>
        </w:rPr>
        <w:t xml:space="preserve"> 06:00 Uhr des Folgemonats. Bei untermonatlichen Lieferanmeldungen beginnt der Liefermonat am 1.Tag der Belieferung</w:t>
      </w:r>
      <w:r>
        <w:rPr>
          <w:bCs/>
        </w:rPr>
        <w:t>,</w:t>
      </w:r>
      <w:r w:rsidRPr="00243ED4">
        <w:rPr>
          <w:bCs/>
        </w:rPr>
        <w:t xml:space="preserve"> 06:00 Uhr. Bei untermonatlichen Lieferabmeldungen endet der Liefermonat um 06:00 </w:t>
      </w:r>
      <w:r>
        <w:rPr>
          <w:bCs/>
        </w:rPr>
        <w:t xml:space="preserve">Uhr </w:t>
      </w:r>
      <w:r w:rsidRPr="00243ED4">
        <w:rPr>
          <w:bCs/>
        </w:rPr>
        <w:t>des Folgetages.</w:t>
      </w:r>
    </w:p>
    <w:p w14:paraId="39E8BD7C" w14:textId="77777777" w:rsidR="00E157A6" w:rsidRDefault="00DF612D" w:rsidP="003C2438">
      <w:pPr>
        <w:keepNext/>
        <w:rPr>
          <w:b/>
        </w:rPr>
      </w:pPr>
      <w:r w:rsidRPr="0062136D">
        <w:rPr>
          <w:b/>
        </w:rPr>
        <w:lastRenderedPageBreak/>
        <w:t>Marktgebiet</w:t>
      </w:r>
      <w:r w:rsidR="00170F6C" w:rsidRPr="0062136D">
        <w:rPr>
          <w:b/>
        </w:rPr>
        <w:t xml:space="preserve"> (MG)</w:t>
      </w:r>
      <w:bookmarkEnd w:id="120"/>
    </w:p>
    <w:p w14:paraId="30BA132B" w14:textId="77777777" w:rsidR="00A91627" w:rsidRDefault="00DF612D" w:rsidP="003C2438">
      <w:r w:rsidRPr="0062136D">
        <w:t>Zusammenfassung gleichgelagerter und nachgelagerter Netze, in denen Transportkunden gebuchte Kapazitäten frei zuordnen, Gas an Letztverbraucher ausspeisen und in andere Bilanzkreise übertragen können.</w:t>
      </w:r>
    </w:p>
    <w:p w14:paraId="74164ABC" w14:textId="77777777" w:rsidR="00E157A6" w:rsidRDefault="00DF612D" w:rsidP="003C2438">
      <w:pPr>
        <w:keepNext/>
        <w:rPr>
          <w:b/>
        </w:rPr>
      </w:pPr>
      <w:bookmarkStart w:id="121" w:name="_Toc357091901"/>
      <w:r w:rsidRPr="0062136D">
        <w:rPr>
          <w:b/>
        </w:rPr>
        <w:t>Marktgebietsverantwortlicher (MGV)</w:t>
      </w:r>
      <w:bookmarkEnd w:id="121"/>
    </w:p>
    <w:p w14:paraId="163DF4E0" w14:textId="67C99CCD" w:rsidR="00E157A6" w:rsidRDefault="00667C82" w:rsidP="003C2438">
      <w:r>
        <w:t xml:space="preserve">Der MGV </w:t>
      </w:r>
      <w:r w:rsidR="00DF612D" w:rsidRPr="0062136D">
        <w:t xml:space="preserve">ist die von den </w:t>
      </w:r>
      <w:r w:rsidR="0071541D">
        <w:t>FNB</w:t>
      </w:r>
      <w:r w:rsidR="0071541D" w:rsidRPr="0062136D">
        <w:t xml:space="preserve"> </w:t>
      </w:r>
      <w:r w:rsidR="00DF612D" w:rsidRPr="0062136D">
        <w:t xml:space="preserve">bestimmte natürliche oder juristische Person, die </w:t>
      </w:r>
      <w:r w:rsidR="002C656B">
        <w:t>im</w:t>
      </w:r>
      <w:r w:rsidR="00DF612D" w:rsidRPr="0062136D">
        <w:t xml:space="preserve"> Marktgebiet Leistungen erbringt, die zur Verwirklichung einer effizienten Abwicklung des Gasnetzzugangs </w:t>
      </w:r>
      <w:r w:rsidR="00C45ADB">
        <w:t>im</w:t>
      </w:r>
      <w:r w:rsidR="00DF612D" w:rsidRPr="0062136D">
        <w:t xml:space="preserve"> Marktgebiet durch eine Person zu erbringen sind.</w:t>
      </w:r>
    </w:p>
    <w:p w14:paraId="61E80279" w14:textId="77777777" w:rsidR="00E157A6" w:rsidRDefault="00DF612D" w:rsidP="003C2438">
      <w:r w:rsidRPr="0062136D">
        <w:t>Der MGV besitzt keine physischen Ein- oder Ausspeisepunkte. Allein der virtuelle Handelspunkt (VHP) befindet sich im Verantwortungsbereich des MGV. Darüber hinaus ist der MGV für die Beschaffung und die Steuerung des Einsatzes von Regelenergie sowie für die Bilanzkreisabwicklung des Marktgebietes zuständig.</w:t>
      </w:r>
    </w:p>
    <w:p w14:paraId="79403D33" w14:textId="42CEEEB4" w:rsidR="0045393A" w:rsidRDefault="0045393A" w:rsidP="0045393A">
      <w:pPr>
        <w:autoSpaceDE w:val="0"/>
        <w:autoSpaceDN w:val="0"/>
        <w:adjustRightInd w:val="0"/>
        <w:spacing w:after="0" w:line="240" w:lineRule="auto"/>
        <w:rPr>
          <w:rFonts w:cs="Arial"/>
          <w:color w:val="000000"/>
        </w:rPr>
      </w:pPr>
      <w:r w:rsidRPr="00462D74">
        <w:rPr>
          <w:b/>
        </w:rPr>
        <w:t>Marktlokation</w:t>
      </w:r>
      <w:r w:rsidR="00C83A56">
        <w:rPr>
          <w:rStyle w:val="Funotenzeichen"/>
          <w:b/>
        </w:rPr>
        <w:footnoteReference w:id="2"/>
      </w:r>
      <w:r w:rsidR="00472455">
        <w:rPr>
          <w:rFonts w:cs="Arial"/>
          <w:color w:val="000000"/>
        </w:rPr>
        <w:t xml:space="preserve">In einer </w:t>
      </w:r>
      <w:r w:rsidR="00472455" w:rsidRPr="00462D74">
        <w:rPr>
          <w:rFonts w:cs="Arial"/>
          <w:color w:val="000000"/>
        </w:rPr>
        <w:t>Marktlokation wird Energie entweder erzeugt oder verbraucht. Das Objekt ist mit mindestens einer Leitung mit einem Netz verbunden.</w:t>
      </w:r>
    </w:p>
    <w:p w14:paraId="3078D6DF" w14:textId="77777777" w:rsidR="00E9676D" w:rsidRDefault="00E9676D" w:rsidP="0045393A">
      <w:pPr>
        <w:autoSpaceDE w:val="0"/>
        <w:autoSpaceDN w:val="0"/>
        <w:adjustRightInd w:val="0"/>
        <w:spacing w:after="0" w:line="240" w:lineRule="auto"/>
        <w:rPr>
          <w:b/>
        </w:rPr>
      </w:pPr>
    </w:p>
    <w:p w14:paraId="26D800E8" w14:textId="78E110F4" w:rsidR="00613D27" w:rsidRDefault="0045393A" w:rsidP="0045393A">
      <w:pPr>
        <w:keepNext/>
        <w:rPr>
          <w:b/>
        </w:rPr>
      </w:pPr>
      <w:r w:rsidRPr="00462D74">
        <w:rPr>
          <w:b/>
        </w:rPr>
        <w:t>M</w:t>
      </w:r>
      <w:r>
        <w:rPr>
          <w:b/>
        </w:rPr>
        <w:t>esslokation</w:t>
      </w:r>
      <w:r w:rsidR="00C83A56">
        <w:rPr>
          <w:rStyle w:val="Funotenzeichen"/>
          <w:b/>
        </w:rPr>
        <w:footnoteReference w:id="3"/>
      </w:r>
    </w:p>
    <w:p w14:paraId="47A77A3B" w14:textId="77777777" w:rsidR="00472455" w:rsidRPr="0001596E" w:rsidRDefault="00472455" w:rsidP="0001596E">
      <w:r w:rsidRPr="0001596E">
        <w:t>Eine Messlokation ist eine Lokation, an der Energie gemessen wird und die alle technischen Einrichtungen beinhaltet, die zur Ermittlung und ggf. Übermittlung der Messwerte erforderlich sind.</w:t>
      </w:r>
      <w:r w:rsidR="00E9676D" w:rsidRPr="0001596E">
        <w:t xml:space="preserve"> </w:t>
      </w:r>
      <w:r w:rsidRPr="0001596E">
        <w:t>Zusatzinformation: In einer Messlokation wird jede relevante physikalische Größe zu einem Zeitpunkt maximal einmal ermittelt.</w:t>
      </w:r>
    </w:p>
    <w:p w14:paraId="653DA4FF" w14:textId="77777777" w:rsidR="00E157A6" w:rsidRDefault="00DF612D" w:rsidP="003C2438">
      <w:pPr>
        <w:keepNext/>
        <w:rPr>
          <w:b/>
        </w:rPr>
      </w:pPr>
      <w:bookmarkStart w:id="122" w:name="_Toc357091903"/>
      <w:r w:rsidRPr="0062136D">
        <w:rPr>
          <w:b/>
        </w:rPr>
        <w:t>Netzbetreiber (NB)</w:t>
      </w:r>
      <w:bookmarkEnd w:id="122"/>
    </w:p>
    <w:p w14:paraId="08EFBF4E" w14:textId="77777777" w:rsidR="00E157A6" w:rsidRDefault="004663E8" w:rsidP="003C2438">
      <w:r>
        <w:t>Netzbetreiber</w:t>
      </w:r>
      <w:r w:rsidR="00DF612D" w:rsidRPr="0062136D">
        <w:t>, mit dem der Transportkunde einen Ein- oder Ausspeisevertrag bzw. Lieferantenrahmenvertrag abschließt.</w:t>
      </w:r>
    </w:p>
    <w:p w14:paraId="708ABFB1" w14:textId="77777777" w:rsidR="00E157A6" w:rsidRDefault="00DF612D" w:rsidP="003C2438">
      <w:pPr>
        <w:keepNext/>
        <w:rPr>
          <w:b/>
        </w:rPr>
      </w:pPr>
      <w:bookmarkStart w:id="123" w:name="_Toc357091904"/>
      <w:r w:rsidRPr="0062136D">
        <w:rPr>
          <w:b/>
        </w:rPr>
        <w:lastRenderedPageBreak/>
        <w:t>Netzkopplungspunkt (NKP)</w:t>
      </w:r>
      <w:bookmarkEnd w:id="123"/>
    </w:p>
    <w:p w14:paraId="15E8D786" w14:textId="77777777" w:rsidR="00E157A6" w:rsidRDefault="00DF612D" w:rsidP="003C2438">
      <w:r w:rsidRPr="0062136D">
        <w:t>Verbindet zwei Gasnetze miteinander.</w:t>
      </w:r>
    </w:p>
    <w:p w14:paraId="20A0EAA7" w14:textId="17A8518D" w:rsidR="00462D74" w:rsidRPr="00462D74" w:rsidRDefault="00462D74" w:rsidP="00F5231A">
      <w:pPr>
        <w:keepNext/>
        <w:rPr>
          <w:b/>
        </w:rPr>
      </w:pPr>
      <w:r w:rsidRPr="00462D74">
        <w:rPr>
          <w:b/>
        </w:rPr>
        <w:t>Netzkonto</w:t>
      </w:r>
    </w:p>
    <w:p w14:paraId="5856BA45" w14:textId="03AE55B2" w:rsidR="00462D74" w:rsidRPr="00462D74" w:rsidRDefault="001F19E1" w:rsidP="00F5231A">
      <w:pPr>
        <w:autoSpaceDE w:val="0"/>
        <w:autoSpaceDN w:val="0"/>
        <w:adjustRightInd w:val="0"/>
        <w:rPr>
          <w:rFonts w:cs="Arial"/>
          <w:color w:val="000000"/>
        </w:rPr>
      </w:pPr>
      <w:r w:rsidRPr="001F19E1">
        <w:rPr>
          <w:rFonts w:cs="Arial"/>
          <w:color w:val="000000"/>
        </w:rPr>
        <w:t>Im Netzkonto werden auf Tagesbasis alle Einspeisemengen in ein Netz den allokierten Ausspeisemengen zu Letztverbrauchern und Übergaben in nachgelagerte Netze, Speicher, und in ausländische Netze aus diesem Netz gegenübergestellt</w:t>
      </w:r>
      <w:r w:rsidR="00462D74" w:rsidRPr="00462D74">
        <w:rPr>
          <w:rFonts w:cs="Arial"/>
          <w:color w:val="000000"/>
        </w:rPr>
        <w:t>.</w:t>
      </w:r>
    </w:p>
    <w:p w14:paraId="1234CC59" w14:textId="77777777" w:rsidR="00462D74" w:rsidRDefault="00462D74" w:rsidP="00F5231A">
      <w:r w:rsidRPr="00462D74">
        <w:rPr>
          <w:rFonts w:cs="Arial"/>
          <w:i/>
          <w:iCs/>
          <w:color w:val="000000"/>
        </w:rPr>
        <w:t>Zusatzinformation</w:t>
      </w:r>
      <w:r w:rsidRPr="00462D74">
        <w:rPr>
          <w:rFonts w:cs="Arial"/>
          <w:color w:val="000000"/>
        </w:rPr>
        <w:t xml:space="preserve">: </w:t>
      </w:r>
      <w:r w:rsidR="00610CA1">
        <w:rPr>
          <w:rFonts w:cs="Arial"/>
          <w:color w:val="000000"/>
        </w:rPr>
        <w:t xml:space="preserve">Der MGV führt für jeden Netzbetreiber </w:t>
      </w:r>
      <w:r w:rsidRPr="00462D74">
        <w:rPr>
          <w:rFonts w:cs="Arial"/>
          <w:color w:val="000000"/>
        </w:rPr>
        <w:t>für jede Gasqualität ein Netzkonto</w:t>
      </w:r>
      <w:r>
        <w:rPr>
          <w:rFonts w:cs="Arial"/>
          <w:color w:val="000000"/>
        </w:rPr>
        <w:t>.</w:t>
      </w:r>
    </w:p>
    <w:p w14:paraId="0E903FA9" w14:textId="77777777" w:rsidR="003A5C09" w:rsidRDefault="004E1D35">
      <w:pPr>
        <w:keepNext/>
        <w:rPr>
          <w:b/>
        </w:rPr>
      </w:pPr>
      <w:r>
        <w:rPr>
          <w:b/>
        </w:rPr>
        <w:t>Netzkonto</w:t>
      </w:r>
      <w:r w:rsidR="00BB0D67" w:rsidRPr="00BB0D67">
        <w:rPr>
          <w:b/>
        </w:rPr>
        <w:t>-Bilanzierungsobjekt</w:t>
      </w:r>
      <w:r>
        <w:rPr>
          <w:b/>
        </w:rPr>
        <w:t xml:space="preserve"> (NKBO)</w:t>
      </w:r>
    </w:p>
    <w:p w14:paraId="4EE6FB41" w14:textId="2F4D3FC0" w:rsidR="004E1D35" w:rsidRDefault="004E1D35" w:rsidP="003C2438">
      <w:r>
        <w:t>Ein Netzkonto-Bilanzierungsobjekt wird eingesetzt um Netzpufferfahrweisen und/oder OBA bei der Netzkontoallokation zu berücksichtigen.</w:t>
      </w:r>
    </w:p>
    <w:p w14:paraId="0E41C3AF" w14:textId="77777777" w:rsidR="00E157A6" w:rsidRDefault="00DF612D" w:rsidP="003C2438">
      <w:pPr>
        <w:keepNext/>
        <w:rPr>
          <w:b/>
        </w:rPr>
      </w:pPr>
      <w:bookmarkStart w:id="124" w:name="_Toc357091905"/>
      <w:r w:rsidRPr="0062136D">
        <w:rPr>
          <w:b/>
        </w:rPr>
        <w:t>Nominierung</w:t>
      </w:r>
      <w:bookmarkEnd w:id="124"/>
    </w:p>
    <w:p w14:paraId="0BFCC69A" w14:textId="77777777" w:rsidR="00E157A6" w:rsidRDefault="00DF612D" w:rsidP="003C2438">
      <w:r w:rsidRPr="0062136D">
        <w:t xml:space="preserve">Anmeldung über die innerhalb bestimmter Zeitspannen zu übernehmenden bzw. </w:t>
      </w:r>
      <w:r w:rsidR="002926D0">
        <w:t xml:space="preserve">zu </w:t>
      </w:r>
      <w:r w:rsidRPr="0062136D">
        <w:t xml:space="preserve">übergebenden Gasmenge in </w:t>
      </w:r>
      <w:bookmarkStart w:id="125" w:name="_Toc357091906"/>
      <w:r w:rsidR="00272156" w:rsidRPr="0062136D">
        <w:t>kWh</w:t>
      </w:r>
      <w:r w:rsidR="00272156">
        <w:t>/h</w:t>
      </w:r>
      <w:r w:rsidR="00272156" w:rsidRPr="0062136D">
        <w:t>.</w:t>
      </w:r>
    </w:p>
    <w:p w14:paraId="7B5BB3FE" w14:textId="77777777" w:rsidR="00E157A6" w:rsidRDefault="00DF612D" w:rsidP="003C2438">
      <w:pPr>
        <w:keepNext/>
        <w:rPr>
          <w:b/>
        </w:rPr>
      </w:pPr>
      <w:r w:rsidRPr="0062136D">
        <w:rPr>
          <w:b/>
        </w:rPr>
        <w:t xml:space="preserve">Operational </w:t>
      </w:r>
      <w:proofErr w:type="spellStart"/>
      <w:r w:rsidRPr="0062136D">
        <w:rPr>
          <w:b/>
        </w:rPr>
        <w:t>Balancing</w:t>
      </w:r>
      <w:proofErr w:type="spellEnd"/>
      <w:r w:rsidRPr="0062136D">
        <w:rPr>
          <w:b/>
        </w:rPr>
        <w:t xml:space="preserve"> Account (OBA)</w:t>
      </w:r>
      <w:bookmarkEnd w:id="125"/>
    </w:p>
    <w:p w14:paraId="0815245E" w14:textId="77777777" w:rsidR="00E157A6" w:rsidRDefault="00950EFA" w:rsidP="003C2438">
      <w:r>
        <w:t xml:space="preserve">Die </w:t>
      </w:r>
      <w:r w:rsidR="00DF612D" w:rsidRPr="0062136D">
        <w:t xml:space="preserve">Differenzen zwischen der Summe der stündlich gemessenen Gasmengen an einem Punkt und der Summe der für diese Stunde allokierten Gasmengen an diesem Punkt werden in einem „Operational </w:t>
      </w:r>
      <w:proofErr w:type="spellStart"/>
      <w:r w:rsidR="00DF612D" w:rsidRPr="0062136D">
        <w:t>Balancing</w:t>
      </w:r>
      <w:proofErr w:type="spellEnd"/>
      <w:r w:rsidR="00DF612D" w:rsidRPr="0062136D">
        <w:t xml:space="preserve"> Account" (OBA) laufend fortgeschrieben. Dieses OBA wird zwischen zwei angrenzenden Netzbetreibern vereinbart ("Operating </w:t>
      </w:r>
      <w:proofErr w:type="spellStart"/>
      <w:r w:rsidR="00DF612D" w:rsidRPr="0062136D">
        <w:t>Balancing</w:t>
      </w:r>
      <w:proofErr w:type="spellEnd"/>
      <w:r w:rsidR="00DF612D" w:rsidRPr="0062136D">
        <w:t xml:space="preserve"> Agreement"). Ein OBA wird auch an mengengesteuerten Anschlusspunkten zwischen Infrastrukturbetreiber und angrenzende</w:t>
      </w:r>
      <w:r w:rsidR="004663E8">
        <w:t>n</w:t>
      </w:r>
      <w:r w:rsidR="00DF612D" w:rsidRPr="0062136D">
        <w:t xml:space="preserve"> Netzbetreiber vereinbart, wenn das Allokationsverfahren „allokiert wie nominiert“ Anwendung findet.</w:t>
      </w:r>
    </w:p>
    <w:p w14:paraId="2E20DED3" w14:textId="77777777" w:rsidR="00E157A6" w:rsidRDefault="00DF612D" w:rsidP="003C2438">
      <w:pPr>
        <w:keepNext/>
        <w:rPr>
          <w:b/>
        </w:rPr>
      </w:pPr>
      <w:bookmarkStart w:id="126" w:name="_Toc357091907"/>
      <w:r w:rsidRPr="0062136D">
        <w:rPr>
          <w:b/>
        </w:rPr>
        <w:t>Rechnungsbilanzkreis (RBK)</w:t>
      </w:r>
      <w:bookmarkEnd w:id="126"/>
    </w:p>
    <w:p w14:paraId="3E1112BA" w14:textId="77777777" w:rsidR="00E157A6" w:rsidRDefault="00DF612D" w:rsidP="003C2438">
      <w:r w:rsidRPr="0062136D">
        <w:t>Nimmt die Differenzenergiemengen von Unterbilanzkreisen auf, saldiert diese und wird letztendlich abgerechnet.</w:t>
      </w:r>
      <w:r w:rsidR="003430DE">
        <w:t xml:space="preserve"> Als Rechnungsbilanzkreis gilt auch ein Bilanzkreis ohne Unterbilanzkreise.</w:t>
      </w:r>
    </w:p>
    <w:p w14:paraId="30084DC0" w14:textId="77777777" w:rsidR="00E157A6" w:rsidRDefault="00DF612D" w:rsidP="003C2438">
      <w:pPr>
        <w:keepNext/>
        <w:rPr>
          <w:b/>
        </w:rPr>
      </w:pPr>
      <w:bookmarkStart w:id="127" w:name="_Toc357091908"/>
      <w:r w:rsidRPr="0062136D">
        <w:rPr>
          <w:b/>
        </w:rPr>
        <w:t>Rundungsregel</w:t>
      </w:r>
      <w:bookmarkEnd w:id="127"/>
    </w:p>
    <w:p w14:paraId="499B92F8" w14:textId="77777777" w:rsidR="00E157A6" w:rsidRDefault="00DF612D" w:rsidP="003C2438">
      <w:r w:rsidRPr="0062136D">
        <w:t>Es wird kaufmännisch gerundet.</w:t>
      </w:r>
    </w:p>
    <w:p w14:paraId="70621439" w14:textId="77777777" w:rsidR="00E157A6" w:rsidRDefault="00DF612D" w:rsidP="003C2438">
      <w:pPr>
        <w:keepNext/>
        <w:rPr>
          <w:b/>
        </w:rPr>
      </w:pPr>
      <w:bookmarkStart w:id="128" w:name="_Toc357091909"/>
      <w:r w:rsidRPr="005E563F">
        <w:rPr>
          <w:b/>
        </w:rPr>
        <w:t>Online-Flow-Control (OFC)</w:t>
      </w:r>
      <w:bookmarkEnd w:id="128"/>
    </w:p>
    <w:p w14:paraId="7DAED0A1" w14:textId="21A6A052" w:rsidR="00E157A6" w:rsidRDefault="00DF612D" w:rsidP="003C2438">
      <w:r w:rsidRPr="0062136D">
        <w:t>Das OFC-Verfahren ist die Übermittlung von Messdaten, in der Regel als 3-Minuten-Werte, welche als Basiswert für ein Nominierungsersatzverfahren verwendet werden können.</w:t>
      </w:r>
    </w:p>
    <w:p w14:paraId="3686AF7E" w14:textId="77777777" w:rsidR="00E157A6" w:rsidRDefault="00DF612D" w:rsidP="003C2438">
      <w:pPr>
        <w:keepNext/>
        <w:rPr>
          <w:b/>
        </w:rPr>
      </w:pPr>
      <w:bookmarkStart w:id="129" w:name="_Toc357091910"/>
      <w:proofErr w:type="spellStart"/>
      <w:r w:rsidRPr="005E563F">
        <w:rPr>
          <w:b/>
        </w:rPr>
        <w:t>Renominierung</w:t>
      </w:r>
      <w:bookmarkEnd w:id="129"/>
      <w:proofErr w:type="spellEnd"/>
    </w:p>
    <w:p w14:paraId="68074A1D" w14:textId="77777777" w:rsidR="00E157A6" w:rsidRDefault="00DF612D" w:rsidP="003C2438">
      <w:r w:rsidRPr="0062136D">
        <w:t>Änderung der Nominierung.</w:t>
      </w:r>
    </w:p>
    <w:p w14:paraId="7AB33677" w14:textId="77777777" w:rsidR="00E157A6" w:rsidRDefault="00DF612D" w:rsidP="003C2438">
      <w:pPr>
        <w:keepNext/>
        <w:rPr>
          <w:b/>
        </w:rPr>
      </w:pPr>
      <w:bookmarkStart w:id="130" w:name="_Toc357091911"/>
      <w:r w:rsidRPr="005E563F">
        <w:rPr>
          <w:b/>
        </w:rPr>
        <w:lastRenderedPageBreak/>
        <w:t>Restlastkurve</w:t>
      </w:r>
      <w:bookmarkEnd w:id="130"/>
    </w:p>
    <w:p w14:paraId="483D5DB4" w14:textId="521A3227" w:rsidR="00E157A6" w:rsidRDefault="00DF612D" w:rsidP="003C2438">
      <w:r w:rsidRPr="0062136D">
        <w:t>Die Restlastkurve ist die tägliche Differenz zwischen der Einspeisemenge in ein Netz, der Summe der Lastgänge aller RLM-Ausspeisepunkte und der Übergaben in nachgelagerte Netze, Speicher, ggf. unter Berücksichtigung des Netzpuffers, und in ausländische Netze.</w:t>
      </w:r>
    </w:p>
    <w:p w14:paraId="7540A093" w14:textId="77777777" w:rsidR="00E157A6" w:rsidRDefault="00DF612D" w:rsidP="003C2438">
      <w:pPr>
        <w:keepNext/>
        <w:rPr>
          <w:b/>
        </w:rPr>
      </w:pPr>
      <w:bookmarkStart w:id="131" w:name="_Toc357091912"/>
      <w:proofErr w:type="spellStart"/>
      <w:r w:rsidRPr="005E563F">
        <w:rPr>
          <w:b/>
        </w:rPr>
        <w:t>Shippercode</w:t>
      </w:r>
      <w:bookmarkEnd w:id="131"/>
      <w:proofErr w:type="spellEnd"/>
    </w:p>
    <w:p w14:paraId="4B5D0D9B" w14:textId="31D32824" w:rsidR="00E157A6" w:rsidRDefault="00DF612D" w:rsidP="003C2438">
      <w:r w:rsidRPr="0062136D">
        <w:t xml:space="preserve">Eindeutiger internationaler Code, der der Identifizierung der Nominierungen, </w:t>
      </w:r>
      <w:proofErr w:type="spellStart"/>
      <w:r w:rsidRPr="0062136D">
        <w:t>Renominierungen</w:t>
      </w:r>
      <w:proofErr w:type="spellEnd"/>
      <w:r w:rsidRPr="0062136D">
        <w:t xml:space="preserve"> oder Konten dient. Einem </w:t>
      </w:r>
      <w:proofErr w:type="spellStart"/>
      <w:r w:rsidRPr="0062136D">
        <w:t>Shippercode</w:t>
      </w:r>
      <w:proofErr w:type="spellEnd"/>
      <w:r w:rsidRPr="0062136D">
        <w:t xml:space="preserve"> entspricht im Geltungsbereich der </w:t>
      </w:r>
      <w:proofErr w:type="spellStart"/>
      <w:r w:rsidR="00E2449C">
        <w:t>GaBi</w:t>
      </w:r>
      <w:proofErr w:type="spellEnd"/>
      <w:r w:rsidR="00E2449C">
        <w:t xml:space="preserve"> Gas</w:t>
      </w:r>
      <w:r w:rsidRPr="0062136D">
        <w:t xml:space="preserve"> die Bilanzkreisnummer.</w:t>
      </w:r>
    </w:p>
    <w:p w14:paraId="4BDFC3DB" w14:textId="77777777" w:rsidR="00E157A6" w:rsidRDefault="00C44E92" w:rsidP="003C2438">
      <w:pPr>
        <w:keepNext/>
        <w:rPr>
          <w:b/>
        </w:rPr>
      </w:pPr>
      <w:bookmarkStart w:id="132" w:name="_Toc357091913"/>
      <w:r w:rsidRPr="005E563F">
        <w:rPr>
          <w:b/>
        </w:rPr>
        <w:t>Sub-Bilanzkonto</w:t>
      </w:r>
      <w:bookmarkEnd w:id="132"/>
      <w:r w:rsidR="00A33089">
        <w:rPr>
          <w:b/>
        </w:rPr>
        <w:t xml:space="preserve"> (SBK)</w:t>
      </w:r>
    </w:p>
    <w:p w14:paraId="62698C83" w14:textId="77777777" w:rsidR="00E157A6" w:rsidRDefault="00DF612D" w:rsidP="003C2438">
      <w:r w:rsidRPr="0062136D">
        <w:t xml:space="preserve">Das </w:t>
      </w:r>
      <w:r w:rsidR="00C44E92" w:rsidRPr="0062136D">
        <w:t>Sub-Bilanzkonto</w:t>
      </w:r>
      <w:r w:rsidRPr="0062136D">
        <w:t xml:space="preserve"> ist ein Konto, das einem Bilanzkreis zugeordnet ist und die Zuordnung von Ein- und Ausspeisemengen zu Transportkunden und/oder die übersichtliche Darstellung von Teilmengen ermöglicht.</w:t>
      </w:r>
    </w:p>
    <w:p w14:paraId="06406345" w14:textId="77777777" w:rsidR="00E157A6" w:rsidRDefault="00DF612D" w:rsidP="003C2438">
      <w:pPr>
        <w:keepNext/>
        <w:rPr>
          <w:b/>
        </w:rPr>
      </w:pPr>
      <w:bookmarkStart w:id="133" w:name="_Toc357091914"/>
      <w:r w:rsidRPr="005E563F">
        <w:rPr>
          <w:b/>
        </w:rPr>
        <w:t>Tagesband</w:t>
      </w:r>
      <w:bookmarkEnd w:id="133"/>
    </w:p>
    <w:p w14:paraId="6F2D1432" w14:textId="77777777" w:rsidR="00E157A6" w:rsidRDefault="00DF612D" w:rsidP="003C2438">
      <w:r w:rsidRPr="0062136D">
        <w:t>Umrechnung einer Tagesmenge auf gleichgroße Stundenmengen durch Division der Tagesmenge durch 24 h bzw. an den Tagen der Sommer-/Winterzeitumstellung durch 23</w:t>
      </w:r>
      <w:r w:rsidR="00337ACE" w:rsidRPr="0062136D">
        <w:t> h</w:t>
      </w:r>
      <w:r w:rsidRPr="0062136D">
        <w:t xml:space="preserve"> bzw. 25 h.</w:t>
      </w:r>
    </w:p>
    <w:p w14:paraId="2A10BDAD" w14:textId="77777777" w:rsidR="00E157A6" w:rsidRDefault="0045393A" w:rsidP="003C2438">
      <w:pPr>
        <w:keepNext/>
        <w:rPr>
          <w:b/>
        </w:rPr>
      </w:pPr>
      <w:r w:rsidRPr="005E563F">
        <w:rPr>
          <w:b/>
        </w:rPr>
        <w:t>Transportkunde (TK)</w:t>
      </w:r>
    </w:p>
    <w:p w14:paraId="5F496319" w14:textId="41938510" w:rsidR="00DF612D" w:rsidRPr="0062136D" w:rsidRDefault="00DF612D" w:rsidP="003C2438">
      <w:r w:rsidRPr="0062136D">
        <w:t>Juristische Person, die mit einem Netzbetreiber einen Ein- oder Ausspeisevertrag bzw. einen Lieferantenrahmenvertrag abschließt.</w:t>
      </w:r>
    </w:p>
    <w:p w14:paraId="1D6B9A57" w14:textId="77777777" w:rsidR="00E157A6" w:rsidRDefault="00DF612D" w:rsidP="003C2438">
      <w:pPr>
        <w:keepNext/>
        <w:rPr>
          <w:b/>
        </w:rPr>
      </w:pPr>
      <w:bookmarkStart w:id="134" w:name="_Toc357091917"/>
      <w:r w:rsidRPr="005E563F">
        <w:rPr>
          <w:b/>
        </w:rPr>
        <w:t>Unterbilanzkreis (UBK)</w:t>
      </w:r>
      <w:bookmarkEnd w:id="134"/>
    </w:p>
    <w:p w14:paraId="440CB06E" w14:textId="77777777" w:rsidR="00DF612D" w:rsidRPr="0062136D" w:rsidRDefault="00DF612D" w:rsidP="003C2438">
      <w:r w:rsidRPr="0062136D">
        <w:t xml:space="preserve">Ein mit einem Rechnungsbilanzkreis verbundener Bilanzkreis. </w:t>
      </w:r>
      <w:r w:rsidR="005C3BAB">
        <w:t>Der Saldo</w:t>
      </w:r>
      <w:r w:rsidR="005C3BAB" w:rsidRPr="0062136D">
        <w:t xml:space="preserve"> </w:t>
      </w:r>
      <w:r w:rsidRPr="0062136D">
        <w:t xml:space="preserve">dieses Bilanzkreises </w:t>
      </w:r>
      <w:r w:rsidR="005C3BAB">
        <w:t>wird</w:t>
      </w:r>
      <w:r w:rsidR="005C3BAB" w:rsidRPr="0062136D">
        <w:t xml:space="preserve"> </w:t>
      </w:r>
      <w:r w:rsidRPr="0062136D">
        <w:t>ermittelt und an den Rechnungsbilanzkreis übertragen, aber nicht explizit gegenüber dem Bilanzkreisverantwortlichen des Unterbilanzkreises abgerechnet.</w:t>
      </w:r>
    </w:p>
    <w:p w14:paraId="35D947F9" w14:textId="77777777" w:rsidR="00E157A6" w:rsidRDefault="00DF612D" w:rsidP="003C2438">
      <w:pPr>
        <w:keepNext/>
        <w:rPr>
          <w:b/>
        </w:rPr>
      </w:pPr>
      <w:bookmarkStart w:id="135" w:name="_Toc357091918"/>
      <w:r w:rsidRPr="005E563F">
        <w:rPr>
          <w:b/>
        </w:rPr>
        <w:t>Virtueller Handelspunkt (VHP)</w:t>
      </w:r>
      <w:bookmarkEnd w:id="135"/>
    </w:p>
    <w:p w14:paraId="6BAAF764" w14:textId="26765EF1" w:rsidR="0088060C" w:rsidRDefault="00DF612D" w:rsidP="003C2438">
      <w:r w:rsidRPr="0062136D">
        <w:t>Ist ein Punkt im Marktgebiet, an dem Gas zwischen Bilanzkreisen gleicher Gasqualität übertragen werden kann, der jedoch keinem physischen Ein- oder Ausspeisepunkt im Marktgebiet entspricht.</w:t>
      </w:r>
      <w:bookmarkStart w:id="136" w:name="_Toc318120251"/>
      <w:bookmarkStart w:id="137" w:name="_Toc296694072"/>
      <w:bookmarkStart w:id="138" w:name="_Toc391540130"/>
    </w:p>
    <w:p w14:paraId="487265E8" w14:textId="2D048ABA" w:rsidR="00031D18" w:rsidRDefault="00031D18" w:rsidP="00031D18">
      <w:pPr>
        <w:rPr>
          <w:b/>
          <w:bCs/>
        </w:rPr>
      </w:pPr>
      <w:r w:rsidRPr="0015000E">
        <w:rPr>
          <w:b/>
          <w:bCs/>
        </w:rPr>
        <w:t>Virtueller Kopplungspunkt (VIP)</w:t>
      </w:r>
    </w:p>
    <w:p w14:paraId="28F3494E" w14:textId="1D891763" w:rsidR="00031D18" w:rsidRPr="0088060C" w:rsidRDefault="008366EB" w:rsidP="00031D18">
      <w:r>
        <w:t>Virtueller Kopplungspunkt bezeichnet nach</w:t>
      </w:r>
      <w:r w:rsidRPr="00640B52">
        <w:t xml:space="preserve"> Artikel</w:t>
      </w:r>
      <w:r>
        <w:t xml:space="preserve"> 3</w:t>
      </w:r>
      <w:r w:rsidRPr="00640B52">
        <w:t xml:space="preserve"> </w:t>
      </w:r>
      <w:r>
        <w:t>Nr. 23</w:t>
      </w:r>
      <w:r w:rsidRPr="00640B52">
        <w:t xml:space="preserve"> der Verordnung (EU) 2017/459 vom 16.03.2017 (Netzkodex Kapazitätszuweisung)</w:t>
      </w:r>
      <w:r>
        <w:t xml:space="preserve"> zwei oder mehr Kopplungspunkte, die dieselben benachbarten Einspeise-</w:t>
      </w:r>
      <w:r w:rsidR="00587E44">
        <w:t>/</w:t>
      </w:r>
      <w:r>
        <w:t>Ausspeisesysteme miteinander verbinden und die zur Bereitstellung einer einzigen Kapazitätsdienstleistung zusammengeführt werden.</w:t>
      </w:r>
    </w:p>
    <w:p w14:paraId="224AC1A3" w14:textId="77777777" w:rsidR="00031D18" w:rsidRPr="0015000E" w:rsidRDefault="00031D18" w:rsidP="00031D18">
      <w:pPr>
        <w:rPr>
          <w:b/>
          <w:bCs/>
        </w:rPr>
      </w:pPr>
    </w:p>
    <w:p w14:paraId="26251380" w14:textId="77777777" w:rsidR="00031D18" w:rsidRPr="0088060C" w:rsidRDefault="00031D18" w:rsidP="003C2438"/>
    <w:p w14:paraId="18E1B2AA" w14:textId="77777777" w:rsidR="007E05AB" w:rsidRDefault="00DF612D" w:rsidP="004A3B0B">
      <w:pPr>
        <w:pStyle w:val="berschrift2"/>
        <w:spacing w:before="480"/>
        <w:ind w:left="567" w:hanging="567"/>
      </w:pPr>
      <w:bookmarkStart w:id="139" w:name="_Toc412661292"/>
      <w:bookmarkStart w:id="140" w:name="_Toc111118442"/>
      <w:r w:rsidRPr="00630618">
        <w:lastRenderedPageBreak/>
        <w:t>Datenaustausch, Datenformate und Nachrichtentypen</w:t>
      </w:r>
      <w:bookmarkEnd w:id="136"/>
      <w:bookmarkEnd w:id="137"/>
      <w:bookmarkEnd w:id="138"/>
      <w:bookmarkEnd w:id="139"/>
      <w:bookmarkEnd w:id="140"/>
    </w:p>
    <w:p w14:paraId="62B9C6CD" w14:textId="48A2D78C" w:rsidR="00815995" w:rsidRDefault="00815995" w:rsidP="00815995">
      <w:pPr>
        <w:rPr>
          <w:rStyle w:val="Hyperlink"/>
        </w:rPr>
      </w:pPr>
      <w:r>
        <w:rPr>
          <w:rFonts w:hint="cs"/>
          <w:lang w:val="ar-SA"/>
        </w:rPr>
        <w:t xml:space="preserve">Für alle Prozesse, die einen elektronischen Datenaustausch zwischen den Marktrollen erfordern, gelten folgende Dokumente in ihrer jeweils gültigen Fassung, die auf der Webseite </w:t>
      </w:r>
      <w:r w:rsidR="00FA6825">
        <w:fldChar w:fldCharType="begin"/>
      </w:r>
      <w:r w:rsidR="00FA6825">
        <w:instrText xml:space="preserve"> HYPERLINK "http://www.edi-energy.de/" </w:instrText>
      </w:r>
      <w:r w:rsidR="00FA6825">
        <w:fldChar w:fldCharType="separate"/>
      </w:r>
      <w:r w:rsidRPr="0031624E">
        <w:rPr>
          <w:rStyle w:val="Hyperlink"/>
        </w:rPr>
        <w:t>http://www.edi-energy.de/</w:t>
      </w:r>
      <w:r w:rsidR="00FA6825">
        <w:rPr>
          <w:rStyle w:val="Hyperlink"/>
        </w:rPr>
        <w:fldChar w:fldCharType="end"/>
      </w:r>
      <w:r>
        <w:rPr>
          <w:rStyle w:val="Hyperlink"/>
        </w:rPr>
        <w:t xml:space="preserve"> veröffentlicht sind:</w:t>
      </w:r>
    </w:p>
    <w:p w14:paraId="0C0C8CD4" w14:textId="77777777" w:rsidR="00815995" w:rsidRPr="002E47B9" w:rsidRDefault="00815995" w:rsidP="00815995">
      <w:pPr>
        <w:pStyle w:val="Listenabsatz"/>
        <w:numPr>
          <w:ilvl w:val="0"/>
          <w:numId w:val="74"/>
        </w:numPr>
        <w:rPr>
          <w:rFonts w:cs="Arial"/>
          <w:color w:val="333333"/>
          <w:sz w:val="21"/>
          <w:szCs w:val="21"/>
          <w:shd w:val="clear" w:color="auto" w:fill="FFFFFF"/>
        </w:rPr>
      </w:pPr>
      <w:r>
        <w:rPr>
          <w:rFonts w:cs="Arial"/>
          <w:color w:val="333333"/>
          <w:sz w:val="21"/>
          <w:szCs w:val="21"/>
          <w:shd w:val="clear" w:color="auto" w:fill="FFFFFF"/>
        </w:rPr>
        <w:t>Allgemeine Festlegungen</w:t>
      </w:r>
    </w:p>
    <w:p w14:paraId="58835923" w14:textId="77777777" w:rsidR="00815995" w:rsidRPr="003B0324" w:rsidRDefault="00815995" w:rsidP="00815995">
      <w:pPr>
        <w:pStyle w:val="Listenabsatz"/>
        <w:numPr>
          <w:ilvl w:val="0"/>
          <w:numId w:val="74"/>
        </w:numPr>
        <w:rPr>
          <w:rFonts w:cs="Arial"/>
          <w:color w:val="333333"/>
          <w:sz w:val="21"/>
          <w:szCs w:val="21"/>
          <w:shd w:val="clear" w:color="auto" w:fill="FFFFFF"/>
        </w:rPr>
      </w:pPr>
      <w:r w:rsidRPr="003B0324">
        <w:rPr>
          <w:rFonts w:cs="Arial"/>
          <w:color w:val="333333"/>
          <w:sz w:val="21"/>
          <w:szCs w:val="21"/>
          <w:shd w:val="clear" w:color="auto" w:fill="FFFFFF"/>
        </w:rPr>
        <w:t>Regelungen zum Übertragungsweg</w:t>
      </w:r>
    </w:p>
    <w:p w14:paraId="553C87DB" w14:textId="77777777" w:rsidR="00DF612D" w:rsidRPr="00145173" w:rsidRDefault="00DF612D" w:rsidP="003C2438">
      <w:r w:rsidRPr="00145173">
        <w:t xml:space="preserve">Weitere Informationen zu den jeweils aktuellen Datenformaten findet man auf den Webseiten des </w:t>
      </w:r>
      <w:r w:rsidR="0031234B" w:rsidRPr="00145173">
        <w:t>DVGW</w:t>
      </w:r>
      <w:r w:rsidR="00E2449C">
        <w:t xml:space="preserve"> </w:t>
      </w:r>
      <w:r w:rsidR="00E2449C" w:rsidRPr="00E930BE">
        <w:t xml:space="preserve">bzw. </w:t>
      </w:r>
      <w:r w:rsidR="00E2449C" w:rsidRPr="00145173">
        <w:t xml:space="preserve">der </w:t>
      </w:r>
      <w:proofErr w:type="spellStart"/>
      <w:r w:rsidR="00E2449C">
        <w:t>EDI</w:t>
      </w:r>
      <w:r w:rsidR="00E2449C" w:rsidRPr="00145173">
        <w:t>@</w:t>
      </w:r>
      <w:r w:rsidR="00E2449C">
        <w:t>Energy</w:t>
      </w:r>
      <w:proofErr w:type="spellEnd"/>
      <w:r w:rsidR="00E2449C">
        <w:t>:</w:t>
      </w:r>
    </w:p>
    <w:p w14:paraId="0E34CE27" w14:textId="77777777" w:rsidR="00DF612D" w:rsidRPr="00145173" w:rsidRDefault="00BA1D2D" w:rsidP="003C2438">
      <w:hyperlink r:id="rId176" w:history="1">
        <w:r w:rsidR="00DF612D" w:rsidRPr="00145173">
          <w:rPr>
            <w:rStyle w:val="Hyperlink"/>
          </w:rPr>
          <w:t>http://www.dvgw-sc.de/</w:t>
        </w:r>
      </w:hyperlink>
      <w:r w:rsidR="00D64B92">
        <w:t xml:space="preserve"> </w:t>
      </w:r>
    </w:p>
    <w:p w14:paraId="1AD56FBC" w14:textId="77777777" w:rsidR="00DF612D" w:rsidRDefault="00BA1D2D" w:rsidP="003C2438">
      <w:pPr>
        <w:rPr>
          <w:rStyle w:val="Hyperlink"/>
        </w:rPr>
      </w:pPr>
      <w:hyperlink r:id="rId177" w:history="1">
        <w:r w:rsidR="0031624E" w:rsidRPr="0031624E">
          <w:rPr>
            <w:rStyle w:val="Hyperlink"/>
          </w:rPr>
          <w:t>http://www.edi-energy.de/</w:t>
        </w:r>
      </w:hyperlink>
    </w:p>
    <w:p w14:paraId="092C304E" w14:textId="77777777" w:rsidR="007E05AB" w:rsidRDefault="00A0069F" w:rsidP="003C2438">
      <w:pPr>
        <w:pStyle w:val="berschrift2"/>
        <w:spacing w:before="480"/>
        <w:ind w:left="567" w:hanging="567"/>
      </w:pPr>
      <w:bookmarkStart w:id="141" w:name="_Toc391540131"/>
      <w:bookmarkStart w:id="142" w:name="_Ref437334687"/>
      <w:bookmarkStart w:id="143" w:name="_Toc412661293"/>
      <w:bookmarkStart w:id="144" w:name="_Toc111118443"/>
      <w:r w:rsidRPr="009B260A">
        <w:t>Einrichtung</w:t>
      </w:r>
      <w:r>
        <w:t xml:space="preserve"> eines </w:t>
      </w:r>
      <w:r w:rsidR="00E87A9E">
        <w:t xml:space="preserve">Netzkontos </w:t>
      </w:r>
      <w:r>
        <w:t>beim Marktgebietsverantwortlichen</w:t>
      </w:r>
      <w:bookmarkEnd w:id="141"/>
      <w:bookmarkEnd w:id="142"/>
      <w:bookmarkEnd w:id="143"/>
      <w:bookmarkEnd w:id="144"/>
    </w:p>
    <w:p w14:paraId="7F45CBDE" w14:textId="4D841874" w:rsidR="00A0069F" w:rsidRDefault="00A0069F" w:rsidP="003C2438">
      <w:r>
        <w:t xml:space="preserve">Für jeden </w:t>
      </w:r>
      <w:r w:rsidR="0071541D">
        <w:t>NB</w:t>
      </w:r>
      <w:r>
        <w:t xml:space="preserve"> wird zur operativen Abwicklung der Marktprozesse Bilanzkreismanagement Gas </w:t>
      </w:r>
      <w:r w:rsidR="00C45ADB">
        <w:t xml:space="preserve">vom MGV </w:t>
      </w:r>
      <w:r>
        <w:t>ein Netzkonto je Gasqualität eingerichtet und geführt.</w:t>
      </w:r>
    </w:p>
    <w:p w14:paraId="33AAF1F2" w14:textId="58B8145A" w:rsidR="00A0069F" w:rsidRDefault="00A0069F" w:rsidP="003C2438">
      <w:r>
        <w:t xml:space="preserve">Zur Einrichtung eines Netzkontos </w:t>
      </w:r>
      <w:r w:rsidRPr="00B101AE">
        <w:t xml:space="preserve">übermittelt </w:t>
      </w:r>
      <w:r w:rsidRPr="005E59B4">
        <w:t xml:space="preserve">der NB </w:t>
      </w:r>
      <w:r>
        <w:t xml:space="preserve">bis </w:t>
      </w:r>
      <w:r w:rsidR="00A376B6">
        <w:t>drei</w:t>
      </w:r>
      <w:r w:rsidR="00A376B6" w:rsidRPr="00B101AE">
        <w:t xml:space="preserve"> </w:t>
      </w:r>
      <w:r w:rsidRPr="00B101AE">
        <w:t xml:space="preserve">Monate und 10 WT </w:t>
      </w:r>
      <w:r w:rsidR="00A14C5D">
        <w:t xml:space="preserve">vor der </w:t>
      </w:r>
      <w:r w:rsidR="00F83386">
        <w:t xml:space="preserve">erstmaligen </w:t>
      </w:r>
      <w:r w:rsidR="00A14C5D">
        <w:t>Durchführung von Allokationsprozessen</w:t>
      </w:r>
      <w:r>
        <w:t xml:space="preserve"> </w:t>
      </w:r>
      <w:r w:rsidRPr="00B101AE">
        <w:t>die erforderlichen Unterlagen an den MGV</w:t>
      </w:r>
      <w:r>
        <w:t xml:space="preserve">. Der MGV teilt </w:t>
      </w:r>
      <w:r w:rsidR="00A376B6">
        <w:t xml:space="preserve">dem NB </w:t>
      </w:r>
      <w:r w:rsidR="003404A5">
        <w:t xml:space="preserve">innerhalb von 10 WT </w:t>
      </w:r>
      <w:r>
        <w:t>eine neue Netzkontonummer mit.</w:t>
      </w:r>
    </w:p>
    <w:p w14:paraId="401092C7" w14:textId="77777777" w:rsidR="00A0069F" w:rsidRDefault="00A0069F" w:rsidP="003C2438">
      <w:r>
        <w:t>Die erforderlichen Unterlagen sind:</w:t>
      </w:r>
    </w:p>
    <w:p w14:paraId="56DBA92B" w14:textId="77777777" w:rsidR="00A0069F" w:rsidRDefault="00A0069F" w:rsidP="007F76BC">
      <w:pPr>
        <w:pStyle w:val="Listenabsatz"/>
        <w:numPr>
          <w:ilvl w:val="0"/>
          <w:numId w:val="37"/>
        </w:numPr>
        <w:tabs>
          <w:tab w:val="num" w:pos="360"/>
        </w:tabs>
        <w:spacing w:after="200"/>
      </w:pPr>
      <w:proofErr w:type="spellStart"/>
      <w:r>
        <w:t>Liefer</w:t>
      </w:r>
      <w:r w:rsidR="00575565">
        <w:t>er</w:t>
      </w:r>
      <w:r>
        <w:t>nachweis</w:t>
      </w:r>
      <w:proofErr w:type="spellEnd"/>
      <w:r>
        <w:t xml:space="preserve"> des Hauptzollamts</w:t>
      </w:r>
      <w:r w:rsidR="004A1D38">
        <w:t>;</w:t>
      </w:r>
    </w:p>
    <w:p w14:paraId="43F5BE66" w14:textId="77777777" w:rsidR="00A0069F" w:rsidRDefault="00A0069F" w:rsidP="007F76BC">
      <w:pPr>
        <w:pStyle w:val="Listenabsatz"/>
        <w:numPr>
          <w:ilvl w:val="0"/>
          <w:numId w:val="37"/>
        </w:numPr>
        <w:tabs>
          <w:tab w:val="num" w:pos="360"/>
        </w:tabs>
        <w:spacing w:after="200"/>
      </w:pPr>
      <w:r>
        <w:t>Wiederverkäuferbescheinigung vom Finanzamt</w:t>
      </w:r>
      <w:r w:rsidR="004A1D38">
        <w:t>;</w:t>
      </w:r>
    </w:p>
    <w:p w14:paraId="4596187C" w14:textId="77777777" w:rsidR="00A0069F" w:rsidRDefault="00A0069F" w:rsidP="007F76BC">
      <w:pPr>
        <w:pStyle w:val="Listenabsatz"/>
        <w:numPr>
          <w:ilvl w:val="0"/>
          <w:numId w:val="37"/>
        </w:numPr>
        <w:tabs>
          <w:tab w:val="num" w:pos="360"/>
        </w:tabs>
        <w:spacing w:after="200"/>
      </w:pPr>
      <w:r>
        <w:t xml:space="preserve">Stammdaten </w:t>
      </w:r>
      <w:r w:rsidRPr="005E59B4">
        <w:t>(Anschrift NB, Bankverbindung, DVGW</w:t>
      </w:r>
      <w:r w:rsidR="000D366A">
        <w:t>-</w:t>
      </w:r>
      <w:r w:rsidRPr="005E59B4">
        <w:t>Code, SLP</w:t>
      </w:r>
      <w:r w:rsidR="000D366A">
        <w:t>-</w:t>
      </w:r>
      <w:r w:rsidRPr="005E59B4">
        <w:t xml:space="preserve">Verfahren, </w:t>
      </w:r>
      <w:r w:rsidR="00D626D1">
        <w:t>Ablesev</w:t>
      </w:r>
      <w:r w:rsidRPr="005E59B4">
        <w:t>erfahren)</w:t>
      </w:r>
      <w:r w:rsidR="004A1D38">
        <w:t>;</w:t>
      </w:r>
    </w:p>
    <w:p w14:paraId="2A362730" w14:textId="5075CA50" w:rsidR="00A0069F" w:rsidRDefault="00A0069F" w:rsidP="007F76BC">
      <w:pPr>
        <w:pStyle w:val="Listenabsatz"/>
        <w:numPr>
          <w:ilvl w:val="0"/>
          <w:numId w:val="37"/>
        </w:numPr>
        <w:tabs>
          <w:tab w:val="num" w:pos="360"/>
        </w:tabs>
        <w:spacing w:after="200"/>
      </w:pPr>
      <w:r w:rsidRPr="005E59B4">
        <w:t xml:space="preserve">Kommunikationsdatenblatt (1:1 Kommunikation) </w:t>
      </w:r>
      <w:r>
        <w:t xml:space="preserve">inkl. </w:t>
      </w:r>
      <w:r w:rsidRPr="005E59B4">
        <w:t>Mitteilung des gewünschten Kommunikationsweges (Mail, AS2)</w:t>
      </w:r>
    </w:p>
    <w:p w14:paraId="7A8A239E" w14:textId="77777777" w:rsidR="00A0069F" w:rsidRDefault="00A0069F" w:rsidP="007F76BC">
      <w:pPr>
        <w:pStyle w:val="Listenabsatz"/>
        <w:numPr>
          <w:ilvl w:val="0"/>
          <w:numId w:val="37"/>
        </w:numPr>
        <w:tabs>
          <w:tab w:val="num" w:pos="360"/>
        </w:tabs>
        <w:spacing w:after="200"/>
      </w:pPr>
      <w:r w:rsidRPr="005E59B4">
        <w:t>Gültigkeitsbeginn Netzkonto</w:t>
      </w:r>
      <w:r w:rsidR="004A1D38">
        <w:t>;</w:t>
      </w:r>
    </w:p>
    <w:p w14:paraId="208553AB" w14:textId="6F41A854" w:rsidR="00C45A66" w:rsidRDefault="00C45A66" w:rsidP="007F76BC">
      <w:pPr>
        <w:pStyle w:val="Listenabsatz"/>
        <w:numPr>
          <w:ilvl w:val="0"/>
          <w:numId w:val="37"/>
        </w:numPr>
        <w:tabs>
          <w:tab w:val="num" w:pos="360"/>
        </w:tabs>
        <w:spacing w:after="200"/>
      </w:pPr>
      <w:r>
        <w:t xml:space="preserve">Aufstellung aller angrenzenden </w:t>
      </w:r>
      <w:r w:rsidR="004F593C">
        <w:t xml:space="preserve">NB </w:t>
      </w:r>
      <w:r>
        <w:t>und deren Netzkonten (Angabe je vor- und nachgelagertem NB):</w:t>
      </w:r>
    </w:p>
    <w:p w14:paraId="35E796EC" w14:textId="77777777" w:rsidR="00C45A66" w:rsidRDefault="00C45A66" w:rsidP="007F76BC">
      <w:pPr>
        <w:pStyle w:val="Listenabsatz"/>
        <w:numPr>
          <w:ilvl w:val="1"/>
          <w:numId w:val="62"/>
        </w:numPr>
        <w:spacing w:after="200"/>
      </w:pPr>
      <w:r>
        <w:t>DVGW-Code;</w:t>
      </w:r>
    </w:p>
    <w:p w14:paraId="1095A05F" w14:textId="77777777" w:rsidR="00C45A66" w:rsidRDefault="00C45A66" w:rsidP="007F76BC">
      <w:pPr>
        <w:pStyle w:val="Listenabsatz"/>
        <w:numPr>
          <w:ilvl w:val="1"/>
          <w:numId w:val="62"/>
        </w:numPr>
        <w:spacing w:after="200"/>
      </w:pPr>
      <w:r>
        <w:t>Netzkonto</w:t>
      </w:r>
      <w:r w:rsidR="00DC6C35">
        <w:t>nummer</w:t>
      </w:r>
      <w:r w:rsidR="00267727">
        <w:t>;</w:t>
      </w:r>
    </w:p>
    <w:p w14:paraId="57361EAC" w14:textId="77777777" w:rsidR="00C45A66" w:rsidRDefault="00C45A66" w:rsidP="007F76BC">
      <w:pPr>
        <w:pStyle w:val="Listenabsatz"/>
        <w:numPr>
          <w:ilvl w:val="1"/>
          <w:numId w:val="62"/>
        </w:numPr>
        <w:spacing w:after="200"/>
      </w:pPr>
      <w:r>
        <w:t xml:space="preserve">Angabe der Primär-/Sekundärverantwortlichkeit für die </w:t>
      </w:r>
      <w:proofErr w:type="spellStart"/>
      <w:r>
        <w:t>EntryNKP</w:t>
      </w:r>
      <w:proofErr w:type="spellEnd"/>
      <w:r>
        <w:t>-Allokation</w:t>
      </w:r>
      <w:r w:rsidR="00267727">
        <w:t>;</w:t>
      </w:r>
    </w:p>
    <w:p w14:paraId="5243953C" w14:textId="77777777" w:rsidR="00C45A66" w:rsidRDefault="00C45A66" w:rsidP="007F76BC">
      <w:pPr>
        <w:pStyle w:val="Listenabsatz"/>
        <w:numPr>
          <w:ilvl w:val="1"/>
          <w:numId w:val="62"/>
        </w:numPr>
        <w:spacing w:after="200"/>
      </w:pPr>
      <w:r>
        <w:t>Rückspeisung ja/nein</w:t>
      </w:r>
      <w:r w:rsidR="00267727">
        <w:t>.</w:t>
      </w:r>
    </w:p>
    <w:p w14:paraId="05C0F618" w14:textId="79DEFB60" w:rsidR="00A0069F" w:rsidRDefault="00A0069F" w:rsidP="007F76BC">
      <w:pPr>
        <w:pStyle w:val="Listenabsatz"/>
        <w:numPr>
          <w:ilvl w:val="0"/>
          <w:numId w:val="37"/>
        </w:numPr>
        <w:tabs>
          <w:tab w:val="num" w:pos="360"/>
        </w:tabs>
        <w:spacing w:after="200"/>
      </w:pPr>
      <w:r w:rsidRPr="005E59B4">
        <w:t>Angabe Gasqualität</w:t>
      </w:r>
      <w:r w:rsidR="004A1D38">
        <w:t>;</w:t>
      </w:r>
    </w:p>
    <w:p w14:paraId="56AD9B48" w14:textId="77777777" w:rsidR="00A0069F" w:rsidRDefault="00A0069F" w:rsidP="007F76BC">
      <w:pPr>
        <w:pStyle w:val="Listenabsatz"/>
        <w:numPr>
          <w:ilvl w:val="0"/>
          <w:numId w:val="37"/>
        </w:numPr>
        <w:tabs>
          <w:tab w:val="num" w:pos="360"/>
        </w:tabs>
        <w:spacing w:after="200"/>
      </w:pPr>
      <w:r w:rsidRPr="005E59B4">
        <w:t>Vorliegen von Netzpuffer</w:t>
      </w:r>
      <w:r w:rsidR="000D366A">
        <w:t>n</w:t>
      </w:r>
      <w:r w:rsidR="004A1D38">
        <w:t>;</w:t>
      </w:r>
    </w:p>
    <w:p w14:paraId="5D2B0B92" w14:textId="77777777" w:rsidR="00AD137F" w:rsidRDefault="00AD137F" w:rsidP="007F76BC">
      <w:pPr>
        <w:pStyle w:val="Listenabsatz"/>
        <w:numPr>
          <w:ilvl w:val="0"/>
          <w:numId w:val="37"/>
        </w:numPr>
        <w:tabs>
          <w:tab w:val="num" w:pos="360"/>
        </w:tabs>
        <w:spacing w:after="200"/>
      </w:pPr>
      <w:r>
        <w:t>Ggf. Vorliegen einer Vollmacht für einen Dienstleister</w:t>
      </w:r>
      <w:r w:rsidR="004A1D38">
        <w:t>.</w:t>
      </w:r>
    </w:p>
    <w:p w14:paraId="5767C7E3" w14:textId="77777777" w:rsidR="00C8420B" w:rsidRDefault="00C8420B" w:rsidP="003C2438">
      <w:r>
        <w:lastRenderedPageBreak/>
        <w:t xml:space="preserve">Änderungen am DVGW-Code </w:t>
      </w:r>
      <w:r w:rsidR="008E0900">
        <w:t xml:space="preserve">oder Abmeldungen </w:t>
      </w:r>
      <w:r>
        <w:t>des NB</w:t>
      </w:r>
      <w:r w:rsidR="004E1D35">
        <w:t xml:space="preserve"> beim MGV</w:t>
      </w:r>
      <w:r>
        <w:t xml:space="preserve"> sind zeitnah </w:t>
      </w:r>
      <w:r w:rsidR="00D626D1">
        <w:t xml:space="preserve">durch den NB </w:t>
      </w:r>
      <w:r>
        <w:t xml:space="preserve">dem MGV mitzuteilen. Die Beendigung eines Netzkontos erfolgt immer zum letzten </w:t>
      </w:r>
      <w:proofErr w:type="spellStart"/>
      <w:r>
        <w:t>Gastag</w:t>
      </w:r>
      <w:proofErr w:type="spellEnd"/>
      <w:r>
        <w:t xml:space="preserve"> eines Liefermonats.</w:t>
      </w:r>
    </w:p>
    <w:p w14:paraId="436C463A" w14:textId="77777777" w:rsidR="00980729" w:rsidRDefault="001F1E9E" w:rsidP="004A3B0B">
      <w:pPr>
        <w:pStyle w:val="berschrift2"/>
        <w:spacing w:before="480"/>
        <w:ind w:left="567" w:hanging="567"/>
      </w:pPr>
      <w:bookmarkStart w:id="145" w:name="_Ref436725947"/>
      <w:bookmarkStart w:id="146" w:name="_Toc111118444"/>
      <w:r w:rsidRPr="00D83029">
        <w:t>Bezeichnung Netzkonto und N</w:t>
      </w:r>
      <w:r w:rsidR="00BF4B49">
        <w:t>etzkonto</w:t>
      </w:r>
      <w:r w:rsidRPr="00D83029">
        <w:t>-Bilanzierungsobjekt</w:t>
      </w:r>
      <w:bookmarkEnd w:id="145"/>
      <w:bookmarkEnd w:id="146"/>
    </w:p>
    <w:p w14:paraId="31A0CCAF" w14:textId="60418FDA" w:rsidR="00A11C34" w:rsidRPr="00DD758D" w:rsidDel="003670ED" w:rsidRDefault="00A0069F" w:rsidP="00A11C34">
      <w:pPr>
        <w:rPr>
          <w:rFonts w:cstheme="minorHAnsi"/>
        </w:rPr>
      </w:pPr>
      <w:r>
        <w:t xml:space="preserve">Die Netzkontonummern werden gemäß Vergabelogik des DVGW (Rolle </w:t>
      </w:r>
      <w:r w:rsidR="0071541D">
        <w:t>NB</w:t>
      </w:r>
      <w:r>
        <w:t xml:space="preserve">) erstellt und durch den MGV vergeben. Eine Netzkontonummer besteht aus einer 16-stelligen Identifikationsnummer. </w:t>
      </w:r>
      <w:r w:rsidR="00C45ADB" w:rsidRPr="00DD758D">
        <w:rPr>
          <w:rFonts w:cstheme="minorHAnsi"/>
        </w:rPr>
        <w:t xml:space="preserve">Bei dem Übergang auf das neue THE Marktgebiet werden die bisherigen Netzkonten der Netzbetreiber weitergeführt. Jedoch ändert sich für Leistungszeiträume ab dem </w:t>
      </w:r>
      <w:r w:rsidR="000F3387">
        <w:rPr>
          <w:rFonts w:cstheme="minorHAnsi"/>
        </w:rPr>
        <w:t>0</w:t>
      </w:r>
      <w:r w:rsidR="00C45ADB" w:rsidRPr="00DD758D">
        <w:rPr>
          <w:rFonts w:cstheme="minorHAnsi"/>
        </w:rPr>
        <w:t>1.10.2021 die Nomenklatur der Netzkonten. (siehe Abbildung)</w:t>
      </w:r>
      <w:r w:rsidR="003670ED">
        <w:rPr>
          <w:rFonts w:cstheme="minorHAnsi"/>
        </w:rPr>
        <w:t>.</w:t>
      </w:r>
      <w:r w:rsidR="003670ED" w:rsidRPr="003670ED">
        <w:rPr>
          <w:rFonts w:cstheme="minorHAnsi"/>
        </w:rPr>
        <w:t xml:space="preserve"> </w:t>
      </w:r>
      <w:r w:rsidR="00A11C34" w:rsidRPr="00DD758D" w:rsidDel="003670ED">
        <w:rPr>
          <w:rFonts w:cstheme="minorHAnsi"/>
        </w:rPr>
        <w:t>Dadurch, dass die Netzkonten durch den MGV weitergeführt werden, werden auch die kumulierten Netzkontokennzahlen, wie z.B. Netzkontosaldo 2 (kumuliert), die für die Plausibilisierung der Mehr-/Mindermengenabrechnung notwendig sind, weitergeführt.</w:t>
      </w:r>
    </w:p>
    <w:p w14:paraId="00D93689" w14:textId="7938D495" w:rsidR="00A11C34" w:rsidRPr="00DD758D" w:rsidDel="003670ED" w:rsidRDefault="00A11C34" w:rsidP="00A11C34">
      <w:pPr>
        <w:rPr>
          <w:rFonts w:cstheme="minorHAnsi"/>
        </w:rPr>
      </w:pPr>
      <w:r w:rsidRPr="00DD758D" w:rsidDel="003670ED">
        <w:rPr>
          <w:rFonts w:cstheme="minorHAnsi"/>
        </w:rPr>
        <w:t>Für Netzbetreiber</w:t>
      </w:r>
      <w:r w:rsidDel="003670ED">
        <w:rPr>
          <w:rFonts w:cstheme="minorHAnsi"/>
        </w:rPr>
        <w:t>,</w:t>
      </w:r>
      <w:r w:rsidRPr="00DD758D" w:rsidDel="003670ED">
        <w:rPr>
          <w:rFonts w:cstheme="minorHAnsi"/>
        </w:rPr>
        <w:t xml:space="preserve"> die sich in der Marktgebietsüberlappung befinden oder zwei getrennte Netzkonten gleicher Gasqualität in beiden Marktgebieten haben, führt der MGV ab dem </w:t>
      </w:r>
      <w:r w:rsidR="000F3387">
        <w:rPr>
          <w:rFonts w:cstheme="minorHAnsi"/>
        </w:rPr>
        <w:t>0</w:t>
      </w:r>
      <w:r w:rsidRPr="00DD758D" w:rsidDel="003670ED">
        <w:rPr>
          <w:rFonts w:cstheme="minorHAnsi"/>
        </w:rPr>
        <w:t xml:space="preserve">1.10.2021 nur noch ein Netzkonto je Gasqualität. Zur korrekten Darstellung der kumulierten Kennzahlen werden für die Leistungszeiträume vor dem </w:t>
      </w:r>
      <w:r w:rsidR="00EF760F">
        <w:rPr>
          <w:rFonts w:cstheme="minorHAnsi"/>
        </w:rPr>
        <w:t>0</w:t>
      </w:r>
      <w:r w:rsidRPr="00DD758D" w:rsidDel="003670ED">
        <w:rPr>
          <w:rFonts w:cstheme="minorHAnsi"/>
        </w:rPr>
        <w:t>1.10.2021 aggregierte Kennzahlen gebildet. Somit ist sichergestellt, dass die Abrechnungsprozesse die korrekten Kennzahlen zu Grunde legen.</w:t>
      </w:r>
    </w:p>
    <w:p w14:paraId="79EE52CF" w14:textId="422398C6" w:rsidR="00C45ADB" w:rsidRDefault="00C45ADB" w:rsidP="00C45ADB">
      <w:pPr>
        <w:rPr>
          <w:rFonts w:cstheme="minorHAnsi"/>
        </w:rPr>
      </w:pPr>
    </w:p>
    <w:p w14:paraId="4BA45515" w14:textId="7A60DE38" w:rsidR="009C4E7A" w:rsidRPr="00DD758D" w:rsidRDefault="009C4E7A" w:rsidP="00C45ADB">
      <w:pPr>
        <w:rPr>
          <w:rFonts w:cstheme="minorHAnsi"/>
        </w:rPr>
      </w:pPr>
      <w:r w:rsidRPr="00632CBE">
        <w:rPr>
          <w:noProof/>
        </w:rPr>
        <w:drawing>
          <wp:inline distT="0" distB="0" distL="0" distR="0" wp14:anchorId="7139F125" wp14:editId="77F232EC">
            <wp:extent cx="5759450" cy="5810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59450" cy="581025"/>
                    </a:xfrm>
                    <a:prstGeom prst="rect">
                      <a:avLst/>
                    </a:prstGeom>
                    <a:noFill/>
                    <a:ln>
                      <a:noFill/>
                    </a:ln>
                  </pic:spPr>
                </pic:pic>
              </a:graphicData>
            </a:graphic>
          </wp:inline>
        </w:drawing>
      </w:r>
    </w:p>
    <w:p w14:paraId="56E853C7" w14:textId="1C475E84" w:rsidR="003670ED" w:rsidRDefault="003670ED" w:rsidP="003670ED">
      <w:pPr>
        <w:pStyle w:val="Abbildung"/>
        <w:spacing w:before="240" w:after="360"/>
        <w:rPr>
          <w:b/>
        </w:rPr>
      </w:pPr>
      <w:bookmarkStart w:id="147" w:name="_Toc111118586"/>
      <w:bookmarkStart w:id="148" w:name="_Toc111196132"/>
      <w:r w:rsidRPr="00996036">
        <w:rPr>
          <w:b/>
        </w:rPr>
        <w:t xml:space="preserve">Abbildung </w:t>
      </w:r>
      <w:r w:rsidRPr="00996036">
        <w:rPr>
          <w:b/>
        </w:rPr>
        <w:fldChar w:fldCharType="begin"/>
      </w:r>
      <w:r w:rsidRPr="00996036">
        <w:rPr>
          <w:b/>
        </w:rPr>
        <w:instrText xml:space="preserve"> SEQ Abbildung \* ARABIC </w:instrText>
      </w:r>
      <w:r w:rsidRPr="00996036">
        <w:rPr>
          <w:b/>
        </w:rPr>
        <w:fldChar w:fldCharType="separate"/>
      </w:r>
      <w:r w:rsidR="00D400FA">
        <w:rPr>
          <w:b/>
        </w:rPr>
        <w:t>3</w:t>
      </w:r>
      <w:r w:rsidRPr="00996036">
        <w:rPr>
          <w:b/>
        </w:rPr>
        <w:fldChar w:fldCharType="end"/>
      </w:r>
      <w:r w:rsidRPr="00996036">
        <w:rPr>
          <w:b/>
        </w:rPr>
        <w:t xml:space="preserve">: </w:t>
      </w:r>
      <w:r w:rsidRPr="00096960">
        <w:rPr>
          <w:b/>
        </w:rPr>
        <w:t>Identifikationsnummer von Netzkonten im Marktgebiet</w:t>
      </w:r>
      <w:r w:rsidR="009C4E7A">
        <w:rPr>
          <w:b/>
        </w:rPr>
        <w:t xml:space="preserve"> (THE)</w:t>
      </w:r>
      <w:bookmarkEnd w:id="147"/>
      <w:bookmarkEnd w:id="148"/>
    </w:p>
    <w:p w14:paraId="2F8593BB" w14:textId="4FB78F9B" w:rsidR="001F1E9E" w:rsidRDefault="001F1E9E" w:rsidP="003C2438">
      <w:r>
        <w:t>Zur Berücksichtigung von Netzpufferfahrweisen und</w:t>
      </w:r>
      <w:r w:rsidR="00C92831">
        <w:t>/oder</w:t>
      </w:r>
      <w:r>
        <w:t xml:space="preserve"> OBA </w:t>
      </w:r>
      <w:r w:rsidR="00263B74">
        <w:t>bei der Netzkontoallokation (siehe auch</w:t>
      </w:r>
      <w:r w:rsidR="00FF3030">
        <w:t xml:space="preserve"> Kap.</w:t>
      </w:r>
      <w:r w:rsidR="00263B74">
        <w:t xml:space="preserve"> </w:t>
      </w:r>
      <w:r w:rsidR="00561FFA">
        <w:fldChar w:fldCharType="begin"/>
      </w:r>
      <w:r w:rsidR="00FF3030">
        <w:instrText xml:space="preserve"> REF _Ref436135427 \r \h </w:instrText>
      </w:r>
      <w:r w:rsidR="00561FFA">
        <w:fldChar w:fldCharType="separate"/>
      </w:r>
      <w:r w:rsidR="00692E23">
        <w:t>5.5.7</w:t>
      </w:r>
      <w:r w:rsidR="00561FFA">
        <w:fldChar w:fldCharType="end"/>
      </w:r>
      <w:r w:rsidR="00263B74">
        <w:t>)</w:t>
      </w:r>
      <w:r>
        <w:t xml:space="preserve"> </w:t>
      </w:r>
      <w:r w:rsidR="00410F17">
        <w:t>kann</w:t>
      </w:r>
      <w:r>
        <w:t xml:space="preserve"> zu </w:t>
      </w:r>
      <w:r w:rsidR="00407824">
        <w:t xml:space="preserve">einem </w:t>
      </w:r>
      <w:r>
        <w:t>Netzkonto ein zugeordnetes N</w:t>
      </w:r>
      <w:r w:rsidR="004054D9">
        <w:t>etzkonto</w:t>
      </w:r>
      <w:r>
        <w:t>-Bilanzierungsobjekt</w:t>
      </w:r>
      <w:r w:rsidR="004054D9">
        <w:t xml:space="preserve"> (NKBO)</w:t>
      </w:r>
      <w:r>
        <w:t xml:space="preserve"> angelegt</w:t>
      </w:r>
      <w:r w:rsidR="00410F17">
        <w:t xml:space="preserve"> werden</w:t>
      </w:r>
      <w:r>
        <w:t xml:space="preserve">. Die Bezeichnungen werden analog </w:t>
      </w:r>
      <w:proofErr w:type="gramStart"/>
      <w:r>
        <w:t>des zugehörigen Netzkontos</w:t>
      </w:r>
      <w:proofErr w:type="gramEnd"/>
      <w:r>
        <w:t xml:space="preserve"> gemäß Vergabelogik des DVGW (Rolle NB) erstellt und durch den MGV vergeben. Die Bezeichnung eines </w:t>
      </w:r>
      <w:r w:rsidR="004054D9">
        <w:t>NKBO</w:t>
      </w:r>
      <w:r w:rsidR="005A5EF1">
        <w:t xml:space="preserve"> </w:t>
      </w:r>
      <w:r>
        <w:t>besteht aus einer 16-stelligen Identifikationsnummer.</w:t>
      </w:r>
    </w:p>
    <w:p w14:paraId="328133BE" w14:textId="1431740D" w:rsidR="00B57D1F" w:rsidRDefault="00B57D1F" w:rsidP="003C2438">
      <w:pPr>
        <w:spacing w:after="200"/>
        <w:rPr>
          <w:rFonts w:cs="Arial"/>
        </w:rPr>
      </w:pPr>
      <w:r>
        <w:rPr>
          <w:rFonts w:cs="Arial"/>
        </w:rPr>
        <w:t>Die Einrichtung eines</w:t>
      </w:r>
      <w:r w:rsidR="00407824">
        <w:rPr>
          <w:rFonts w:cs="Arial"/>
        </w:rPr>
        <w:t xml:space="preserve"> </w:t>
      </w:r>
      <w:r w:rsidR="004054D9">
        <w:t>NKBO</w:t>
      </w:r>
      <w:r w:rsidR="00407824">
        <w:rPr>
          <w:rFonts w:cs="Arial"/>
        </w:rPr>
        <w:t xml:space="preserve"> kann der</w:t>
      </w:r>
      <w:r>
        <w:rPr>
          <w:rFonts w:cs="Arial"/>
        </w:rPr>
        <w:t xml:space="preserve"> </w:t>
      </w:r>
      <w:r w:rsidR="004F593C">
        <w:rPr>
          <w:rFonts w:cs="Arial"/>
        </w:rPr>
        <w:t xml:space="preserve">NB </w:t>
      </w:r>
      <w:r>
        <w:rPr>
          <w:rFonts w:cs="Arial"/>
        </w:rPr>
        <w:t xml:space="preserve">beim MGV einen Monat vor der erstmaligen Allokation beantragen. Hierfür stellt der MGV ein Antragsformular auf </w:t>
      </w:r>
      <w:r w:rsidR="0050450A">
        <w:rPr>
          <w:rFonts w:cs="Arial"/>
        </w:rPr>
        <w:t xml:space="preserve">seiner Internetseite </w:t>
      </w:r>
      <w:r>
        <w:rPr>
          <w:rFonts w:cs="Arial"/>
        </w:rPr>
        <w:t>oder im Portal bereit. Mit dieser Beantragung fragt der MGV zur Plausibilisierung der gemeldeten Mengen auch ab, ob das Netz druck- oder mengengeregelt ist</w:t>
      </w:r>
      <w:r w:rsidR="00A5643F">
        <w:rPr>
          <w:rFonts w:cs="Arial"/>
        </w:rPr>
        <w:t xml:space="preserve"> und/oder, ob ein Speicher mit OBA vorhanden ist</w:t>
      </w:r>
      <w:r>
        <w:rPr>
          <w:rFonts w:cs="Arial"/>
        </w:rPr>
        <w:t>.</w:t>
      </w:r>
    </w:p>
    <w:p w14:paraId="040D2904" w14:textId="0F682DD5" w:rsidR="00C45ADB" w:rsidRDefault="00C45ADB" w:rsidP="00C45ADB">
      <w:pPr>
        <w:rPr>
          <w:rFonts w:cstheme="minorHAnsi"/>
        </w:rPr>
      </w:pPr>
      <w:r w:rsidRPr="00DD758D">
        <w:rPr>
          <w:rFonts w:cstheme="minorHAnsi"/>
        </w:rPr>
        <w:lastRenderedPageBreak/>
        <w:t xml:space="preserve">Auch die Netzkontobilanzierungsobjekte (NKBO), die zur Berücksichtigung von Netzpufferfahrweisen und/oder OBA bei der Netzkontoallokation genutzt werden, erhalten für Leistungszeiträume ab dem </w:t>
      </w:r>
      <w:r w:rsidR="00EF760F">
        <w:rPr>
          <w:rFonts w:cstheme="minorHAnsi"/>
        </w:rPr>
        <w:t>0</w:t>
      </w:r>
      <w:r w:rsidRPr="00DD758D">
        <w:rPr>
          <w:rFonts w:cstheme="minorHAnsi"/>
        </w:rPr>
        <w:t>1.10.2021 eine neue Nomenklatur.</w:t>
      </w:r>
    </w:p>
    <w:p w14:paraId="3CEA2921" w14:textId="77777777" w:rsidR="00C45ADB" w:rsidRPr="00DD758D" w:rsidRDefault="00C45ADB" w:rsidP="00C45ADB">
      <w:pPr>
        <w:rPr>
          <w:rFonts w:cstheme="minorHAnsi"/>
        </w:rPr>
      </w:pPr>
    </w:p>
    <w:p w14:paraId="483DC075" w14:textId="0F41C4E8" w:rsidR="00C45ADB" w:rsidRDefault="00C45ADB" w:rsidP="003C2438">
      <w:pPr>
        <w:spacing w:after="200"/>
        <w:rPr>
          <w:rFonts w:cs="Arial"/>
        </w:rPr>
      </w:pPr>
      <w:r w:rsidRPr="00ED0645">
        <w:rPr>
          <w:noProof/>
        </w:rPr>
        <w:drawing>
          <wp:inline distT="0" distB="0" distL="0" distR="0" wp14:anchorId="692BB1C0" wp14:editId="40610B26">
            <wp:extent cx="5759450" cy="546100"/>
            <wp:effectExtent l="0" t="0" r="0" b="635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9450" cy="546100"/>
                    </a:xfrm>
                    <a:prstGeom prst="rect">
                      <a:avLst/>
                    </a:prstGeom>
                    <a:noFill/>
                    <a:ln>
                      <a:noFill/>
                    </a:ln>
                  </pic:spPr>
                </pic:pic>
              </a:graphicData>
            </a:graphic>
          </wp:inline>
        </w:drawing>
      </w:r>
    </w:p>
    <w:p w14:paraId="723AE20B" w14:textId="559D4BD1" w:rsidR="004A3B0B" w:rsidRDefault="001F1E9E" w:rsidP="00A120D0">
      <w:pPr>
        <w:pStyle w:val="Abbildung"/>
        <w:spacing w:before="240" w:after="360"/>
      </w:pPr>
      <w:bookmarkStart w:id="149" w:name="_Toc437530307"/>
      <w:bookmarkStart w:id="150" w:name="_Toc111118587"/>
      <w:bookmarkStart w:id="151" w:name="_Toc111196133"/>
      <w:r w:rsidRPr="00996036">
        <w:rPr>
          <w:b/>
        </w:rPr>
        <w:t xml:space="preserve">Abbildung </w:t>
      </w:r>
      <w:r w:rsidR="00561FFA" w:rsidRPr="00996036">
        <w:rPr>
          <w:b/>
        </w:rPr>
        <w:fldChar w:fldCharType="begin"/>
      </w:r>
      <w:r w:rsidRPr="00996036">
        <w:rPr>
          <w:b/>
        </w:rPr>
        <w:instrText xml:space="preserve"> SEQ Abbildung \* ARABIC </w:instrText>
      </w:r>
      <w:r w:rsidR="00561FFA" w:rsidRPr="00996036">
        <w:rPr>
          <w:b/>
        </w:rPr>
        <w:fldChar w:fldCharType="separate"/>
      </w:r>
      <w:r w:rsidR="00D400FA">
        <w:rPr>
          <w:b/>
        </w:rPr>
        <w:t>4</w:t>
      </w:r>
      <w:r w:rsidR="00561FFA" w:rsidRPr="00996036">
        <w:rPr>
          <w:b/>
        </w:rPr>
        <w:fldChar w:fldCharType="end"/>
      </w:r>
      <w:r w:rsidRPr="00996036">
        <w:rPr>
          <w:b/>
        </w:rPr>
        <w:t xml:space="preserve">: </w:t>
      </w:r>
      <w:r w:rsidRPr="00096960">
        <w:rPr>
          <w:b/>
        </w:rPr>
        <w:t xml:space="preserve">Identifikationsnummer von </w:t>
      </w:r>
      <w:r w:rsidRPr="00B42116">
        <w:rPr>
          <w:b/>
        </w:rPr>
        <w:t>N</w:t>
      </w:r>
      <w:r w:rsidR="00B1487B">
        <w:rPr>
          <w:b/>
        </w:rPr>
        <w:t>K</w:t>
      </w:r>
      <w:r w:rsidR="004D0D48">
        <w:rPr>
          <w:b/>
        </w:rPr>
        <w:t>BO</w:t>
      </w:r>
      <w:r w:rsidRPr="00B42116">
        <w:rPr>
          <w:b/>
        </w:rPr>
        <w:t xml:space="preserve"> </w:t>
      </w:r>
      <w:r w:rsidRPr="00096960">
        <w:rPr>
          <w:b/>
        </w:rPr>
        <w:t>im Marktgebiet</w:t>
      </w:r>
      <w:bookmarkEnd w:id="149"/>
      <w:bookmarkEnd w:id="150"/>
      <w:bookmarkEnd w:id="151"/>
    </w:p>
    <w:p w14:paraId="6C9EA205" w14:textId="77777777" w:rsidR="007E05AB" w:rsidRDefault="00DF612D" w:rsidP="00D90179">
      <w:pPr>
        <w:pStyle w:val="berschrift2"/>
        <w:spacing w:before="480"/>
        <w:ind w:left="567" w:hanging="567"/>
      </w:pPr>
      <w:bookmarkStart w:id="152" w:name="_Toc318120253"/>
      <w:bookmarkStart w:id="153" w:name="_Toc391540132"/>
      <w:bookmarkStart w:id="154" w:name="_Toc412661294"/>
      <w:bookmarkStart w:id="155" w:name="_Toc111118445"/>
      <w:r>
        <w:t xml:space="preserve">Zuordnung von </w:t>
      </w:r>
      <w:r w:rsidR="006E19EF">
        <w:t>Ein- und Ausspeisep</w:t>
      </w:r>
      <w:r>
        <w:t>unkten</w:t>
      </w:r>
      <w:r w:rsidR="006D68E5">
        <w:t xml:space="preserve"> </w:t>
      </w:r>
      <w:r>
        <w:t>zu Bilanzkreisen</w:t>
      </w:r>
      <w:bookmarkEnd w:id="152"/>
      <w:bookmarkEnd w:id="153"/>
      <w:bookmarkEnd w:id="154"/>
      <w:bookmarkEnd w:id="155"/>
    </w:p>
    <w:p w14:paraId="1CBA92AE" w14:textId="649F3618" w:rsidR="004259E3" w:rsidRDefault="00DF612D" w:rsidP="003C2438">
      <w:pPr>
        <w:autoSpaceDE w:val="0"/>
        <w:autoSpaceDN w:val="0"/>
        <w:adjustRightInd w:val="0"/>
        <w:rPr>
          <w:rFonts w:cs="Arial"/>
        </w:rPr>
      </w:pPr>
      <w:r>
        <w:rPr>
          <w:rFonts w:cs="Arial"/>
        </w:rPr>
        <w:t>(Rechnungs-)</w:t>
      </w:r>
      <w:r w:rsidRPr="0005161B">
        <w:rPr>
          <w:rFonts w:cs="Arial"/>
        </w:rPr>
        <w:t>Bilanzkreis</w:t>
      </w:r>
      <w:r w:rsidRPr="004628C2">
        <w:rPr>
          <w:rFonts w:cs="Arial"/>
        </w:rPr>
        <w:t>e</w:t>
      </w:r>
      <w:r>
        <w:rPr>
          <w:rFonts w:cs="Arial"/>
        </w:rPr>
        <w:t>, Unterbilanzkreise bzw. Sub-Bilanzkonten</w:t>
      </w:r>
      <w:r w:rsidRPr="004628C2">
        <w:rPr>
          <w:rFonts w:cs="Arial"/>
        </w:rPr>
        <w:t xml:space="preserve"> werden </w:t>
      </w:r>
      <w:r>
        <w:rPr>
          <w:rFonts w:cs="Arial"/>
        </w:rPr>
        <w:t>vom</w:t>
      </w:r>
      <w:r w:rsidRPr="004628C2">
        <w:rPr>
          <w:rFonts w:cs="Arial"/>
        </w:rPr>
        <w:t xml:space="preserve"> </w:t>
      </w:r>
      <w:r>
        <w:rPr>
          <w:rFonts w:cs="Arial"/>
        </w:rPr>
        <w:t>MGV</w:t>
      </w:r>
      <w:r w:rsidRPr="004628C2">
        <w:rPr>
          <w:rFonts w:cs="Arial"/>
        </w:rPr>
        <w:t xml:space="preserve"> </w:t>
      </w:r>
      <w:r>
        <w:rPr>
          <w:rFonts w:cs="Arial"/>
        </w:rPr>
        <w:t xml:space="preserve">eingerichtet und </w:t>
      </w:r>
      <w:r w:rsidRPr="004628C2">
        <w:rPr>
          <w:rFonts w:cs="Arial"/>
        </w:rPr>
        <w:t xml:space="preserve">geführt. </w:t>
      </w:r>
      <w:r w:rsidR="00A64019">
        <w:rPr>
          <w:rFonts w:cs="Arial"/>
        </w:rPr>
        <w:t>BK</w:t>
      </w:r>
      <w:r w:rsidR="00A64019" w:rsidRPr="003B151A">
        <w:rPr>
          <w:rFonts w:cs="Arial"/>
        </w:rPr>
        <w:t xml:space="preserve"> </w:t>
      </w:r>
      <w:r w:rsidRPr="003B151A">
        <w:rPr>
          <w:rFonts w:cs="Arial"/>
        </w:rPr>
        <w:t>können</w:t>
      </w:r>
      <w:r>
        <w:rPr>
          <w:rFonts w:cs="Arial"/>
        </w:rPr>
        <w:t xml:space="preserve"> beim MGV</w:t>
      </w:r>
      <w:r w:rsidRPr="003B151A">
        <w:rPr>
          <w:rFonts w:cs="Arial"/>
        </w:rPr>
        <w:t xml:space="preserve"> mit dem Status „besch</w:t>
      </w:r>
      <w:r>
        <w:rPr>
          <w:rFonts w:cs="Arial"/>
        </w:rPr>
        <w:t xml:space="preserve">ränkt zuordenbare Kapazitäten“ </w:t>
      </w:r>
      <w:r w:rsidRPr="003B151A">
        <w:rPr>
          <w:rFonts w:cs="Arial"/>
        </w:rPr>
        <w:t xml:space="preserve">oder mit dem Status „frei zuordenbare Kapazitäten“ abgeschlossen werden. </w:t>
      </w:r>
      <w:r>
        <w:rPr>
          <w:rFonts w:cs="Arial"/>
        </w:rPr>
        <w:t xml:space="preserve">Im Rahmen der </w:t>
      </w:r>
      <w:proofErr w:type="spellStart"/>
      <w:r>
        <w:rPr>
          <w:rFonts w:cs="Arial"/>
        </w:rPr>
        <w:t>GeLi</w:t>
      </w:r>
      <w:proofErr w:type="spellEnd"/>
      <w:r w:rsidR="00A94A14">
        <w:rPr>
          <w:rFonts w:cs="Arial"/>
        </w:rPr>
        <w:t>-</w:t>
      </w:r>
      <w:r>
        <w:rPr>
          <w:rFonts w:cs="Arial"/>
        </w:rPr>
        <w:t>Gas</w:t>
      </w:r>
      <w:r w:rsidR="00A94A14">
        <w:rPr>
          <w:rFonts w:cs="Arial"/>
        </w:rPr>
        <w:t>-</w:t>
      </w:r>
      <w:r>
        <w:rPr>
          <w:rFonts w:cs="Arial"/>
        </w:rPr>
        <w:t xml:space="preserve">Prozesse werden </w:t>
      </w:r>
      <w:r w:rsidR="000F2754">
        <w:rPr>
          <w:rFonts w:cs="Arial"/>
        </w:rPr>
        <w:t>Marktlokationen</w:t>
      </w:r>
      <w:r w:rsidR="000F2754" w:rsidDel="000F2754">
        <w:rPr>
          <w:rFonts w:cs="Arial"/>
        </w:rPr>
        <w:t xml:space="preserve"> </w:t>
      </w:r>
      <w:r>
        <w:rPr>
          <w:rFonts w:cs="Arial"/>
        </w:rPr>
        <w:t xml:space="preserve">(SLP und RLM) einem </w:t>
      </w:r>
      <w:r w:rsidR="00A64019">
        <w:rPr>
          <w:rFonts w:cs="Arial"/>
        </w:rPr>
        <w:t>BK</w:t>
      </w:r>
      <w:r>
        <w:rPr>
          <w:rFonts w:cs="Arial"/>
        </w:rPr>
        <w:t xml:space="preserve"> oder </w:t>
      </w:r>
      <w:r w:rsidR="00A64019">
        <w:rPr>
          <w:rFonts w:cs="Arial"/>
        </w:rPr>
        <w:t>SBK</w:t>
      </w:r>
      <w:r>
        <w:rPr>
          <w:rFonts w:cs="Arial"/>
        </w:rPr>
        <w:t xml:space="preserve"> zugeordnet. Der </w:t>
      </w:r>
      <w:r w:rsidR="009C4E7A">
        <w:rPr>
          <w:rFonts w:cs="Arial"/>
        </w:rPr>
        <w:t>KN</w:t>
      </w:r>
      <w:r>
        <w:rPr>
          <w:rFonts w:cs="Arial"/>
        </w:rPr>
        <w:t xml:space="preserve"> bringt gebuchte </w:t>
      </w:r>
      <w:r w:rsidRPr="003D08F6">
        <w:rPr>
          <w:rFonts w:cs="Arial"/>
        </w:rPr>
        <w:t>Kapazitäten</w:t>
      </w:r>
      <w:r>
        <w:rPr>
          <w:rFonts w:cs="Arial"/>
        </w:rPr>
        <w:t xml:space="preserve"> an </w:t>
      </w:r>
      <w:r w:rsidR="006E19EF">
        <w:rPr>
          <w:rFonts w:cs="Arial"/>
        </w:rPr>
        <w:t>Ein- und Ausspeisep</w:t>
      </w:r>
      <w:r>
        <w:rPr>
          <w:rFonts w:cs="Arial"/>
        </w:rPr>
        <w:t>unkten</w:t>
      </w:r>
      <w:r w:rsidR="009C4E7A" w:rsidRPr="009C4E7A">
        <w:rPr>
          <w:rFonts w:cs="Arial"/>
        </w:rPr>
        <w:t xml:space="preserve"> </w:t>
      </w:r>
      <w:r w:rsidR="009C4E7A">
        <w:rPr>
          <w:rFonts w:cs="Arial"/>
        </w:rPr>
        <w:t xml:space="preserve">in einem </w:t>
      </w:r>
      <w:proofErr w:type="spellStart"/>
      <w:r w:rsidR="009C4E7A">
        <w:rPr>
          <w:rFonts w:cs="Arial"/>
        </w:rPr>
        <w:t>entry</w:t>
      </w:r>
      <w:proofErr w:type="spellEnd"/>
      <w:r w:rsidR="009C4E7A">
        <w:rPr>
          <w:rFonts w:cs="Arial"/>
        </w:rPr>
        <w:t>-exit-System</w:t>
      </w:r>
      <w:r>
        <w:rPr>
          <w:rFonts w:cs="Arial"/>
        </w:rPr>
        <w:t xml:space="preserve"> in </w:t>
      </w:r>
      <w:r w:rsidR="00A64019">
        <w:rPr>
          <w:rFonts w:cs="Arial"/>
        </w:rPr>
        <w:t>BK</w:t>
      </w:r>
      <w:r w:rsidR="00A64019" w:rsidRPr="004628C2">
        <w:rPr>
          <w:rFonts w:cs="Arial"/>
        </w:rPr>
        <w:t xml:space="preserve"> </w:t>
      </w:r>
      <w:r>
        <w:rPr>
          <w:rFonts w:cs="Arial"/>
        </w:rPr>
        <w:t xml:space="preserve">oder </w:t>
      </w:r>
      <w:r w:rsidR="00A64019">
        <w:rPr>
          <w:rFonts w:cs="Arial"/>
        </w:rPr>
        <w:t>SBK</w:t>
      </w:r>
      <w:r>
        <w:rPr>
          <w:rFonts w:cs="Arial"/>
        </w:rPr>
        <w:t xml:space="preserve"> </w:t>
      </w:r>
      <w:r w:rsidRPr="00DF4296">
        <w:rPr>
          <w:rFonts w:cs="Arial"/>
        </w:rPr>
        <w:t>ein.</w:t>
      </w:r>
    </w:p>
    <w:p w14:paraId="3C99D03D" w14:textId="079311DB" w:rsidR="00A64019" w:rsidRDefault="00126998" w:rsidP="003C2438">
      <w:pPr>
        <w:autoSpaceDE w:val="0"/>
        <w:autoSpaceDN w:val="0"/>
        <w:adjustRightInd w:val="0"/>
        <w:rPr>
          <w:rFonts w:cs="Arial"/>
        </w:rPr>
      </w:pPr>
      <w:r>
        <w:rPr>
          <w:rFonts w:cs="Arial"/>
        </w:rPr>
        <w:t xml:space="preserve">Zur Umsetzung von BEATE richtet der MGV </w:t>
      </w:r>
      <w:r w:rsidR="00A64019">
        <w:rPr>
          <w:rFonts w:cs="Arial"/>
        </w:rPr>
        <w:t>BK</w:t>
      </w:r>
      <w:r w:rsidR="00A23805">
        <w:rPr>
          <w:rFonts w:cs="Arial"/>
        </w:rPr>
        <w:t xml:space="preserve"> ein, die ausschließlich für die Einbringung </w:t>
      </w:r>
      <w:proofErr w:type="spellStart"/>
      <w:r>
        <w:rPr>
          <w:rFonts w:cs="Arial"/>
        </w:rPr>
        <w:t>unrabattierter</w:t>
      </w:r>
      <w:proofErr w:type="spellEnd"/>
      <w:r>
        <w:rPr>
          <w:rFonts w:cs="Arial"/>
        </w:rPr>
        <w:t xml:space="preserve"> Kapazitäten an Ein- und Ausspeisepunkten </w:t>
      </w:r>
      <w:r w:rsidR="00124101">
        <w:rPr>
          <w:rFonts w:cs="Arial"/>
        </w:rPr>
        <w:t>an</w:t>
      </w:r>
      <w:r>
        <w:rPr>
          <w:rFonts w:cs="Arial"/>
        </w:rPr>
        <w:t xml:space="preserve"> Gasspeichern, die </w:t>
      </w:r>
      <w:r w:rsidRPr="008E41B1">
        <w:rPr>
          <w:rFonts w:cs="Arial"/>
        </w:rPr>
        <w:t>den Sp</w:t>
      </w:r>
      <w:r>
        <w:rPr>
          <w:rFonts w:cs="Arial"/>
        </w:rPr>
        <w:t xml:space="preserve">eicherkunden </w:t>
      </w:r>
      <w:r w:rsidR="00A23805">
        <w:rPr>
          <w:rFonts w:cs="Arial"/>
        </w:rPr>
        <w:t xml:space="preserve">den Übergang </w:t>
      </w:r>
      <w:r w:rsidRPr="008E41B1">
        <w:rPr>
          <w:rFonts w:cs="Arial"/>
        </w:rPr>
        <w:t xml:space="preserve">zum Markt eines Nachbarstaates </w:t>
      </w:r>
      <w:r w:rsidR="0093244D">
        <w:rPr>
          <w:rFonts w:cs="Arial"/>
        </w:rPr>
        <w:t>ermöglichen,</w:t>
      </w:r>
      <w:r w:rsidR="00575565">
        <w:rPr>
          <w:rFonts w:cs="Arial"/>
        </w:rPr>
        <w:t xml:space="preserve"> vorgesehen sind.</w:t>
      </w:r>
      <w:r w:rsidR="00A23805">
        <w:rPr>
          <w:rFonts w:cs="Arial"/>
        </w:rPr>
        <w:t xml:space="preserve"> </w:t>
      </w:r>
      <w:r w:rsidR="00932B16">
        <w:rPr>
          <w:rFonts w:cs="Arial"/>
        </w:rPr>
        <w:t>Dies ist erforderlich, damit der Speicherbetreiber an</w:t>
      </w:r>
      <w:r w:rsidR="00BC720E">
        <w:rPr>
          <w:rFonts w:cs="Arial"/>
        </w:rPr>
        <w:t>h</w:t>
      </w:r>
      <w:r w:rsidR="00932B16">
        <w:rPr>
          <w:rFonts w:cs="Arial"/>
        </w:rPr>
        <w:t xml:space="preserve">and </w:t>
      </w:r>
      <w:r w:rsidR="00124101">
        <w:rPr>
          <w:rFonts w:cs="Arial"/>
        </w:rPr>
        <w:t xml:space="preserve">der </w:t>
      </w:r>
      <w:r w:rsidR="00932B16">
        <w:rPr>
          <w:rFonts w:cs="Arial"/>
        </w:rPr>
        <w:t xml:space="preserve">im Rahmen der Nominierung übermittelten Bilanzkreiscodes die Zuordnung von Mengen zu den in BEATE vorgesehenen Speicherkonten vornehmen kann. </w:t>
      </w:r>
      <w:r w:rsidR="00A23805">
        <w:rPr>
          <w:rFonts w:cs="Arial"/>
        </w:rPr>
        <w:t xml:space="preserve">Für diese </w:t>
      </w:r>
      <w:r w:rsidR="00A64019">
        <w:rPr>
          <w:rFonts w:cs="Arial"/>
        </w:rPr>
        <w:t>BK</w:t>
      </w:r>
      <w:r w:rsidR="0093244D">
        <w:rPr>
          <w:rFonts w:cs="Arial"/>
        </w:rPr>
        <w:t xml:space="preserve"> reserviert der MGV einen </w:t>
      </w:r>
      <w:r w:rsidR="00A23805">
        <w:rPr>
          <w:rFonts w:cs="Arial"/>
        </w:rPr>
        <w:t>festen Nummernkreis oder er vergibt eine besondere Nomenklatur</w:t>
      </w:r>
      <w:r w:rsidR="001F1E9E">
        <w:rPr>
          <w:rFonts w:cs="Arial"/>
        </w:rPr>
        <w:t xml:space="preserve"> (siehe Kap. </w:t>
      </w:r>
      <w:r w:rsidR="00561FFA">
        <w:rPr>
          <w:rFonts w:cs="Arial"/>
        </w:rPr>
        <w:fldChar w:fldCharType="begin"/>
      </w:r>
      <w:r w:rsidR="001F1E9E">
        <w:rPr>
          <w:rFonts w:cs="Arial"/>
        </w:rPr>
        <w:instrText xml:space="preserve"> REF _Ref436644195 \r \h </w:instrText>
      </w:r>
      <w:r w:rsidR="00561FFA">
        <w:rPr>
          <w:rFonts w:cs="Arial"/>
        </w:rPr>
      </w:r>
      <w:r w:rsidR="00561FFA">
        <w:rPr>
          <w:rFonts w:cs="Arial"/>
        </w:rPr>
        <w:fldChar w:fldCharType="separate"/>
      </w:r>
      <w:r w:rsidR="00692E23">
        <w:rPr>
          <w:rFonts w:cs="Arial"/>
        </w:rPr>
        <w:t>2.6</w:t>
      </w:r>
      <w:r w:rsidR="00561FFA">
        <w:rPr>
          <w:rFonts w:cs="Arial"/>
        </w:rPr>
        <w:fldChar w:fldCharType="end"/>
      </w:r>
      <w:r w:rsidR="001F1E9E">
        <w:rPr>
          <w:rFonts w:cs="Arial"/>
        </w:rPr>
        <w:t>)</w:t>
      </w:r>
      <w:r w:rsidR="00124101">
        <w:rPr>
          <w:rFonts w:cs="Arial"/>
        </w:rPr>
        <w:t>.</w:t>
      </w:r>
    </w:p>
    <w:p w14:paraId="73D68262" w14:textId="46A0B4DB" w:rsidR="00A64019" w:rsidRDefault="0093244D" w:rsidP="003C2438">
      <w:pPr>
        <w:autoSpaceDE w:val="0"/>
        <w:autoSpaceDN w:val="0"/>
        <w:adjustRightInd w:val="0"/>
        <w:rPr>
          <w:rFonts w:cs="Arial"/>
        </w:rPr>
      </w:pPr>
      <w:r>
        <w:rPr>
          <w:rFonts w:cs="Arial"/>
        </w:rPr>
        <w:t xml:space="preserve">Kapazität an </w:t>
      </w:r>
      <w:r w:rsidR="00126998">
        <w:rPr>
          <w:rFonts w:cs="Arial"/>
        </w:rPr>
        <w:t>Ein- und Ausspeisepunkte</w:t>
      </w:r>
      <w:r>
        <w:rPr>
          <w:rFonts w:cs="Arial"/>
        </w:rPr>
        <w:t>n</w:t>
      </w:r>
      <w:r w:rsidR="00126998">
        <w:rPr>
          <w:rFonts w:cs="Arial"/>
        </w:rPr>
        <w:t xml:space="preserve"> </w:t>
      </w:r>
      <w:r w:rsidR="00124101">
        <w:rPr>
          <w:rFonts w:cs="Arial"/>
        </w:rPr>
        <w:t>an</w:t>
      </w:r>
      <w:r w:rsidR="00126998">
        <w:rPr>
          <w:rFonts w:cs="Arial"/>
        </w:rPr>
        <w:t xml:space="preserve"> Gasspeichern,</w:t>
      </w:r>
      <w:r w:rsidR="00126998" w:rsidRPr="003751AE">
        <w:rPr>
          <w:rFonts w:cs="Arial"/>
        </w:rPr>
        <w:t xml:space="preserve"> </w:t>
      </w:r>
      <w:r w:rsidR="00126998" w:rsidRPr="00205833">
        <w:rPr>
          <w:rFonts w:cs="Arial"/>
        </w:rPr>
        <w:t xml:space="preserve">die </w:t>
      </w:r>
      <w:r w:rsidR="00126998">
        <w:rPr>
          <w:rFonts w:cs="Arial"/>
        </w:rPr>
        <w:t xml:space="preserve">nicht </w:t>
      </w:r>
      <w:r w:rsidR="00126998" w:rsidRPr="00205833">
        <w:rPr>
          <w:rFonts w:cs="Arial"/>
        </w:rPr>
        <w:t xml:space="preserve">mit einem rabattierten Entgelt </w:t>
      </w:r>
      <w:r w:rsidR="00126998">
        <w:rPr>
          <w:rFonts w:cs="Arial"/>
        </w:rPr>
        <w:t xml:space="preserve">gemäß BEATE </w:t>
      </w:r>
      <w:r w:rsidR="00126998" w:rsidRPr="00205833">
        <w:rPr>
          <w:rFonts w:cs="Arial"/>
        </w:rPr>
        <w:t xml:space="preserve">bepreist </w:t>
      </w:r>
      <w:r w:rsidR="00932B16">
        <w:rPr>
          <w:rFonts w:cs="Arial"/>
        </w:rPr>
        <w:t>sind</w:t>
      </w:r>
      <w:r w:rsidR="00126998">
        <w:rPr>
          <w:rFonts w:cs="Arial"/>
        </w:rPr>
        <w:t xml:space="preserve"> </w:t>
      </w:r>
      <w:r w:rsidR="00126998" w:rsidRPr="00205833">
        <w:rPr>
          <w:rFonts w:cs="Arial"/>
        </w:rPr>
        <w:t xml:space="preserve">(nachfolgend </w:t>
      </w:r>
      <w:r w:rsidR="00126998">
        <w:rPr>
          <w:rFonts w:cs="Arial"/>
        </w:rPr>
        <w:t>„</w:t>
      </w:r>
      <w:proofErr w:type="spellStart"/>
      <w:r w:rsidR="00126998">
        <w:rPr>
          <w:rFonts w:cs="Arial"/>
        </w:rPr>
        <w:t>un</w:t>
      </w:r>
      <w:r w:rsidR="00126998" w:rsidRPr="00205833">
        <w:rPr>
          <w:rFonts w:cs="Arial"/>
        </w:rPr>
        <w:t>rabattierte</w:t>
      </w:r>
      <w:proofErr w:type="spellEnd"/>
      <w:r w:rsidR="00126998" w:rsidRPr="00205833">
        <w:rPr>
          <w:rFonts w:cs="Arial"/>
        </w:rPr>
        <w:t xml:space="preserve"> Kapazität</w:t>
      </w:r>
      <w:r w:rsidR="00126998">
        <w:rPr>
          <w:rFonts w:cs="Arial"/>
        </w:rPr>
        <w:t>“</w:t>
      </w:r>
      <w:r w:rsidR="00126998" w:rsidRPr="00205833">
        <w:rPr>
          <w:rFonts w:cs="Arial"/>
        </w:rPr>
        <w:t>)</w:t>
      </w:r>
      <w:r w:rsidR="00126998">
        <w:rPr>
          <w:rFonts w:cs="Arial"/>
        </w:rPr>
        <w:t xml:space="preserve">, </w:t>
      </w:r>
      <w:r w:rsidR="00D92FFB" w:rsidRPr="007E7539">
        <w:rPr>
          <w:rFonts w:cs="Arial"/>
        </w:rPr>
        <w:t xml:space="preserve">dürfen in Höhe der Buchung der </w:t>
      </w:r>
      <w:proofErr w:type="spellStart"/>
      <w:r w:rsidR="00D92FFB" w:rsidRPr="007E7539">
        <w:rPr>
          <w:rFonts w:cs="Arial"/>
        </w:rPr>
        <w:t>unrabattierten</w:t>
      </w:r>
      <w:proofErr w:type="spellEnd"/>
      <w:r w:rsidR="00D92FFB" w:rsidRPr="007E7539">
        <w:rPr>
          <w:rFonts w:cs="Arial"/>
        </w:rPr>
        <w:t xml:space="preserve"> Kapazität ausschließlich in einen oder mehrere besonders gekennzeichnete Bilanzkreise/Sub-Bilanzkonten für </w:t>
      </w:r>
      <w:proofErr w:type="spellStart"/>
      <w:r w:rsidR="00D92FFB" w:rsidRPr="007E7539">
        <w:rPr>
          <w:rFonts w:cs="Arial"/>
        </w:rPr>
        <w:t>unrabattierte</w:t>
      </w:r>
      <w:proofErr w:type="spellEnd"/>
      <w:r w:rsidR="00D92FFB" w:rsidRPr="007E7539">
        <w:rPr>
          <w:rFonts w:cs="Arial"/>
        </w:rPr>
        <w:t xml:space="preserve"> Kapazität</w:t>
      </w:r>
      <w:r w:rsidR="00D92FFB">
        <w:rPr>
          <w:rFonts w:cs="Arial"/>
        </w:rPr>
        <w:t xml:space="preserve"> </w:t>
      </w:r>
      <w:r w:rsidR="00D92FFB" w:rsidRPr="007E7539">
        <w:rPr>
          <w:rFonts w:cs="Arial"/>
        </w:rPr>
        <w:t>eingebracht werden.</w:t>
      </w:r>
      <w:r w:rsidR="00126998">
        <w:rPr>
          <w:rFonts w:cs="Arial"/>
        </w:rPr>
        <w:t xml:space="preserve"> Ein </w:t>
      </w:r>
      <w:r w:rsidR="00A64019">
        <w:rPr>
          <w:rFonts w:cs="Arial"/>
        </w:rPr>
        <w:t>SBK</w:t>
      </w:r>
      <w:r w:rsidR="00126998">
        <w:rPr>
          <w:rFonts w:cs="Arial"/>
        </w:rPr>
        <w:t xml:space="preserve"> für </w:t>
      </w:r>
      <w:proofErr w:type="spellStart"/>
      <w:r w:rsidR="00126998">
        <w:rPr>
          <w:rFonts w:cs="Arial"/>
        </w:rPr>
        <w:t>unraba</w:t>
      </w:r>
      <w:r>
        <w:rPr>
          <w:rFonts w:cs="Arial"/>
        </w:rPr>
        <w:t>t</w:t>
      </w:r>
      <w:r w:rsidR="00126998">
        <w:rPr>
          <w:rFonts w:cs="Arial"/>
        </w:rPr>
        <w:t>tierte</w:t>
      </w:r>
      <w:proofErr w:type="spellEnd"/>
      <w:r w:rsidR="00126998">
        <w:rPr>
          <w:rFonts w:cs="Arial"/>
        </w:rPr>
        <w:t xml:space="preserve"> Kapazität kann nur im Rahmen eines bestehenden </w:t>
      </w:r>
      <w:r w:rsidR="00A64019">
        <w:rPr>
          <w:rFonts w:cs="Arial"/>
        </w:rPr>
        <w:t>BK</w:t>
      </w:r>
      <w:r w:rsidR="00126998">
        <w:rPr>
          <w:rFonts w:cs="Arial"/>
        </w:rPr>
        <w:t xml:space="preserve"> für </w:t>
      </w:r>
      <w:proofErr w:type="spellStart"/>
      <w:r w:rsidR="00126998">
        <w:rPr>
          <w:rFonts w:cs="Arial"/>
        </w:rPr>
        <w:t>unrabat</w:t>
      </w:r>
      <w:r>
        <w:rPr>
          <w:rFonts w:cs="Arial"/>
        </w:rPr>
        <w:t>t</w:t>
      </w:r>
      <w:r w:rsidR="00126998">
        <w:rPr>
          <w:rFonts w:cs="Arial"/>
        </w:rPr>
        <w:t>ierte</w:t>
      </w:r>
      <w:proofErr w:type="spellEnd"/>
      <w:r w:rsidR="00126998">
        <w:rPr>
          <w:rFonts w:cs="Arial"/>
        </w:rPr>
        <w:t xml:space="preserve"> Kapazität gebildet werden.</w:t>
      </w:r>
      <w:r>
        <w:rPr>
          <w:rFonts w:cs="Arial"/>
        </w:rPr>
        <w:t xml:space="preserve"> Kapazität</w:t>
      </w:r>
      <w:r w:rsidR="00126998">
        <w:rPr>
          <w:rFonts w:cs="Arial"/>
        </w:rPr>
        <w:t xml:space="preserve"> an Gasspeichern</w:t>
      </w:r>
      <w:r>
        <w:rPr>
          <w:rFonts w:cs="Arial"/>
        </w:rPr>
        <w:t>,</w:t>
      </w:r>
      <w:r w:rsidR="00126998" w:rsidRPr="003751AE">
        <w:rPr>
          <w:rFonts w:cs="Arial"/>
        </w:rPr>
        <w:t xml:space="preserve"> </w:t>
      </w:r>
      <w:r w:rsidR="00126998" w:rsidRPr="00205833">
        <w:rPr>
          <w:rFonts w:cs="Arial"/>
        </w:rPr>
        <w:t xml:space="preserve">die mit einem rabattierten Entgelt </w:t>
      </w:r>
      <w:r w:rsidR="00126998">
        <w:rPr>
          <w:rFonts w:cs="Arial"/>
        </w:rPr>
        <w:t xml:space="preserve">gemäß den Vorgaben des Tenors von BEATE </w:t>
      </w:r>
      <w:r w:rsidR="00126998" w:rsidRPr="00205833">
        <w:rPr>
          <w:rFonts w:cs="Arial"/>
        </w:rPr>
        <w:t>bepreist ist</w:t>
      </w:r>
      <w:r>
        <w:rPr>
          <w:rFonts w:cs="Arial"/>
        </w:rPr>
        <w:t>,</w:t>
      </w:r>
      <w:r w:rsidR="00126998">
        <w:rPr>
          <w:rFonts w:cs="Arial"/>
        </w:rPr>
        <w:t xml:space="preserve"> d</w:t>
      </w:r>
      <w:r>
        <w:rPr>
          <w:rFonts w:cs="Arial"/>
        </w:rPr>
        <w:t>arf</w:t>
      </w:r>
      <w:r w:rsidR="00126998">
        <w:rPr>
          <w:rFonts w:cs="Arial"/>
        </w:rPr>
        <w:t xml:space="preserve"> </w:t>
      </w:r>
      <w:r>
        <w:rPr>
          <w:rFonts w:cs="Arial"/>
        </w:rPr>
        <w:t xml:space="preserve">nicht in </w:t>
      </w:r>
      <w:proofErr w:type="spellStart"/>
      <w:r>
        <w:rPr>
          <w:rFonts w:cs="Arial"/>
        </w:rPr>
        <w:t>unrabattierte</w:t>
      </w:r>
      <w:proofErr w:type="spellEnd"/>
      <w:r>
        <w:rPr>
          <w:rFonts w:cs="Arial"/>
        </w:rPr>
        <w:t xml:space="preserve"> </w:t>
      </w:r>
      <w:r w:rsidR="00A64019">
        <w:rPr>
          <w:rFonts w:cs="Arial"/>
        </w:rPr>
        <w:t>BK</w:t>
      </w:r>
      <w:r w:rsidR="00126998">
        <w:rPr>
          <w:rFonts w:cs="Arial"/>
        </w:rPr>
        <w:t>/</w:t>
      </w:r>
      <w:r w:rsidR="00A64019">
        <w:rPr>
          <w:rFonts w:cs="Arial"/>
        </w:rPr>
        <w:t>SBK</w:t>
      </w:r>
      <w:r w:rsidR="00126998">
        <w:rPr>
          <w:rFonts w:cs="Arial"/>
        </w:rPr>
        <w:t xml:space="preserve"> eingebracht werden</w:t>
      </w:r>
      <w:r>
        <w:rPr>
          <w:rFonts w:cs="Arial"/>
        </w:rPr>
        <w:t>.</w:t>
      </w:r>
    </w:p>
    <w:p w14:paraId="29BBAFFC" w14:textId="64884E07" w:rsidR="00031D18" w:rsidRDefault="00031D18" w:rsidP="00031D18">
      <w:pPr>
        <w:autoSpaceDE w:val="0"/>
        <w:autoSpaceDN w:val="0"/>
        <w:adjustRightInd w:val="0"/>
      </w:pPr>
      <w:r>
        <w:rPr>
          <w:rFonts w:cs="Arial"/>
        </w:rPr>
        <w:t>Bei der Nutzung von Ausspeisepunkten an Gasspeichern muss der BKV gesondert gekennzeichnete BK (speicherumlagebefreiter BK) beim MGV abschließen und der TK muss seine Kapazitäten an diesen Ausspeisepunkten bzw. diese</w:t>
      </w:r>
      <w:r w:rsidR="003817EA">
        <w:rPr>
          <w:rFonts w:cs="Arial"/>
        </w:rPr>
        <w:t>n</w:t>
      </w:r>
      <w:r>
        <w:rPr>
          <w:rFonts w:cs="Arial"/>
        </w:rPr>
        <w:t xml:space="preserve"> Marktlokationen in diese BK einbringen bzw. </w:t>
      </w:r>
      <w:r w:rsidR="00587E44">
        <w:rPr>
          <w:rFonts w:cs="Arial"/>
        </w:rPr>
        <w:t xml:space="preserve">diesen BK </w:t>
      </w:r>
      <w:r>
        <w:rPr>
          <w:rFonts w:cs="Arial"/>
        </w:rPr>
        <w:t>zuordnen, damit diese Mengen nicht mit der Speicherumlage belegt werden.</w:t>
      </w:r>
    </w:p>
    <w:p w14:paraId="1E4720A2" w14:textId="76D3544E" w:rsidR="00031D18" w:rsidRDefault="00031D18" w:rsidP="00031D18">
      <w:pPr>
        <w:autoSpaceDE w:val="0"/>
        <w:autoSpaceDN w:val="0"/>
        <w:adjustRightInd w:val="0"/>
      </w:pPr>
      <w:r>
        <w:lastRenderedPageBreak/>
        <w:t>Netzbetreiber mit mindestens einem Ausspeisepunkt an Grenzübergängen stellen sicher, dass diese Ausspeisepunkte nicht einem gesondert gekennzeichneten Bilanzkreis (</w:t>
      </w:r>
      <w:r>
        <w:rPr>
          <w:rFonts w:cs="Arial"/>
        </w:rPr>
        <w:t>speicherumlagebefreiter Bilanzkreis</w:t>
      </w:r>
      <w:r>
        <w:t xml:space="preserve">, </w:t>
      </w:r>
      <w:r w:rsidR="008366EB">
        <w:t xml:space="preserve">zur </w:t>
      </w:r>
      <w:r>
        <w:t xml:space="preserve">Umsetzung der Speicherumlage gemäß </w:t>
      </w:r>
      <w:r w:rsidR="00302BF1">
        <w:t>§ </w:t>
      </w:r>
      <w:r>
        <w:t>35e Satz 1 EnWG</w:t>
      </w:r>
      <w:r w:rsidR="00302BF1">
        <w:t>)</w:t>
      </w:r>
      <w:r>
        <w:t xml:space="preserve"> zugeordnet werden.</w:t>
      </w:r>
    </w:p>
    <w:p w14:paraId="349B01A5" w14:textId="00D8E9C1" w:rsidR="00D31084" w:rsidRDefault="00D31084" w:rsidP="00D31084">
      <w:pPr>
        <w:autoSpaceDE w:val="0"/>
        <w:autoSpaceDN w:val="0"/>
        <w:adjustRightInd w:val="0"/>
        <w:rPr>
          <w:rFonts w:cs="Arial"/>
        </w:rPr>
      </w:pPr>
      <w:r>
        <w:t>Ab dem Zeitpunkt, ab dem der Zeitreihentyp für die Einspeicherung in einen Speicher (</w:t>
      </w:r>
      <w:proofErr w:type="spellStart"/>
      <w:r>
        <w:t>ExitSP</w:t>
      </w:r>
      <w:proofErr w:type="spellEnd"/>
      <w:r>
        <w:t>) anwendbar ist, erfolgt die Ermittlung der Ausspeisemengen aus dem Netz in den Speicher</w:t>
      </w:r>
      <w:r w:rsidR="005E5783">
        <w:t xml:space="preserve"> </w:t>
      </w:r>
      <w:r>
        <w:t>über diese</w:t>
      </w:r>
      <w:r w:rsidR="00302BF1">
        <w:t>n</w:t>
      </w:r>
      <w:r>
        <w:t xml:space="preserve"> Zeitreihe</w:t>
      </w:r>
      <w:r w:rsidR="00302BF1">
        <w:t>ntyp</w:t>
      </w:r>
      <w:r>
        <w:t xml:space="preserve">. Das Merkmal </w:t>
      </w:r>
      <w:r w:rsidR="003817EA">
        <w:t>„</w:t>
      </w:r>
      <w:r>
        <w:t>speicherumlagebefreit</w:t>
      </w:r>
      <w:r w:rsidR="003817EA">
        <w:t>“</w:t>
      </w:r>
      <w:r>
        <w:t xml:space="preserve"> bei den gesonderten gekennzeichneten Bilanzkreise</w:t>
      </w:r>
      <w:r w:rsidR="003817EA">
        <w:t xml:space="preserve">n </w:t>
      </w:r>
      <w:r>
        <w:t xml:space="preserve">entfällt zum Ende des Vortages des </w:t>
      </w:r>
      <w:proofErr w:type="spellStart"/>
      <w:r>
        <w:t>Gastages</w:t>
      </w:r>
      <w:proofErr w:type="spellEnd"/>
      <w:r w:rsidR="00F1072F">
        <w:t>,</w:t>
      </w:r>
      <w:r>
        <w:t xml:space="preserve"> ab dem der Zeitreihentyp </w:t>
      </w:r>
      <w:proofErr w:type="spellStart"/>
      <w:r>
        <w:t>ExitSP</w:t>
      </w:r>
      <w:proofErr w:type="spellEnd"/>
      <w:r>
        <w:t xml:space="preserve"> angewendet wird. Diese Bilanzkreise sind weiterhin nach den verbleiben</w:t>
      </w:r>
      <w:r w:rsidR="003817EA">
        <w:t>d</w:t>
      </w:r>
      <w:r>
        <w:t>en Merkmalen der Bilanzkreisbezeichnung nutzbar.</w:t>
      </w:r>
    </w:p>
    <w:p w14:paraId="0754DBB9" w14:textId="01FACE3C" w:rsidR="00DF612D" w:rsidRDefault="00DF612D" w:rsidP="003C2438">
      <w:pPr>
        <w:autoSpaceDE w:val="0"/>
        <w:autoSpaceDN w:val="0"/>
        <w:adjustRightInd w:val="0"/>
      </w:pPr>
      <w:r w:rsidRPr="00DF4296">
        <w:rPr>
          <w:rFonts w:cs="Arial"/>
        </w:rPr>
        <w:t>An GÜP und Speichern können Zuordnungen zu mehreren BK/SBK erfolgen. Der NB ermittelt bilanzkreisrelevante</w:t>
      </w:r>
      <w:r>
        <w:rPr>
          <w:rFonts w:cs="Arial"/>
        </w:rPr>
        <w:t xml:space="preserve"> Mengen, dies nennt sich Allokation. Diese Mengen werden einem BK/SBK zugeordnet und an den MGV gesendet,</w:t>
      </w:r>
      <w:r w:rsidRPr="00EC22F6">
        <w:rPr>
          <w:rFonts w:cs="Arial"/>
        </w:rPr>
        <w:t xml:space="preserve"> </w:t>
      </w:r>
      <w:r>
        <w:rPr>
          <w:rFonts w:cs="Arial"/>
        </w:rPr>
        <w:t xml:space="preserve">welcher seinerseits die Daten an den BKV kommuniziert. </w:t>
      </w:r>
      <w:r w:rsidRPr="00E9716F">
        <w:t xml:space="preserve">Im </w:t>
      </w:r>
      <w:r w:rsidRPr="00F171A8">
        <w:t>Rahmen eines bestehenden B</w:t>
      </w:r>
      <w:r>
        <w:t>K</w:t>
      </w:r>
      <w:r w:rsidRPr="00F171A8">
        <w:t xml:space="preserve"> kann der BKV </w:t>
      </w:r>
      <w:r>
        <w:t xml:space="preserve">ein </w:t>
      </w:r>
      <w:r w:rsidRPr="00F171A8">
        <w:t>S</w:t>
      </w:r>
      <w:r>
        <w:t>BK</w:t>
      </w:r>
      <w:r w:rsidRPr="00F171A8">
        <w:t xml:space="preserve"> beim MGV beantragen. Das S</w:t>
      </w:r>
      <w:r>
        <w:t>BK</w:t>
      </w:r>
      <w:r w:rsidRPr="00F171A8">
        <w:t xml:space="preserve"> ist ein Konto</w:t>
      </w:r>
      <w:r>
        <w:t xml:space="preserve"> </w:t>
      </w:r>
      <w:r w:rsidRPr="00A60B65">
        <w:t>mit einer eigenen Sub</w:t>
      </w:r>
      <w:r>
        <w:t>-B</w:t>
      </w:r>
      <w:r w:rsidRPr="00A60B65">
        <w:t xml:space="preserve">ilanzkontonummer. Es ist einem BK zugeordnet und </w:t>
      </w:r>
      <w:r>
        <w:t xml:space="preserve">ermöglicht </w:t>
      </w:r>
      <w:r w:rsidRPr="00A60B65">
        <w:t>die Zuordnung vo</w:t>
      </w:r>
      <w:r w:rsidR="009E3C6F">
        <w:t xml:space="preserve">n Ein- und Ausspeisemengen zum </w:t>
      </w:r>
      <w:r w:rsidRPr="00A60B65">
        <w:t>TK und/</w:t>
      </w:r>
      <w:r w:rsidR="00471538">
        <w:t xml:space="preserve"> </w:t>
      </w:r>
      <w:r w:rsidRPr="00A60B65">
        <w:t xml:space="preserve">oder die übersichtliche Darstellung von Teilmengen. SBK können analog zu BK mit einer </w:t>
      </w:r>
      <w:r w:rsidR="00510510">
        <w:t>F</w:t>
      </w:r>
      <w:r w:rsidRPr="00A60B65">
        <w:t xml:space="preserve">rist von </w:t>
      </w:r>
      <w:r w:rsidR="00A33089">
        <w:t>drei</w:t>
      </w:r>
      <w:r w:rsidR="00A33089" w:rsidRPr="00A60B65">
        <w:t xml:space="preserve"> </w:t>
      </w:r>
      <w:r w:rsidRPr="00A60B65">
        <w:t>Monaten</w:t>
      </w:r>
      <w:r w:rsidR="00C21A68">
        <w:t xml:space="preserve"> beendet</w:t>
      </w:r>
      <w:r w:rsidRPr="00A60B65">
        <w:t xml:space="preserve"> werden</w:t>
      </w:r>
      <w:r>
        <w:t>.</w:t>
      </w:r>
    </w:p>
    <w:p w14:paraId="5D7DEDE5" w14:textId="44E396A0" w:rsidR="00B11D47" w:rsidRDefault="00B11D47" w:rsidP="003C2438">
      <w:pPr>
        <w:autoSpaceDE w:val="0"/>
        <w:autoSpaceDN w:val="0"/>
        <w:adjustRightInd w:val="0"/>
      </w:pPr>
      <w:r w:rsidRPr="00F65C32">
        <w:t>Um die Differenzen im Netzkonto so gering wie möglich zu halten, ordnen die NB ihre Eigen</w:t>
      </w:r>
      <w:r>
        <w:t>verbrauchsstellen, wie z. </w:t>
      </w:r>
      <w:r w:rsidRPr="00F65C32">
        <w:t>B.</w:t>
      </w:r>
      <w:r w:rsidR="0026540B">
        <w:t xml:space="preserve"> an </w:t>
      </w:r>
      <w:proofErr w:type="spellStart"/>
      <w:r w:rsidRPr="00F65C32">
        <w:t>Vorwärmungen</w:t>
      </w:r>
      <w:proofErr w:type="spellEnd"/>
      <w:r>
        <w:t xml:space="preserve"> von Regelanlagen, </w:t>
      </w:r>
      <w:r w:rsidR="0026540B">
        <w:t xml:space="preserve">in </w:t>
      </w:r>
      <w:r>
        <w:t>Gebäude</w:t>
      </w:r>
      <w:r w:rsidR="0026540B">
        <w:t>n</w:t>
      </w:r>
      <w:r w:rsidRPr="00F65C32">
        <w:t xml:space="preserve"> etc.</w:t>
      </w:r>
      <w:r w:rsidR="006825AD">
        <w:t>,</w:t>
      </w:r>
      <w:r w:rsidRPr="00F65C32">
        <w:t xml:space="preserve"> einem Bilanzkreis zu.</w:t>
      </w:r>
    </w:p>
    <w:p w14:paraId="431C520B" w14:textId="77777777" w:rsidR="007E05AB" w:rsidRDefault="00DF612D" w:rsidP="00D90179">
      <w:pPr>
        <w:pStyle w:val="berschrift2"/>
        <w:spacing w:before="480"/>
        <w:ind w:left="567" w:hanging="567"/>
      </w:pPr>
      <w:bookmarkStart w:id="156" w:name="_Toc318120254"/>
      <w:bookmarkStart w:id="157" w:name="_Ref318989722"/>
      <w:bookmarkStart w:id="158" w:name="_Toc296694075"/>
      <w:bookmarkStart w:id="159" w:name="_Toc391540133"/>
      <w:bookmarkStart w:id="160" w:name="_Ref436644195"/>
      <w:bookmarkStart w:id="161" w:name="_Toc412661295"/>
      <w:bookmarkStart w:id="162" w:name="_Toc111118446"/>
      <w:r w:rsidRPr="008969A2">
        <w:t>Bilanzkreis</w:t>
      </w:r>
      <w:r>
        <w:t>nummer</w:t>
      </w:r>
      <w:r w:rsidRPr="008969A2">
        <w:t xml:space="preserve"> bzw. Bilanzkreisbezeichnung</w:t>
      </w:r>
      <w:bookmarkEnd w:id="156"/>
      <w:bookmarkEnd w:id="157"/>
      <w:bookmarkEnd w:id="158"/>
      <w:bookmarkEnd w:id="159"/>
      <w:bookmarkEnd w:id="160"/>
      <w:bookmarkEnd w:id="161"/>
      <w:bookmarkEnd w:id="162"/>
    </w:p>
    <w:p w14:paraId="30844065" w14:textId="6A16588E" w:rsidR="00846024" w:rsidRDefault="00DF612D" w:rsidP="003C2438">
      <w:r w:rsidRPr="008969A2">
        <w:rPr>
          <w:rFonts w:cs="Arial"/>
        </w:rPr>
        <w:t>Die Bilanzkreisnummer bzw. Sub-Bilanzkontonummer wird gemäß der Vergabelogik des DVGW erstellt und durch den MGV vergeben. Änderungen der Identifikationsnummer werden im Rahmen des Formatänderungsmanagements des DVGW konsultiert und veröffentlicht</w:t>
      </w:r>
      <w:r w:rsidR="002C219A">
        <w:rPr>
          <w:rFonts w:cs="Arial"/>
        </w:rPr>
        <w:t>.</w:t>
      </w:r>
    </w:p>
    <w:p w14:paraId="5CA738B5" w14:textId="124EDB40" w:rsidR="002C219A" w:rsidRPr="00145173" w:rsidRDefault="00BA1D2D" w:rsidP="003C2438">
      <w:hyperlink r:id="rId180" w:history="1">
        <w:r w:rsidR="002C219A" w:rsidRPr="00145173">
          <w:rPr>
            <w:rStyle w:val="Hyperlink"/>
          </w:rPr>
          <w:t>http://www.dvgw-sc.de/</w:t>
        </w:r>
      </w:hyperlink>
    </w:p>
    <w:p w14:paraId="163765AD" w14:textId="0E7E6191" w:rsidR="00DF612D" w:rsidRDefault="00DF612D" w:rsidP="003C2438">
      <w:pPr>
        <w:rPr>
          <w:rFonts w:cs="Arial"/>
        </w:rPr>
      </w:pPr>
      <w:r>
        <w:rPr>
          <w:rFonts w:cs="Arial"/>
        </w:rPr>
        <w:t xml:space="preserve">Die Bilanzkreisnummer bzw. die </w:t>
      </w:r>
      <w:r w:rsidR="00C44E92">
        <w:rPr>
          <w:rFonts w:cs="Arial"/>
        </w:rPr>
        <w:t>Sub-Bilanzkonten</w:t>
      </w:r>
      <w:r>
        <w:rPr>
          <w:rFonts w:cs="Arial"/>
        </w:rPr>
        <w:t>nummer</w:t>
      </w:r>
      <w:r w:rsidRPr="008969A2">
        <w:rPr>
          <w:rFonts w:cs="Arial"/>
        </w:rPr>
        <w:t xml:space="preserve"> besteht aus einer 16-stelligen Identifikationsnummer</w:t>
      </w:r>
      <w:r>
        <w:rPr>
          <w:rFonts w:cs="Arial"/>
        </w:rPr>
        <w:t xml:space="preserve">. </w:t>
      </w:r>
      <w:r w:rsidRPr="00B71BF1">
        <w:rPr>
          <w:rFonts w:cs="Arial"/>
        </w:rPr>
        <w:t>Ein Bilanzkreis</w:t>
      </w:r>
      <w:r>
        <w:rPr>
          <w:rFonts w:cs="Arial"/>
        </w:rPr>
        <w:t xml:space="preserve"> identifiziert sich über die letzten </w:t>
      </w:r>
      <w:r w:rsidR="00035808">
        <w:rPr>
          <w:rFonts w:cs="Arial"/>
        </w:rPr>
        <w:t xml:space="preserve">vier </w:t>
      </w:r>
      <w:r>
        <w:rPr>
          <w:rFonts w:cs="Arial"/>
        </w:rPr>
        <w:t xml:space="preserve">Ziffern des Vergabecodes gleich </w:t>
      </w:r>
      <w:r w:rsidRPr="00B71BF1">
        <w:rPr>
          <w:rFonts w:cs="Arial"/>
        </w:rPr>
        <w:t>"0000"</w:t>
      </w:r>
      <w:r>
        <w:rPr>
          <w:rFonts w:cs="Arial"/>
        </w:rPr>
        <w:t xml:space="preserve">. Ein </w:t>
      </w:r>
      <w:r w:rsidR="00C44E92">
        <w:rPr>
          <w:rFonts w:cs="Arial"/>
        </w:rPr>
        <w:t>Sub-Bilanzkonto</w:t>
      </w:r>
      <w:r w:rsidRPr="00B71BF1">
        <w:rPr>
          <w:rFonts w:cs="Arial"/>
        </w:rPr>
        <w:t xml:space="preserve"> </w:t>
      </w:r>
      <w:r>
        <w:rPr>
          <w:rFonts w:cs="Arial"/>
        </w:rPr>
        <w:t xml:space="preserve">identifiziert sich über den Nummernkreis </w:t>
      </w:r>
      <w:r w:rsidRPr="00B71BF1">
        <w:rPr>
          <w:rFonts w:cs="Arial"/>
        </w:rPr>
        <w:t xml:space="preserve">zwischen "0001" und "9999" </w:t>
      </w:r>
      <w:r>
        <w:rPr>
          <w:rFonts w:cs="Arial"/>
        </w:rPr>
        <w:t xml:space="preserve">an den letzten </w:t>
      </w:r>
      <w:r w:rsidR="00035808">
        <w:rPr>
          <w:rFonts w:cs="Arial"/>
        </w:rPr>
        <w:t xml:space="preserve">vier </w:t>
      </w:r>
      <w:r>
        <w:rPr>
          <w:rFonts w:cs="Arial"/>
        </w:rPr>
        <w:t>Ziffern des Vergabecodes</w:t>
      </w:r>
      <w:r w:rsidRPr="00B71BF1">
        <w:rPr>
          <w:rFonts w:cs="Arial"/>
        </w:rPr>
        <w:t>.</w:t>
      </w:r>
    </w:p>
    <w:p w14:paraId="75B5D10B" w14:textId="694A2AAA" w:rsidR="0044176F" w:rsidRPr="00A16E71" w:rsidRDefault="0044176F" w:rsidP="003C2438">
      <w:pPr>
        <w:rPr>
          <w:rFonts w:cs="Arial"/>
        </w:rPr>
      </w:pPr>
      <w:r w:rsidRPr="00DD758D">
        <w:rPr>
          <w:rFonts w:cstheme="minorHAnsi"/>
        </w:rPr>
        <w:t>Ab dem 01.10.2021 werden alle Bilanzkreise (auch Subbilanzkonten) die Nomenklatur der THE aufweisen.</w:t>
      </w:r>
      <w:r>
        <w:rPr>
          <w:rFonts w:cstheme="minorHAnsi"/>
        </w:rPr>
        <w:t xml:space="preserve"> Für Leistungszeiträume vor dem 01.10.2021 müssen noch die Bilanzkreisnummer</w:t>
      </w:r>
      <w:r w:rsidR="00470E6E">
        <w:rPr>
          <w:rFonts w:cstheme="minorHAnsi"/>
        </w:rPr>
        <w:t>n</w:t>
      </w:r>
      <w:r>
        <w:rPr>
          <w:rFonts w:cstheme="minorHAnsi"/>
        </w:rPr>
        <w:t xml:space="preserve"> der Marktgebiete GASPOOL und NCG genutzt werden.</w:t>
      </w:r>
    </w:p>
    <w:p w14:paraId="689FAFEA" w14:textId="0AFCB013" w:rsidR="007E7701" w:rsidRDefault="001F1E9E" w:rsidP="003C2438">
      <w:pPr>
        <w:spacing w:after="240"/>
        <w:rPr>
          <w:rFonts w:cs="Arial"/>
        </w:rPr>
      </w:pPr>
      <w:r>
        <w:rPr>
          <w:rFonts w:cs="Arial"/>
        </w:rPr>
        <w:t>Biogas-Eigenschaft, Gasqualität und</w:t>
      </w:r>
      <w:r w:rsidR="00C8420B">
        <w:rPr>
          <w:rFonts w:cs="Arial"/>
        </w:rPr>
        <w:t xml:space="preserve"> Kapazitätsentgeltklasse können anhand von folgenden Codierungen identifiziert werden:</w:t>
      </w:r>
    </w:p>
    <w:p w14:paraId="1AFB6C7F" w14:textId="000D90D5" w:rsidR="0044176F" w:rsidRDefault="00306547" w:rsidP="003C2438">
      <w:pPr>
        <w:spacing w:after="240"/>
        <w:rPr>
          <w:rFonts w:cs="Arial"/>
        </w:rPr>
      </w:pPr>
      <w:r>
        <w:rPr>
          <w:rFonts w:cs="Arial"/>
        </w:rPr>
        <w:lastRenderedPageBreak/>
        <w:t>Gilt ab dem Zeitpunkt der Anwendbarkeit de</w:t>
      </w:r>
      <w:r w:rsidR="00302BF1">
        <w:rPr>
          <w:rFonts w:cs="Arial"/>
        </w:rPr>
        <w:t>s</w:t>
      </w:r>
      <w:r>
        <w:rPr>
          <w:rFonts w:cs="Arial"/>
        </w:rPr>
        <w:t xml:space="preserve"> Zeitreihe</w:t>
      </w:r>
      <w:r w:rsidR="00302BF1">
        <w:rPr>
          <w:rFonts w:cs="Arial"/>
        </w:rPr>
        <w:t>ntyps</w:t>
      </w:r>
      <w:r>
        <w:rPr>
          <w:rFonts w:cs="Arial"/>
        </w:rPr>
        <w:t xml:space="preserve"> </w:t>
      </w:r>
      <w:proofErr w:type="spellStart"/>
      <w:r>
        <w:rPr>
          <w:rFonts w:cs="Arial"/>
        </w:rPr>
        <w:t>ExitSP</w:t>
      </w:r>
      <w:proofErr w:type="spellEnd"/>
      <w:r>
        <w:rPr>
          <w:rFonts w:cs="Arial"/>
        </w:rPr>
        <w:t>:</w:t>
      </w:r>
    </w:p>
    <w:p w14:paraId="510EC93A" w14:textId="38726FB1" w:rsidR="00361D0A" w:rsidRDefault="00C27052" w:rsidP="00361D0A">
      <w:pPr>
        <w:spacing w:after="240"/>
        <w:rPr>
          <w:rFonts w:cs="Arial"/>
        </w:rPr>
      </w:pPr>
      <w:r w:rsidRPr="004A0A2F">
        <w:rPr>
          <w:noProof/>
        </w:rPr>
        <w:drawing>
          <wp:inline distT="0" distB="0" distL="0" distR="0" wp14:anchorId="452EFC2C" wp14:editId="65307A18">
            <wp:extent cx="5759450" cy="301625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59450" cy="3016250"/>
                    </a:xfrm>
                    <a:prstGeom prst="rect">
                      <a:avLst/>
                    </a:prstGeom>
                    <a:noFill/>
                    <a:ln>
                      <a:noFill/>
                    </a:ln>
                  </pic:spPr>
                </pic:pic>
              </a:graphicData>
            </a:graphic>
          </wp:inline>
        </w:drawing>
      </w:r>
    </w:p>
    <w:p w14:paraId="1933AF05" w14:textId="5DFF70D2" w:rsidR="00306547" w:rsidRDefault="00306547" w:rsidP="00361D0A">
      <w:pPr>
        <w:spacing w:after="240"/>
        <w:rPr>
          <w:rFonts w:cs="Arial"/>
        </w:rPr>
      </w:pPr>
      <w:r>
        <w:rPr>
          <w:rFonts w:cs="Arial"/>
        </w:rPr>
        <w:t xml:space="preserve">Gilt bis </w:t>
      </w:r>
      <w:r w:rsidR="00587E44">
        <w:rPr>
          <w:rFonts w:cs="Arial"/>
        </w:rPr>
        <w:t xml:space="preserve">zum </w:t>
      </w:r>
      <w:r>
        <w:rPr>
          <w:rFonts w:cs="Arial"/>
        </w:rPr>
        <w:t xml:space="preserve">Vortag des </w:t>
      </w:r>
      <w:proofErr w:type="spellStart"/>
      <w:r>
        <w:rPr>
          <w:rFonts w:cs="Arial"/>
        </w:rPr>
        <w:t>Gastages</w:t>
      </w:r>
      <w:proofErr w:type="spellEnd"/>
      <w:r>
        <w:rPr>
          <w:rFonts w:cs="Arial"/>
        </w:rPr>
        <w:t xml:space="preserve"> der Anwendbarkeit de</w:t>
      </w:r>
      <w:r w:rsidR="00587E44">
        <w:rPr>
          <w:rFonts w:cs="Arial"/>
        </w:rPr>
        <w:t>s</w:t>
      </w:r>
      <w:r>
        <w:rPr>
          <w:rFonts w:cs="Arial"/>
        </w:rPr>
        <w:t xml:space="preserve"> </w:t>
      </w:r>
      <w:r w:rsidR="00587E44">
        <w:rPr>
          <w:rFonts w:cs="Arial"/>
        </w:rPr>
        <w:t xml:space="preserve">Zeitreihentyps </w:t>
      </w:r>
      <w:proofErr w:type="spellStart"/>
      <w:r>
        <w:rPr>
          <w:rFonts w:cs="Arial"/>
        </w:rPr>
        <w:t>ExitSP</w:t>
      </w:r>
      <w:proofErr w:type="spellEnd"/>
      <w:r w:rsidR="00587E44">
        <w:rPr>
          <w:rFonts w:cs="Arial"/>
        </w:rPr>
        <w:t>:</w:t>
      </w:r>
    </w:p>
    <w:p w14:paraId="63EA3208" w14:textId="2F49B96E" w:rsidR="00B7460A" w:rsidRDefault="00B7460A" w:rsidP="00361D0A">
      <w:pPr>
        <w:spacing w:after="240"/>
        <w:rPr>
          <w:rFonts w:cs="Arial"/>
        </w:rPr>
      </w:pPr>
      <w:r>
        <w:rPr>
          <w:noProof/>
        </w:rPr>
        <w:drawing>
          <wp:inline distT="0" distB="0" distL="0" distR="0" wp14:anchorId="05C75919" wp14:editId="5B3716E3">
            <wp:extent cx="5759450" cy="256921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5759450" cy="2569210"/>
                    </a:xfrm>
                    <a:prstGeom prst="rect">
                      <a:avLst/>
                    </a:prstGeom>
                    <a:noFill/>
                    <a:ln>
                      <a:noFill/>
                    </a:ln>
                  </pic:spPr>
                </pic:pic>
              </a:graphicData>
            </a:graphic>
          </wp:inline>
        </w:drawing>
      </w:r>
    </w:p>
    <w:p w14:paraId="42B637D4" w14:textId="63889043" w:rsidR="00B7460A" w:rsidRDefault="00B7460A" w:rsidP="00361D0A">
      <w:pPr>
        <w:spacing w:after="240"/>
        <w:rPr>
          <w:rFonts w:cs="Arial"/>
        </w:rPr>
      </w:pPr>
    </w:p>
    <w:p w14:paraId="091348CA" w14:textId="77777777" w:rsidR="00B7460A" w:rsidRDefault="00B7460A" w:rsidP="00361D0A">
      <w:pPr>
        <w:spacing w:after="240"/>
        <w:rPr>
          <w:rFonts w:cs="Arial"/>
        </w:rPr>
      </w:pPr>
    </w:p>
    <w:p w14:paraId="286242FF" w14:textId="6B75F733" w:rsidR="00031D18" w:rsidRPr="00361D0A" w:rsidRDefault="00031D18" w:rsidP="00361D0A">
      <w:pPr>
        <w:spacing w:after="240"/>
        <w:rPr>
          <w:rFonts w:cs="Arial"/>
        </w:rPr>
      </w:pPr>
    </w:p>
    <w:p w14:paraId="43E1FFC7" w14:textId="77777777" w:rsidR="0045592E" w:rsidRPr="00361D0A" w:rsidRDefault="0045592E" w:rsidP="00361D0A">
      <w:pPr>
        <w:spacing w:after="240"/>
        <w:rPr>
          <w:rFonts w:cs="Arial"/>
        </w:rPr>
      </w:pPr>
    </w:p>
    <w:p w14:paraId="08EA2889" w14:textId="19BF2028" w:rsidR="0044176F" w:rsidRDefault="0044176F" w:rsidP="0044176F">
      <w:r>
        <w:lastRenderedPageBreak/>
        <w:t>Variable Stellen:</w:t>
      </w:r>
    </w:p>
    <w:p w14:paraId="07274762" w14:textId="02A3B4EC" w:rsidR="0044176F" w:rsidRDefault="0044176F" w:rsidP="003C2438">
      <w:pPr>
        <w:spacing w:after="240"/>
      </w:pPr>
      <w:r>
        <w:t>6:</w:t>
      </w:r>
      <w:r>
        <w:tab/>
      </w:r>
      <w:r w:rsidRPr="00C93A25">
        <w:t>F: Erdgas-Bilanzkreis</w:t>
      </w:r>
      <w:r w:rsidRPr="00C93A25">
        <w:br/>
      </w:r>
      <w:r w:rsidRPr="00C93A25">
        <w:tab/>
        <w:t>D: DZK Erdgas-Bilanzkreis</w:t>
      </w:r>
      <w:r w:rsidRPr="00C93A25">
        <w:br/>
      </w:r>
      <w:r w:rsidRPr="00C93A25">
        <w:tab/>
        <w:t>B: Biogas-Bilanzkreis</w:t>
      </w:r>
    </w:p>
    <w:p w14:paraId="0637FA0E" w14:textId="468F882C" w:rsidR="00031D18" w:rsidRDefault="0044176F" w:rsidP="0044176F">
      <w:r>
        <w:t>7</w:t>
      </w:r>
      <w:r w:rsidR="00824675">
        <w:t>:</w:t>
      </w:r>
      <w:r>
        <w:tab/>
        <w:t>H: H-Gas-Bilanzkreis</w:t>
      </w:r>
      <w:r>
        <w:br/>
      </w:r>
      <w:r>
        <w:tab/>
        <w:t>L: L-Gas-Bilanzkreis</w:t>
      </w:r>
      <w:r>
        <w:br/>
        <w:t>8-12:</w:t>
      </w:r>
      <w:r>
        <w:tab/>
        <w:t>BK-Nr. (5-Stellig), davon:</w:t>
      </w:r>
      <w:r>
        <w:br/>
        <w:t>8</w:t>
      </w:r>
      <w:r w:rsidR="00824675">
        <w:t>:</w:t>
      </w:r>
      <w:r>
        <w:tab/>
      </w:r>
      <w:r w:rsidR="00160E18">
        <w:t>0</w:t>
      </w:r>
      <w:r>
        <w:t>-</w:t>
      </w:r>
      <w:r w:rsidR="00031D18">
        <w:t>5</w:t>
      </w:r>
      <w:r>
        <w:t>: R</w:t>
      </w:r>
      <w:r w:rsidRPr="008C6BB0">
        <w:t>abattiertes Kapazitätsentgelt</w:t>
      </w:r>
    </w:p>
    <w:p w14:paraId="2973A9EE" w14:textId="77777777" w:rsidR="00B7460A" w:rsidRDefault="00031D18" w:rsidP="0044176F">
      <w:r>
        <w:t xml:space="preserve">              6: Rabattiertes Kapazitätsentgelt (speicherumlagebefreit)</w:t>
      </w:r>
    </w:p>
    <w:p w14:paraId="285D3510" w14:textId="24063B15" w:rsidR="00746E1B" w:rsidRDefault="00B7460A" w:rsidP="00306547">
      <w:pPr>
        <w:ind w:left="862"/>
      </w:pPr>
      <w:r>
        <w:t xml:space="preserve">Ab </w:t>
      </w:r>
      <w:r w:rsidR="00302BF1">
        <w:t xml:space="preserve">dem Zeitpunkt der </w:t>
      </w:r>
      <w:r>
        <w:t>Anwendbarkeit de</w:t>
      </w:r>
      <w:r w:rsidR="00302BF1">
        <w:t>s</w:t>
      </w:r>
      <w:r>
        <w:t xml:space="preserve"> </w:t>
      </w:r>
      <w:proofErr w:type="spellStart"/>
      <w:r>
        <w:t>ExitSP</w:t>
      </w:r>
      <w:proofErr w:type="spellEnd"/>
      <w:r>
        <w:t>:</w:t>
      </w:r>
      <w:r>
        <w:br/>
        <w:t>6: rabattiertes Kapazitätsentgelt</w:t>
      </w:r>
    </w:p>
    <w:p w14:paraId="79E3E5C5" w14:textId="0172108A" w:rsidR="00B7460A" w:rsidRDefault="0044176F" w:rsidP="00306547">
      <w:pPr>
        <w:ind w:left="862"/>
      </w:pPr>
      <w:r>
        <w:t xml:space="preserve">9: </w:t>
      </w:r>
      <w:proofErr w:type="spellStart"/>
      <w:r>
        <w:t>Unrabattiertes</w:t>
      </w:r>
      <w:proofErr w:type="spellEnd"/>
      <w:r>
        <w:t xml:space="preserve"> Kapazitätsentgelt</w:t>
      </w:r>
      <w:r w:rsidR="005B573D">
        <w:t xml:space="preserve"> </w:t>
      </w:r>
      <w:r w:rsidR="00031D18">
        <w:t>(speicherumlagebefreit)</w:t>
      </w:r>
    </w:p>
    <w:p w14:paraId="36F2C1DC" w14:textId="0B052DFC" w:rsidR="00B7460A" w:rsidRDefault="00B7460A" w:rsidP="00306547">
      <w:pPr>
        <w:ind w:left="862"/>
      </w:pPr>
      <w:r>
        <w:t xml:space="preserve">Ab </w:t>
      </w:r>
      <w:r w:rsidR="00302BF1">
        <w:t xml:space="preserve">dem Zeitpunkt der </w:t>
      </w:r>
      <w:r>
        <w:t xml:space="preserve">Anwendbarkeit </w:t>
      </w:r>
      <w:r w:rsidR="00302BF1">
        <w:t xml:space="preserve">des Zeitreihentyps </w:t>
      </w:r>
      <w:proofErr w:type="spellStart"/>
      <w:r>
        <w:t>ExitSP</w:t>
      </w:r>
      <w:proofErr w:type="spellEnd"/>
      <w:r>
        <w:t>:</w:t>
      </w:r>
      <w:r>
        <w:br/>
        <w:t xml:space="preserve">9: </w:t>
      </w:r>
      <w:proofErr w:type="spellStart"/>
      <w:r>
        <w:t>unrabattiertes</w:t>
      </w:r>
      <w:proofErr w:type="spellEnd"/>
      <w:r>
        <w:t xml:space="preserve"> Kapazitätsentgelt</w:t>
      </w:r>
    </w:p>
    <w:p w14:paraId="1E4F8342" w14:textId="30459EA5" w:rsidR="0044176F" w:rsidRDefault="0044176F" w:rsidP="0044176F">
      <w:r>
        <w:br/>
        <w:t>9-12</w:t>
      </w:r>
      <w:r w:rsidR="00824675">
        <w:t>:</w:t>
      </w:r>
      <w:r>
        <w:tab/>
        <w:t xml:space="preserve">restliche 4 Stellen der BK-Nr. </w:t>
      </w:r>
      <w:r>
        <w:br/>
        <w:t>13-16</w:t>
      </w:r>
      <w:r w:rsidR="00824675">
        <w:t>:</w:t>
      </w:r>
      <w:r>
        <w:tab/>
        <w:t>Sub-BK-Nr. (4-Stellig, 0000 = BK, 0001-9999 = Sub-BK)</w:t>
      </w:r>
    </w:p>
    <w:p w14:paraId="34B38AAF" w14:textId="3E647994" w:rsidR="00E157A6" w:rsidRDefault="00DF612D" w:rsidP="003A2E9E">
      <w:pPr>
        <w:spacing w:after="0"/>
        <w:rPr>
          <w:b/>
        </w:rPr>
      </w:pPr>
      <w:bookmarkStart w:id="163" w:name="_Ref318990102"/>
      <w:bookmarkStart w:id="164" w:name="_Toc287308020"/>
      <w:bookmarkStart w:id="165" w:name="_Toc318120262"/>
      <w:bookmarkStart w:id="166" w:name="_Toc296694329"/>
      <w:bookmarkStart w:id="167" w:name="_Toc357091922"/>
      <w:bookmarkStart w:id="168" w:name="_Toc390346558"/>
      <w:bookmarkStart w:id="169" w:name="_Toc412562628"/>
      <w:bookmarkStart w:id="170" w:name="_Toc437530314"/>
      <w:bookmarkStart w:id="171" w:name="_Toc111118588"/>
      <w:bookmarkStart w:id="172" w:name="_Toc111196134"/>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noProof/>
        </w:rPr>
        <w:t>5</w:t>
      </w:r>
      <w:r w:rsidR="00561FFA" w:rsidRPr="00996036">
        <w:rPr>
          <w:b/>
        </w:rPr>
        <w:fldChar w:fldCharType="end"/>
      </w:r>
      <w:bookmarkEnd w:id="163"/>
      <w:r w:rsidRPr="00996036">
        <w:rPr>
          <w:b/>
        </w:rPr>
        <w:t xml:space="preserve">: </w:t>
      </w:r>
      <w:bookmarkEnd w:id="164"/>
      <w:r w:rsidRPr="00996036">
        <w:rPr>
          <w:b/>
        </w:rPr>
        <w:t xml:space="preserve">Kennzeichnung von Bilanzkreisen und </w:t>
      </w:r>
      <w:bookmarkEnd w:id="165"/>
      <w:bookmarkEnd w:id="166"/>
      <w:r w:rsidR="00C44E92" w:rsidRPr="00996036">
        <w:rPr>
          <w:b/>
        </w:rPr>
        <w:t>Sub-Bilanzkonten</w:t>
      </w:r>
      <w:bookmarkEnd w:id="167"/>
      <w:bookmarkEnd w:id="168"/>
      <w:bookmarkEnd w:id="169"/>
      <w:bookmarkEnd w:id="170"/>
      <w:bookmarkEnd w:id="171"/>
      <w:bookmarkEnd w:id="172"/>
    </w:p>
    <w:p w14:paraId="2423A95B" w14:textId="77777777" w:rsidR="00183B6F" w:rsidRDefault="00183B6F" w:rsidP="000C63CB">
      <w:pPr>
        <w:spacing w:after="0"/>
        <w:rPr>
          <w:b/>
        </w:rPr>
      </w:pPr>
    </w:p>
    <w:p w14:paraId="66DC29A6" w14:textId="77777777" w:rsidR="00DF612D" w:rsidRDefault="00DF612D" w:rsidP="003C2438">
      <w:pPr>
        <w:rPr>
          <w:rFonts w:cs="Arial"/>
        </w:rPr>
      </w:pPr>
      <w:r w:rsidRPr="008969A2">
        <w:rPr>
          <w:rFonts w:cs="Arial"/>
        </w:rPr>
        <w:t>Im Folgenden wird der Begriff „Bilanzkreis</w:t>
      </w:r>
      <w:r>
        <w:rPr>
          <w:rFonts w:cs="Arial"/>
        </w:rPr>
        <w:t>nummer</w:t>
      </w:r>
      <w:r w:rsidRPr="008969A2">
        <w:rPr>
          <w:rFonts w:cs="Arial"/>
        </w:rPr>
        <w:t>“ auch für die Identifikationsnummer von Biogas-B</w:t>
      </w:r>
      <w:r>
        <w:rPr>
          <w:rFonts w:cs="Arial"/>
        </w:rPr>
        <w:t>K</w:t>
      </w:r>
      <w:r w:rsidRPr="008969A2">
        <w:rPr>
          <w:rFonts w:cs="Arial"/>
        </w:rPr>
        <w:t xml:space="preserve"> bzw. Biogas-S</w:t>
      </w:r>
      <w:r>
        <w:rPr>
          <w:rFonts w:cs="Arial"/>
        </w:rPr>
        <w:t>BK</w:t>
      </w:r>
      <w:r w:rsidRPr="008969A2">
        <w:rPr>
          <w:rFonts w:cs="Arial"/>
        </w:rPr>
        <w:t xml:space="preserve"> verwendet.</w:t>
      </w:r>
    </w:p>
    <w:p w14:paraId="2736A97C" w14:textId="77777777" w:rsidR="007E05AB" w:rsidRDefault="00DF612D" w:rsidP="00D90179">
      <w:pPr>
        <w:pStyle w:val="berschrift2"/>
        <w:spacing w:before="480"/>
        <w:ind w:left="567" w:hanging="567"/>
      </w:pPr>
      <w:bookmarkStart w:id="173" w:name="_Ref290387075"/>
      <w:bookmarkStart w:id="174" w:name="_Toc318120255"/>
      <w:bookmarkStart w:id="175" w:name="_Toc296694076"/>
      <w:bookmarkStart w:id="176" w:name="_Toc391540134"/>
      <w:bookmarkStart w:id="177" w:name="_Toc412661296"/>
      <w:bookmarkStart w:id="178" w:name="_Toc111118447"/>
      <w:bookmarkStart w:id="179" w:name="_Toc284323617"/>
      <w:bookmarkStart w:id="180" w:name="_Toc284334293"/>
      <w:bookmarkStart w:id="181" w:name="_Toc285005259"/>
      <w:r>
        <w:t xml:space="preserve">Besonderheiten von </w:t>
      </w:r>
      <w:r w:rsidRPr="00AC2381">
        <w:t>Biogas</w:t>
      </w:r>
      <w:r>
        <w:t>-B</w:t>
      </w:r>
      <w:r w:rsidRPr="00AC2381">
        <w:t>ilanzkreise</w:t>
      </w:r>
      <w:r>
        <w:t>n</w:t>
      </w:r>
      <w:bookmarkEnd w:id="173"/>
      <w:bookmarkEnd w:id="174"/>
      <w:bookmarkEnd w:id="175"/>
      <w:bookmarkEnd w:id="176"/>
      <w:bookmarkEnd w:id="177"/>
      <w:bookmarkEnd w:id="178"/>
    </w:p>
    <w:bookmarkEnd w:id="179"/>
    <w:bookmarkEnd w:id="180"/>
    <w:bookmarkEnd w:id="181"/>
    <w:p w14:paraId="7710CE43" w14:textId="3BBFCD93" w:rsidR="00DF612D" w:rsidRPr="00706A28" w:rsidRDefault="00DF612D" w:rsidP="003C2438">
      <w:pPr>
        <w:autoSpaceDE w:val="0"/>
        <w:autoSpaceDN w:val="0"/>
        <w:adjustRightInd w:val="0"/>
      </w:pPr>
      <w:r w:rsidRPr="00706A28">
        <w:t xml:space="preserve">Biogas-BK erhalten gemäß </w:t>
      </w:r>
      <w:r w:rsidRPr="00706A28" w:rsidDel="00815124">
        <w:t>§</w:t>
      </w:r>
      <w:r w:rsidR="00815124">
        <w:t> </w:t>
      </w:r>
      <w:r w:rsidRPr="00706A28">
        <w:t xml:space="preserve">35 </w:t>
      </w:r>
      <w:proofErr w:type="spellStart"/>
      <w:r w:rsidRPr="00706A28">
        <w:t>GasNZV</w:t>
      </w:r>
      <w:proofErr w:type="spellEnd"/>
      <w:r w:rsidRPr="00706A28">
        <w:t xml:space="preserve"> einen speziellen erweiterten Bilanzausgleich. Um diesen Status zu erhalten, müssen folgende Bedingungen erfüllt werden:</w:t>
      </w:r>
    </w:p>
    <w:p w14:paraId="5AC5E6D6" w14:textId="0B40E997" w:rsidR="00DF612D" w:rsidRPr="007A0DA9" w:rsidRDefault="00DF612D" w:rsidP="003C2438">
      <w:pPr>
        <w:pStyle w:val="Aufzhlungszeichen"/>
      </w:pPr>
      <w:r w:rsidRPr="007A0DA9">
        <w:t xml:space="preserve">Nur </w:t>
      </w:r>
      <w:r w:rsidR="000F2754" w:rsidRPr="007A0DA9">
        <w:t xml:space="preserve">Einspeisepunkte </w:t>
      </w:r>
      <w:r w:rsidRPr="007A0DA9">
        <w:t xml:space="preserve">an physischen </w:t>
      </w:r>
      <w:r w:rsidR="00C94B02">
        <w:t xml:space="preserve">Anlagen, die </w:t>
      </w:r>
      <w:r w:rsidRPr="007A0DA9">
        <w:t>Biogas</w:t>
      </w:r>
      <w:r w:rsidR="00C94B02">
        <w:t xml:space="preserve"> </w:t>
      </w:r>
      <w:r w:rsidR="00DD526F">
        <w:t>gemäß der oben beschrieben</w:t>
      </w:r>
      <w:r w:rsidR="003404A5">
        <w:t>en</w:t>
      </w:r>
      <w:r w:rsidR="00DD526F">
        <w:t xml:space="preserve"> Definition </w:t>
      </w:r>
      <w:r w:rsidR="000F2A58">
        <w:t xml:space="preserve">produzieren, </w:t>
      </w:r>
      <w:r w:rsidRPr="007A0DA9">
        <w:t xml:space="preserve">können in den Biogas-BK eingebracht werden. </w:t>
      </w:r>
      <w:r w:rsidR="00C8496A">
        <w:t xml:space="preserve">Sollte es sich bei dem eingespeisten Biogas um </w:t>
      </w:r>
      <w:r w:rsidR="00E1790D" w:rsidRPr="00E1790D">
        <w:t xml:space="preserve">gemäß </w:t>
      </w:r>
      <w:r w:rsidR="00E1790D" w:rsidRPr="00E1790D" w:rsidDel="00815124">
        <w:t>§</w:t>
      </w:r>
      <w:r w:rsidR="00815124">
        <w:t> </w:t>
      </w:r>
      <w:r w:rsidR="00E1790D" w:rsidRPr="00E1790D">
        <w:t>3 Nr. 10</w:t>
      </w:r>
      <w:r w:rsidR="00804B09">
        <w:t>f</w:t>
      </w:r>
      <w:r w:rsidR="00E1790D" w:rsidRPr="00E1790D">
        <w:t xml:space="preserve"> EnWG als Biogas</w:t>
      </w:r>
      <w:r w:rsidR="00E1790D">
        <w:t xml:space="preserve"> </w:t>
      </w:r>
      <w:r w:rsidR="00992FBD">
        <w:t xml:space="preserve">erzeugten </w:t>
      </w:r>
      <w:r w:rsidR="00C8496A">
        <w:t xml:space="preserve">Wasserstoff handeln, so wird dieser mit dem </w:t>
      </w:r>
      <w:r w:rsidR="004663E8">
        <w:t xml:space="preserve">Zeitreihentyp </w:t>
      </w:r>
      <w:r w:rsidR="00C8496A">
        <w:t xml:space="preserve">„Entry Wasserstoff“ </w:t>
      </w:r>
      <w:r w:rsidR="00C40F6D">
        <w:t>allokiert.</w:t>
      </w:r>
    </w:p>
    <w:p w14:paraId="75357B60" w14:textId="7A6AD238" w:rsidR="00DF612D" w:rsidRDefault="00DF612D" w:rsidP="003C2438">
      <w:pPr>
        <w:pStyle w:val="Aufzhlungszeichen"/>
      </w:pPr>
      <w:r w:rsidRPr="007A0DA9">
        <w:t>Auf Verlangen des MGV muss der BKV in geeigneter Weise nachweisen, dass es sich bei dem physisch eingespeisten Gas um Biogas</w:t>
      </w:r>
      <w:r w:rsidR="0004379F">
        <w:t xml:space="preserve"> </w:t>
      </w:r>
      <w:r w:rsidRPr="007A0DA9">
        <w:t>handelt.</w:t>
      </w:r>
    </w:p>
    <w:p w14:paraId="1FCB17B3" w14:textId="5E527DD6" w:rsidR="00DF612D" w:rsidRPr="007A0DA9" w:rsidRDefault="00DF612D" w:rsidP="003C2438">
      <w:pPr>
        <w:pStyle w:val="Aufzhlungszeichen"/>
      </w:pPr>
      <w:r w:rsidRPr="007A0DA9">
        <w:t xml:space="preserve">Soweit Gas </w:t>
      </w:r>
      <w:r w:rsidR="0044176F">
        <w:t xml:space="preserve">am VHP </w:t>
      </w:r>
      <w:r w:rsidRPr="007A0DA9">
        <w:t>aus anderen BK übertragen wird</w:t>
      </w:r>
      <w:r w:rsidR="002E2C0B">
        <w:t>,</w:t>
      </w:r>
      <w:r w:rsidRPr="007A0DA9">
        <w:t xml:space="preserve"> muss sichergestellt werden, dass dieses Gas ebenfalls aus einem Biogas-BK stammt. Dies wird bei den Nominierungsprozessen am VHP anhand der BK-Nummer, die eine besondere Kennzeichnung beinhaltet, vom MGV überprüft.</w:t>
      </w:r>
    </w:p>
    <w:p w14:paraId="4D58F163" w14:textId="77777777" w:rsidR="00DF612D" w:rsidRPr="007A0DA9" w:rsidRDefault="00DF612D" w:rsidP="003C2438">
      <w:pPr>
        <w:pStyle w:val="Aufzhlungszeichen"/>
      </w:pPr>
      <w:r w:rsidRPr="007A0DA9">
        <w:lastRenderedPageBreak/>
        <w:t>Biogas-BK können nur mit anderen Biogas-BK zur Verrechnung verbunden werden.</w:t>
      </w:r>
    </w:p>
    <w:p w14:paraId="6831481E" w14:textId="77777777" w:rsidR="00DF612D" w:rsidRPr="007A0DA9" w:rsidRDefault="00DF612D" w:rsidP="003C2438">
      <w:pPr>
        <w:pStyle w:val="Aufzhlungszeichen"/>
      </w:pPr>
      <w:r w:rsidRPr="007A0DA9">
        <w:t>Die Ausspeisungen aus Biogas-BK unterliegen keinen Beschränkungen. Eine bestimmte Nutzung des Biogases ist nicht vorgeschrieben.</w:t>
      </w:r>
    </w:p>
    <w:p w14:paraId="45A888FB" w14:textId="2D8CA37E" w:rsidR="00DF612D" w:rsidRPr="00706A28" w:rsidRDefault="00DF612D" w:rsidP="003C2438">
      <w:r w:rsidRPr="00706A28">
        <w:t xml:space="preserve">Es besteht keine Verpflichtung, Biogasmengen ausschließlich in Biogas-BK einzuspeisen. Der BKV bzw. der TK kann sich auch dafür entscheiden, eine Biogaseinspeisung in einen regulären Bilanzkreis </w:t>
      </w:r>
      <w:r w:rsidR="00381FC5">
        <w:t>einzubringen.</w:t>
      </w:r>
      <w:r w:rsidRPr="00706A28">
        <w:t xml:space="preserve"> In diesem Fall genießt er allerdings nicht die Vorteile der besonderen Biogas-Bilanzierung gemäß </w:t>
      </w:r>
      <w:r w:rsidRPr="00706A28" w:rsidDel="00815124">
        <w:t>§</w:t>
      </w:r>
      <w:r w:rsidR="00815124">
        <w:t> </w:t>
      </w:r>
      <w:r w:rsidRPr="00706A28">
        <w:t xml:space="preserve">35 </w:t>
      </w:r>
      <w:proofErr w:type="spellStart"/>
      <w:r w:rsidRPr="00706A28">
        <w:t>GasNZV</w:t>
      </w:r>
      <w:proofErr w:type="spellEnd"/>
      <w:r w:rsidRPr="00706A28">
        <w:t>.</w:t>
      </w:r>
    </w:p>
    <w:p w14:paraId="6D9BD61B" w14:textId="77777777" w:rsidR="00DF612D" w:rsidRDefault="00DF612D" w:rsidP="003C2438">
      <w:pPr>
        <w:rPr>
          <w:rFonts w:cs="Arial"/>
        </w:rPr>
      </w:pPr>
      <w:r w:rsidRPr="00161FA6">
        <w:rPr>
          <w:rFonts w:cs="Arial"/>
        </w:rPr>
        <w:t xml:space="preserve">Voraussetzung für die </w:t>
      </w:r>
      <w:r w:rsidR="000F2A58">
        <w:rPr>
          <w:rFonts w:cs="Arial"/>
        </w:rPr>
        <w:t xml:space="preserve">bilanzielle Abwicklung der </w:t>
      </w:r>
      <w:r w:rsidRPr="00161FA6">
        <w:rPr>
          <w:rFonts w:cs="Arial"/>
        </w:rPr>
        <w:t xml:space="preserve">Einspeisung von Biogas ist die </w:t>
      </w:r>
      <w:r>
        <w:rPr>
          <w:rFonts w:cs="Arial"/>
        </w:rPr>
        <w:t>Zuordnung</w:t>
      </w:r>
      <w:r w:rsidRPr="00161FA6">
        <w:rPr>
          <w:rFonts w:cs="Arial"/>
        </w:rPr>
        <w:t xml:space="preserve"> des </w:t>
      </w:r>
      <w:r w:rsidR="000F2754" w:rsidRPr="00161FA6">
        <w:rPr>
          <w:rFonts w:cs="Arial"/>
        </w:rPr>
        <w:t>Einspeisepunktes</w:t>
      </w:r>
      <w:r w:rsidRPr="00161FA6">
        <w:rPr>
          <w:rFonts w:cs="Arial"/>
        </w:rPr>
        <w:t xml:space="preserve"> </w:t>
      </w:r>
      <w:r>
        <w:rPr>
          <w:rFonts w:cs="Arial"/>
        </w:rPr>
        <w:t>zu</w:t>
      </w:r>
      <w:r w:rsidRPr="00161FA6">
        <w:rPr>
          <w:rFonts w:cs="Arial"/>
        </w:rPr>
        <w:t xml:space="preserve"> eine</w:t>
      </w:r>
      <w:r>
        <w:rPr>
          <w:rFonts w:cs="Arial"/>
        </w:rPr>
        <w:t>m</w:t>
      </w:r>
      <w:r w:rsidRPr="00161FA6">
        <w:rPr>
          <w:rFonts w:cs="Arial"/>
        </w:rPr>
        <w:t xml:space="preserve"> </w:t>
      </w:r>
      <w:r>
        <w:rPr>
          <w:rFonts w:cs="Arial"/>
        </w:rPr>
        <w:t>Biogas-</w:t>
      </w:r>
      <w:r w:rsidRPr="00161FA6">
        <w:rPr>
          <w:rFonts w:cs="Arial"/>
        </w:rPr>
        <w:t>B</w:t>
      </w:r>
      <w:r>
        <w:rPr>
          <w:rFonts w:cs="Arial"/>
        </w:rPr>
        <w:t>K</w:t>
      </w:r>
      <w:r w:rsidRPr="00161FA6">
        <w:rPr>
          <w:rFonts w:cs="Arial"/>
        </w:rPr>
        <w:t xml:space="preserve"> durch den </w:t>
      </w:r>
      <w:r>
        <w:rPr>
          <w:rFonts w:cs="Arial"/>
        </w:rPr>
        <w:t>TK</w:t>
      </w:r>
      <w:r w:rsidRPr="00161FA6">
        <w:rPr>
          <w:rFonts w:cs="Arial"/>
        </w:rPr>
        <w:t xml:space="preserve"> beim </w:t>
      </w:r>
      <w:r>
        <w:rPr>
          <w:rFonts w:cs="Arial"/>
        </w:rPr>
        <w:t>ENB</w:t>
      </w:r>
      <w:r w:rsidRPr="00161FA6">
        <w:rPr>
          <w:rFonts w:cs="Arial"/>
        </w:rPr>
        <w:t>.</w:t>
      </w:r>
    </w:p>
    <w:p w14:paraId="0E71AA3F" w14:textId="3029CEBE" w:rsidR="00DF612D" w:rsidRDefault="00DF612D" w:rsidP="003C2438">
      <w:pPr>
        <w:rPr>
          <w:rFonts w:cs="Arial"/>
        </w:rPr>
      </w:pPr>
      <w:r w:rsidRPr="005057DC">
        <w:rPr>
          <w:rFonts w:cs="Arial"/>
        </w:rPr>
        <w:t xml:space="preserve">Zur Vermeidung einer rückwirkenden Aberkennung des </w:t>
      </w:r>
      <w:r>
        <w:rPr>
          <w:rFonts w:cs="Arial"/>
        </w:rPr>
        <w:t>speziellen Biogass</w:t>
      </w:r>
      <w:r w:rsidRPr="005057DC">
        <w:rPr>
          <w:rFonts w:cs="Arial"/>
        </w:rPr>
        <w:t>tatus</w:t>
      </w:r>
      <w:r>
        <w:rPr>
          <w:rFonts w:cs="Arial"/>
        </w:rPr>
        <w:t xml:space="preserve"> eines Biogas-BK wi</w:t>
      </w:r>
      <w:r w:rsidRPr="005057DC">
        <w:rPr>
          <w:rFonts w:cs="Arial"/>
        </w:rPr>
        <w:t xml:space="preserve">rd </w:t>
      </w:r>
      <w:r>
        <w:rPr>
          <w:rFonts w:cs="Arial"/>
        </w:rPr>
        <w:t xml:space="preserve">bei der Prüfung der Nominierungen am VHP </w:t>
      </w:r>
      <w:r w:rsidRPr="005057DC">
        <w:rPr>
          <w:rFonts w:cs="Arial"/>
        </w:rPr>
        <w:t xml:space="preserve">geprüft, ob es sich </w:t>
      </w:r>
      <w:r>
        <w:rPr>
          <w:rFonts w:cs="Arial"/>
        </w:rPr>
        <w:t xml:space="preserve">bei dem abgebenden BK </w:t>
      </w:r>
      <w:r w:rsidRPr="005057DC">
        <w:rPr>
          <w:rFonts w:cs="Arial"/>
        </w:rPr>
        <w:t xml:space="preserve">um </w:t>
      </w:r>
      <w:r>
        <w:rPr>
          <w:rFonts w:cs="Arial"/>
        </w:rPr>
        <w:t xml:space="preserve">einen </w:t>
      </w:r>
      <w:r w:rsidRPr="005057DC">
        <w:rPr>
          <w:rFonts w:cs="Arial"/>
        </w:rPr>
        <w:t>Biogas</w:t>
      </w:r>
      <w:r>
        <w:rPr>
          <w:rFonts w:cs="Arial"/>
        </w:rPr>
        <w:t>-BK</w:t>
      </w:r>
      <w:r w:rsidRPr="005057DC">
        <w:rPr>
          <w:rFonts w:cs="Arial"/>
        </w:rPr>
        <w:t xml:space="preserve"> handelt. </w:t>
      </w:r>
      <w:r>
        <w:rPr>
          <w:rFonts w:cs="Arial"/>
        </w:rPr>
        <w:t>Andernfalls der MGV am VHP die Nominierung ab.</w:t>
      </w:r>
    </w:p>
    <w:p w14:paraId="399CDDAC" w14:textId="0D5E0A54" w:rsidR="00DF612D" w:rsidRDefault="00DF612D" w:rsidP="003C2438">
      <w:r w:rsidRPr="00770EAF">
        <w:t>Erlangt der B</w:t>
      </w:r>
      <w:r>
        <w:t>KV</w:t>
      </w:r>
      <w:r w:rsidRPr="00770EAF">
        <w:t xml:space="preserve"> Kenntnis darüber, dass die Einspeisemengen</w:t>
      </w:r>
      <w:r w:rsidRPr="003C217E">
        <w:t xml:space="preserve"> nicht mehr den Anforderungen </w:t>
      </w:r>
      <w:r w:rsidR="00AE1BFD">
        <w:t xml:space="preserve">des </w:t>
      </w:r>
      <w:r w:rsidR="00AE1BFD" w:rsidDel="00815124">
        <w:t>§</w:t>
      </w:r>
      <w:r w:rsidR="00815124">
        <w:t> </w:t>
      </w:r>
      <w:r w:rsidRPr="008C54C5">
        <w:t>3 Nr. 10</w:t>
      </w:r>
      <w:r w:rsidR="00804B09">
        <w:t>f</w:t>
      </w:r>
      <w:r w:rsidRPr="008C54C5">
        <w:t xml:space="preserve"> EnWG</w:t>
      </w:r>
      <w:r>
        <w:t xml:space="preserve"> </w:t>
      </w:r>
      <w:r w:rsidRPr="003C217E">
        <w:t xml:space="preserve">entsprechen, wird er unverzüglich nach Kenntniserlangung den </w:t>
      </w:r>
      <w:r>
        <w:t>MGV</w:t>
      </w:r>
      <w:r w:rsidRPr="003C217E">
        <w:t xml:space="preserve"> darüber informieren.</w:t>
      </w:r>
    </w:p>
    <w:p w14:paraId="51F0DE75" w14:textId="53155B33" w:rsidR="00C804F2" w:rsidRPr="003C217E" w:rsidRDefault="00C804F2" w:rsidP="003C2438">
      <w:r w:rsidRPr="00706A28">
        <w:t>Entspricht nicht die gesamte in den Biogas-BK eingespeiste Gasmenge den Anforderungen de</w:t>
      </w:r>
      <w:r w:rsidR="003958AB">
        <w:t>s</w:t>
      </w:r>
      <w:r w:rsidRPr="00706A28">
        <w:t xml:space="preserve"> </w:t>
      </w:r>
      <w:r w:rsidRPr="00706A28" w:rsidDel="00815124">
        <w:t>§</w:t>
      </w:r>
      <w:r w:rsidR="00815124">
        <w:t> </w:t>
      </w:r>
      <w:r w:rsidRPr="00706A28">
        <w:t>3 Nr. 10</w:t>
      </w:r>
      <w:r w:rsidR="00804B09">
        <w:t>f</w:t>
      </w:r>
      <w:r w:rsidRPr="00706A28">
        <w:t xml:space="preserve"> EnWG</w:t>
      </w:r>
      <w:r w:rsidR="003958AB">
        <w:t>,</w:t>
      </w:r>
      <w:r w:rsidRPr="00706A28">
        <w:t xml:space="preserve"> finden die zusätzlichen Regelungen zur Biogas-Bilanzierung ab dem Zeitpunkt, zu dem der MGV Kenntnis davon erhält, dass nicht ausschließlich Biogas eingespeist wurde, bis zum Ende des Bilanzierungszeitraums keine Anwendung mehr. In diesem Fall wird der Biogas-BK/Biogas-SBK unverzüglich geschlossen und die eingespeiste Gasmenge in einem Erdgas-BK weitergeführt.</w:t>
      </w:r>
    </w:p>
    <w:p w14:paraId="20931994" w14:textId="1A9E95DC" w:rsidR="00DF612D" w:rsidRDefault="00DF612D" w:rsidP="003C2438">
      <w:pPr>
        <w:rPr>
          <w:rFonts w:cs="Arial"/>
        </w:rPr>
      </w:pPr>
      <w:r w:rsidRPr="00161FA6">
        <w:rPr>
          <w:rFonts w:cs="Arial"/>
        </w:rPr>
        <w:t xml:space="preserve">Im Falle einer </w:t>
      </w:r>
      <w:r w:rsidR="000F2754" w:rsidRPr="00161FA6">
        <w:rPr>
          <w:rFonts w:cs="Arial"/>
        </w:rPr>
        <w:t xml:space="preserve">Biogaseinspeisung teilt der </w:t>
      </w:r>
      <w:r w:rsidR="000F2754">
        <w:rPr>
          <w:rFonts w:cs="Arial"/>
        </w:rPr>
        <w:t>TK</w:t>
      </w:r>
      <w:r w:rsidR="000F2754" w:rsidRPr="00161FA6">
        <w:rPr>
          <w:rFonts w:cs="Arial"/>
        </w:rPr>
        <w:t xml:space="preserve"> dem </w:t>
      </w:r>
      <w:r w:rsidR="000F2754">
        <w:rPr>
          <w:rFonts w:cs="Arial"/>
        </w:rPr>
        <w:t>ENB</w:t>
      </w:r>
      <w:r w:rsidR="000F2754" w:rsidRPr="00161FA6">
        <w:rPr>
          <w:rFonts w:cs="Arial"/>
        </w:rPr>
        <w:t xml:space="preserve"> </w:t>
      </w:r>
      <w:r w:rsidR="000F2754">
        <w:rPr>
          <w:rFonts w:cs="Arial"/>
        </w:rPr>
        <w:t>spätestens bis zum 10. WT vor Lieferbeginn</w:t>
      </w:r>
      <w:r w:rsidR="000F2754" w:rsidRPr="00161FA6">
        <w:rPr>
          <w:rFonts w:cs="Arial"/>
        </w:rPr>
        <w:t xml:space="preserve"> d</w:t>
      </w:r>
      <w:r w:rsidR="000F2754">
        <w:rPr>
          <w:rFonts w:cs="Arial"/>
        </w:rPr>
        <w:t>ie</w:t>
      </w:r>
      <w:r w:rsidR="000F2754" w:rsidRPr="00161FA6">
        <w:rPr>
          <w:rFonts w:cs="Arial"/>
        </w:rPr>
        <w:t xml:space="preserve"> </w:t>
      </w:r>
      <w:r w:rsidR="000F2754">
        <w:rPr>
          <w:rFonts w:cs="Arial"/>
        </w:rPr>
        <w:t>Bilanzkreisnummer des aufnehmenden Biogas-BK und</w:t>
      </w:r>
      <w:r w:rsidR="000F2754" w:rsidRPr="00161FA6">
        <w:rPr>
          <w:rFonts w:cs="Arial"/>
        </w:rPr>
        <w:t xml:space="preserve"> den Beginn der Einspeisung</w:t>
      </w:r>
      <w:r w:rsidR="000F2754">
        <w:rPr>
          <w:rFonts w:cs="Arial"/>
        </w:rPr>
        <w:t xml:space="preserve"> mit</w:t>
      </w:r>
      <w:r w:rsidRPr="00161FA6">
        <w:rPr>
          <w:rFonts w:cs="Arial"/>
        </w:rPr>
        <w:t>.</w:t>
      </w:r>
      <w:r>
        <w:rPr>
          <w:rFonts w:cs="Arial"/>
        </w:rPr>
        <w:t xml:space="preserve"> Vor dem Zeitpunkt der ersten Einspeisung wird durch den Einspeisevertrag zwischen dem ENB und dem TK sichergestellt, dass die Einspeisung nur Biogas umfasst. Sofern </w:t>
      </w:r>
      <w:r w:rsidR="000F2754">
        <w:rPr>
          <w:rFonts w:cs="Arial"/>
        </w:rPr>
        <w:t xml:space="preserve">Marktlokationen </w:t>
      </w:r>
      <w:r w:rsidR="00061C99">
        <w:rPr>
          <w:rFonts w:cs="Arial"/>
        </w:rPr>
        <w:t xml:space="preserve">der Ausspeisung </w:t>
      </w:r>
      <w:r>
        <w:rPr>
          <w:rFonts w:cs="Arial"/>
        </w:rPr>
        <w:t xml:space="preserve">dem Biogas-BK zugeordnet werden, muss dies nach den Prozessen </w:t>
      </w:r>
      <w:r w:rsidR="00326DFB">
        <w:rPr>
          <w:rFonts w:cs="Arial"/>
        </w:rPr>
        <w:t xml:space="preserve">gemäß </w:t>
      </w:r>
      <w:proofErr w:type="spellStart"/>
      <w:r w:rsidR="00326DFB">
        <w:rPr>
          <w:rFonts w:cs="Arial"/>
        </w:rPr>
        <w:t>GeLi</w:t>
      </w:r>
      <w:proofErr w:type="spellEnd"/>
      <w:r w:rsidR="00326DFB">
        <w:rPr>
          <w:rFonts w:cs="Arial"/>
        </w:rPr>
        <w:t xml:space="preserve"> Gas</w:t>
      </w:r>
      <w:r>
        <w:rPr>
          <w:rFonts w:cs="Arial"/>
        </w:rPr>
        <w:t xml:space="preserve"> erfolgen.</w:t>
      </w:r>
    </w:p>
    <w:p w14:paraId="46490BE5" w14:textId="7219CBB4" w:rsidR="00DF612D" w:rsidRDefault="00DF612D" w:rsidP="003C2438">
      <w:r w:rsidRPr="00C25E52">
        <w:rPr>
          <w:rFonts w:cs="Arial"/>
        </w:rPr>
        <w:t xml:space="preserve">In Abgrenzung zur Bilanzierung von konventionellem Erdgas ist es wichtig, dass ein Biogas-BK als solcher eindeutig identifiziert werden kann. </w:t>
      </w:r>
      <w:r>
        <w:rPr>
          <w:rFonts w:cs="Arial"/>
        </w:rPr>
        <w:t xml:space="preserve">Die Nomenklatur ist in </w:t>
      </w:r>
      <w:r w:rsidR="0011373C">
        <w:fldChar w:fldCharType="begin"/>
      </w:r>
      <w:r w:rsidR="0011373C">
        <w:instrText xml:space="preserve"> REF _Ref318990102 \h  \* MERGEFORMAT </w:instrText>
      </w:r>
      <w:r w:rsidR="0011373C">
        <w:fldChar w:fldCharType="separate"/>
      </w:r>
      <w:r w:rsidR="00692E23" w:rsidRPr="00692E23">
        <w:t>Abbildung 5</w:t>
      </w:r>
      <w:r w:rsidR="0011373C">
        <w:fldChar w:fldCharType="end"/>
      </w:r>
      <w:r w:rsidR="00DB51C6" w:rsidRPr="009A2AB9">
        <w:t xml:space="preserve"> </w:t>
      </w:r>
      <w:r w:rsidRPr="009A2AB9">
        <w:t>d</w:t>
      </w:r>
      <w:r>
        <w:t>argestellt.</w:t>
      </w:r>
    </w:p>
    <w:p w14:paraId="7B5A34D1" w14:textId="77777777" w:rsidR="00CE055B" w:rsidRDefault="00CE055B" w:rsidP="003C2438">
      <w:r>
        <w:t>Für die Einspeisung von Biogas gilt weiterhin:</w:t>
      </w:r>
    </w:p>
    <w:p w14:paraId="4EA933F4" w14:textId="342199D5" w:rsidR="00CE055B" w:rsidRDefault="00CE055B" w:rsidP="003C2438">
      <w:r>
        <w:t>Ausgehend von dem aufnehmenden Biogas-BK können die eingespeisten Biogasmengen</w:t>
      </w:r>
      <w:r w:rsidRPr="00A15FE4">
        <w:t xml:space="preserve"> über den Nominierungsprozess</w:t>
      </w:r>
      <w:r>
        <w:t xml:space="preserve"> gemäß Kap.</w:t>
      </w:r>
      <w:r w:rsidRPr="00A15FE4">
        <w:t xml:space="preserve"> </w:t>
      </w:r>
      <w:r w:rsidR="0011373C">
        <w:fldChar w:fldCharType="begin"/>
      </w:r>
      <w:r w:rsidR="0011373C">
        <w:instrText xml:space="preserve"> REF _Ref348533483 \r \h  \* MERGEFORMAT </w:instrText>
      </w:r>
      <w:r w:rsidR="0011373C">
        <w:fldChar w:fldCharType="separate"/>
      </w:r>
      <w:r w:rsidR="00692E23">
        <w:t>4</w:t>
      </w:r>
      <w:r w:rsidR="0011373C">
        <w:fldChar w:fldCharType="end"/>
      </w:r>
      <w:r>
        <w:t xml:space="preserve"> </w:t>
      </w:r>
      <w:r w:rsidRPr="000C7143">
        <w:t>auf</w:t>
      </w:r>
      <w:r w:rsidRPr="00A15FE4">
        <w:t xml:space="preserve"> weitere BK, UBK oder SBK aufgeteilt werden</w:t>
      </w:r>
      <w:r>
        <w:t>,</w:t>
      </w:r>
      <w:r w:rsidRPr="00A15FE4">
        <w:t xml:space="preserve"> wie z</w:t>
      </w:r>
      <w:r w:rsidR="00C22517" w:rsidRPr="00A15FE4">
        <w:t>.</w:t>
      </w:r>
      <w:r w:rsidR="00C22517">
        <w:t> </w:t>
      </w:r>
      <w:r w:rsidRPr="00A15FE4">
        <w:t>B</w:t>
      </w:r>
      <w:r>
        <w:t>.</w:t>
      </w:r>
      <w:r w:rsidRPr="00A15FE4">
        <w:t xml:space="preserve"> Nominierung von Bändern oder </w:t>
      </w:r>
      <w:r>
        <w:t xml:space="preserve">vereinbarte </w:t>
      </w:r>
      <w:r w:rsidRPr="00A15FE4">
        <w:t>ratierliche Aufteilungen</w:t>
      </w:r>
      <w:r>
        <w:t>. Bei einer ratierlichen Aufteilung wird der aufnehmende BK mit mehreren BK verbunden. In eine</w:t>
      </w:r>
      <w:r w:rsidR="00724BC4">
        <w:t>r</w:t>
      </w:r>
      <w:r>
        <w:t xml:space="preserve"> gesondert zum Bilanzkreisvertrag abzuschließenden Vereinbarung zur Verbindung von </w:t>
      </w:r>
      <w:r>
        <w:lastRenderedPageBreak/>
        <w:t xml:space="preserve">Bilanzkreisen gemäß Anlage 5 der </w:t>
      </w:r>
      <w:proofErr w:type="spellStart"/>
      <w:r>
        <w:t>KoV</w:t>
      </w:r>
      <w:proofErr w:type="spellEnd"/>
      <w:r>
        <w:t xml:space="preserve"> (siehe auch Kap. </w:t>
      </w:r>
      <w:r w:rsidR="0011373C">
        <w:fldChar w:fldCharType="begin"/>
      </w:r>
      <w:r w:rsidR="0011373C">
        <w:instrText xml:space="preserve"> REF _Ref296495798 \r \h  \* MERGEFORMAT </w:instrText>
      </w:r>
      <w:r w:rsidR="0011373C">
        <w:fldChar w:fldCharType="separate"/>
      </w:r>
      <w:r w:rsidR="00692E23">
        <w:t>2.8</w:t>
      </w:r>
      <w:r w:rsidR="0011373C">
        <w:fldChar w:fldCharType="end"/>
      </w:r>
      <w:r>
        <w:t xml:space="preserve"> und </w:t>
      </w:r>
      <w:r w:rsidR="00561FFA">
        <w:fldChar w:fldCharType="begin"/>
      </w:r>
      <w:r w:rsidR="00C567A1">
        <w:instrText xml:space="preserve"> REF _Ref439851756 \r \h </w:instrText>
      </w:r>
      <w:r w:rsidR="00561FFA">
        <w:fldChar w:fldCharType="separate"/>
      </w:r>
      <w:r w:rsidR="00692E23">
        <w:t>2.9</w:t>
      </w:r>
      <w:r w:rsidR="00561FFA">
        <w:fldChar w:fldCharType="end"/>
      </w:r>
      <w:r>
        <w:t>) werden die verbundenen BK und die Quoten festgelegt.</w:t>
      </w:r>
    </w:p>
    <w:p w14:paraId="4C3B058F" w14:textId="3AE55F8B" w:rsidR="003A5EFE" w:rsidRDefault="003A5EFE" w:rsidP="003C2438">
      <w:pPr>
        <w:keepNext/>
        <w:spacing w:after="0"/>
      </w:pPr>
      <w:bookmarkStart w:id="182" w:name="_Toc296694336"/>
      <w:bookmarkStart w:id="183" w:name="_Toc390346568"/>
    </w:p>
    <w:p w14:paraId="475C68BE" w14:textId="59337AA6" w:rsidR="0044176F" w:rsidRDefault="0044176F" w:rsidP="003C2438">
      <w:pPr>
        <w:keepNext/>
        <w:spacing w:after="0"/>
      </w:pPr>
      <w:r>
        <w:rPr>
          <w:noProof/>
        </w:rPr>
        <w:drawing>
          <wp:inline distT="0" distB="0" distL="0" distR="0" wp14:anchorId="26F5148A" wp14:editId="37EC594F">
            <wp:extent cx="5759450" cy="3022884"/>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59450" cy="3022884"/>
                    </a:xfrm>
                    <a:prstGeom prst="rect">
                      <a:avLst/>
                    </a:prstGeom>
                    <a:noFill/>
                  </pic:spPr>
                </pic:pic>
              </a:graphicData>
            </a:graphic>
          </wp:inline>
        </w:drawing>
      </w:r>
    </w:p>
    <w:p w14:paraId="0F512AB3" w14:textId="0FE410DB" w:rsidR="00AB74A3" w:rsidRPr="00D25573" w:rsidRDefault="003A5EFE" w:rsidP="003C2438">
      <w:pPr>
        <w:pStyle w:val="Abbildung"/>
        <w:spacing w:after="0"/>
        <w:rPr>
          <w:b/>
          <w:bCs/>
        </w:rPr>
      </w:pPr>
      <w:bookmarkStart w:id="184" w:name="_Toc412562629"/>
      <w:bookmarkStart w:id="185" w:name="_Toc437530315"/>
      <w:bookmarkStart w:id="186" w:name="_Toc111118589"/>
      <w:bookmarkStart w:id="187" w:name="_Toc111196135"/>
      <w:r w:rsidRPr="00D25573">
        <w:rPr>
          <w:b/>
          <w:bCs/>
        </w:rPr>
        <w:t xml:space="preserve">Abbildung </w:t>
      </w:r>
      <w:r w:rsidR="00561FFA" w:rsidRPr="00D25573">
        <w:rPr>
          <w:b/>
          <w:bCs/>
        </w:rPr>
        <w:fldChar w:fldCharType="begin"/>
      </w:r>
      <w:r w:rsidRPr="00D25573">
        <w:rPr>
          <w:b/>
          <w:bCs/>
        </w:rPr>
        <w:instrText xml:space="preserve"> SEQ Abbildung \* ARABIC </w:instrText>
      </w:r>
      <w:r w:rsidR="00561FFA" w:rsidRPr="00D25573">
        <w:rPr>
          <w:b/>
          <w:bCs/>
        </w:rPr>
        <w:fldChar w:fldCharType="separate"/>
      </w:r>
      <w:r w:rsidR="00D400FA">
        <w:rPr>
          <w:b/>
          <w:bCs/>
        </w:rPr>
        <w:t>6</w:t>
      </w:r>
      <w:r w:rsidR="00561FFA" w:rsidRPr="00D25573">
        <w:rPr>
          <w:b/>
          <w:bCs/>
        </w:rPr>
        <w:fldChar w:fldCharType="end"/>
      </w:r>
      <w:r w:rsidRPr="00D25573">
        <w:rPr>
          <w:b/>
          <w:bCs/>
        </w:rPr>
        <w:t>: Beispiel für eine Aufteilung von Biogaseinspeisungen auf verschiedene Bilanzkreise</w:t>
      </w:r>
      <w:bookmarkEnd w:id="182"/>
      <w:bookmarkEnd w:id="183"/>
      <w:bookmarkEnd w:id="184"/>
      <w:bookmarkEnd w:id="185"/>
      <w:bookmarkEnd w:id="186"/>
      <w:bookmarkEnd w:id="187"/>
    </w:p>
    <w:p w14:paraId="37DFD026" w14:textId="77777777" w:rsidR="007E05AB" w:rsidRDefault="00DF612D" w:rsidP="00D90179">
      <w:pPr>
        <w:pStyle w:val="berschrift2"/>
        <w:spacing w:before="480"/>
        <w:ind w:left="567" w:hanging="567"/>
      </w:pPr>
      <w:bookmarkStart w:id="188" w:name="_Toc284323618"/>
      <w:bookmarkStart w:id="189" w:name="_Toc284334294"/>
      <w:bookmarkStart w:id="190" w:name="_Toc285005260"/>
      <w:bookmarkStart w:id="191" w:name="_Ref296495798"/>
      <w:bookmarkStart w:id="192" w:name="_Toc318120256"/>
      <w:bookmarkStart w:id="193" w:name="_Toc296694077"/>
      <w:bookmarkStart w:id="194" w:name="_Toc391540135"/>
      <w:bookmarkStart w:id="195" w:name="_Toc412661297"/>
      <w:bookmarkStart w:id="196" w:name="_Toc111118448"/>
      <w:r w:rsidRPr="003958AB">
        <w:t>Verbindung von Bilanzkreisen</w:t>
      </w:r>
      <w:bookmarkEnd w:id="188"/>
      <w:bookmarkEnd w:id="189"/>
      <w:bookmarkEnd w:id="190"/>
      <w:bookmarkEnd w:id="191"/>
      <w:bookmarkEnd w:id="192"/>
      <w:bookmarkEnd w:id="193"/>
      <w:bookmarkEnd w:id="194"/>
      <w:bookmarkEnd w:id="195"/>
      <w:bookmarkEnd w:id="196"/>
    </w:p>
    <w:p w14:paraId="20410159" w14:textId="3C787945" w:rsidR="00DF612D" w:rsidRDefault="00DF612D" w:rsidP="003C2438">
      <w:pPr>
        <w:autoSpaceDE w:val="0"/>
        <w:autoSpaceDN w:val="0"/>
        <w:adjustRightInd w:val="0"/>
        <w:rPr>
          <w:rFonts w:cs="Arial"/>
        </w:rPr>
      </w:pPr>
      <w:r w:rsidRPr="004D6865">
        <w:rPr>
          <w:rFonts w:cs="Arial"/>
        </w:rPr>
        <w:t>Bilanzkreise können zum Zweck der gemeinsamen Saldierung</w:t>
      </w:r>
      <w:r>
        <w:rPr>
          <w:rFonts w:cs="Arial"/>
        </w:rPr>
        <w:t xml:space="preserve"> und Abrechnung</w:t>
      </w:r>
      <w:r w:rsidRPr="004D6865">
        <w:rPr>
          <w:rFonts w:cs="Arial"/>
        </w:rPr>
        <w:t xml:space="preserve"> von Bilanzkreis</w:t>
      </w:r>
      <w:r w:rsidR="005C3BAB">
        <w:rPr>
          <w:rFonts w:cs="Arial"/>
        </w:rPr>
        <w:t>salden</w:t>
      </w:r>
      <w:r w:rsidRPr="004D6865">
        <w:rPr>
          <w:rFonts w:cs="Arial"/>
        </w:rPr>
        <w:t xml:space="preserve"> verbunden werden. </w:t>
      </w:r>
      <w:r>
        <w:rPr>
          <w:rFonts w:cs="Arial"/>
        </w:rPr>
        <w:t>Die BKV</w:t>
      </w:r>
      <w:r w:rsidRPr="00E015D0">
        <w:rPr>
          <w:rFonts w:cs="Arial"/>
        </w:rPr>
        <w:t>, die so</w:t>
      </w:r>
      <w:r w:rsidR="007B1A63">
        <w:rPr>
          <w:rFonts w:cs="Arial"/>
        </w:rPr>
        <w:t>wohl H- als auch L-</w:t>
      </w:r>
      <w:r w:rsidRPr="00E015D0">
        <w:rPr>
          <w:rFonts w:cs="Arial"/>
        </w:rPr>
        <w:t xml:space="preserve">Gas bilanzieren, sind verpflichtet, ihre </w:t>
      </w:r>
      <w:r>
        <w:rPr>
          <w:rFonts w:cs="Arial"/>
        </w:rPr>
        <w:t>Bilanzkreise mit unterschiedlichen Qualitäten</w:t>
      </w:r>
      <w:r w:rsidRPr="00E015D0">
        <w:rPr>
          <w:rFonts w:cs="Arial"/>
        </w:rPr>
        <w:t xml:space="preserve"> miteinander zu verbinden. </w:t>
      </w:r>
      <w:r w:rsidRPr="004D6865">
        <w:rPr>
          <w:rFonts w:cs="Arial"/>
        </w:rPr>
        <w:t>Die BKV schließen</w:t>
      </w:r>
      <w:r>
        <w:rPr>
          <w:rFonts w:cs="Arial"/>
        </w:rPr>
        <w:t xml:space="preserve"> gemeinsam</w:t>
      </w:r>
      <w:r w:rsidRPr="004D6865">
        <w:rPr>
          <w:rFonts w:cs="Arial"/>
        </w:rPr>
        <w:t xml:space="preserve"> </w:t>
      </w:r>
      <w:r>
        <w:rPr>
          <w:rFonts w:cs="Arial"/>
        </w:rPr>
        <w:t xml:space="preserve">in schriftlicher Form die “Vereinbarung zur Verbindung von Bilanzkreisen“ gemäß Anlage 5 der </w:t>
      </w:r>
      <w:proofErr w:type="spellStart"/>
      <w:r w:rsidRPr="00AE096A">
        <w:rPr>
          <w:rFonts w:cs="Arial"/>
        </w:rPr>
        <w:t>KoV</w:t>
      </w:r>
      <w:proofErr w:type="spellEnd"/>
      <w:r w:rsidRPr="004D6865">
        <w:rPr>
          <w:rFonts w:cs="Arial"/>
        </w:rPr>
        <w:t xml:space="preserve"> mit dem MGV </w:t>
      </w:r>
      <w:r>
        <w:rPr>
          <w:rFonts w:cs="Arial"/>
        </w:rPr>
        <w:t>ab. Demnach werden</w:t>
      </w:r>
      <w:r w:rsidRPr="004D6865">
        <w:rPr>
          <w:rFonts w:cs="Arial"/>
        </w:rPr>
        <w:t xml:space="preserve"> die innerhalb ihrer Bilanzkreise auftretenden täglichen und stündlichen Abweichungen miteinander</w:t>
      </w:r>
      <w:r>
        <w:rPr>
          <w:rFonts w:cs="Arial"/>
        </w:rPr>
        <w:t xml:space="preserve"> in einem bestimmten RBK ihrer Bilanzkreise </w:t>
      </w:r>
      <w:r w:rsidRPr="004D6865">
        <w:rPr>
          <w:rFonts w:cs="Arial"/>
        </w:rPr>
        <w:t xml:space="preserve">saldiert und </w:t>
      </w:r>
      <w:r>
        <w:rPr>
          <w:rFonts w:cs="Arial"/>
        </w:rPr>
        <w:t>dem entsprechenden</w:t>
      </w:r>
      <w:r w:rsidRPr="004D6865">
        <w:rPr>
          <w:rFonts w:cs="Arial"/>
        </w:rPr>
        <w:t xml:space="preserve"> BKV in Rechnung gestellt</w:t>
      </w:r>
      <w:r w:rsidRPr="009E6A9A">
        <w:rPr>
          <w:rFonts w:cs="Arial"/>
        </w:rPr>
        <w:t xml:space="preserve">. Die </w:t>
      </w:r>
      <w:r>
        <w:rPr>
          <w:rFonts w:cs="Arial"/>
        </w:rPr>
        <w:t>Verbindung von</w:t>
      </w:r>
      <w:r w:rsidRPr="009E6A9A">
        <w:rPr>
          <w:rFonts w:cs="Arial"/>
        </w:rPr>
        <w:t xml:space="preserve"> UBK </w:t>
      </w:r>
      <w:r>
        <w:rPr>
          <w:rFonts w:cs="Arial"/>
        </w:rPr>
        <w:t>mit</w:t>
      </w:r>
      <w:r w:rsidRPr="009E6A9A">
        <w:rPr>
          <w:rFonts w:cs="Arial"/>
        </w:rPr>
        <w:t xml:space="preserve"> </w:t>
      </w:r>
      <w:r>
        <w:rPr>
          <w:rFonts w:cs="Arial"/>
        </w:rPr>
        <w:t xml:space="preserve">einem </w:t>
      </w:r>
      <w:r w:rsidRPr="009E6A9A">
        <w:rPr>
          <w:rFonts w:cs="Arial"/>
        </w:rPr>
        <w:t xml:space="preserve">RBK </w:t>
      </w:r>
      <w:r>
        <w:rPr>
          <w:rFonts w:cs="Arial"/>
        </w:rPr>
        <w:t xml:space="preserve">erfolgt </w:t>
      </w:r>
      <w:r w:rsidRPr="009E6A9A">
        <w:rPr>
          <w:rFonts w:cs="Arial"/>
        </w:rPr>
        <w:t xml:space="preserve">in </w:t>
      </w:r>
      <w:r>
        <w:rPr>
          <w:rFonts w:cs="Arial"/>
        </w:rPr>
        <w:t>Textf</w:t>
      </w:r>
      <w:r w:rsidRPr="009E6A9A">
        <w:rPr>
          <w:rFonts w:cs="Arial"/>
        </w:rPr>
        <w:t>orm</w:t>
      </w:r>
      <w:r>
        <w:rPr>
          <w:rFonts w:cs="Arial"/>
        </w:rPr>
        <w:t xml:space="preserve"> über die </w:t>
      </w:r>
      <w:r w:rsidR="00A86594">
        <w:rPr>
          <w:rFonts w:cs="Arial"/>
        </w:rPr>
        <w:t>„</w:t>
      </w:r>
      <w:r>
        <w:rPr>
          <w:rFonts w:cs="Arial"/>
        </w:rPr>
        <w:t>Vereinbarung über die Verbindung von Bilanzkreisen</w:t>
      </w:r>
      <w:r w:rsidR="00A86594">
        <w:rPr>
          <w:rFonts w:cs="Arial"/>
        </w:rPr>
        <w:t>“</w:t>
      </w:r>
      <w:r w:rsidR="003B212F">
        <w:rPr>
          <w:rFonts w:cs="Arial"/>
        </w:rPr>
        <w:t xml:space="preserve"> oder im Portal des MGV</w:t>
      </w:r>
      <w:r>
        <w:rPr>
          <w:rFonts w:cs="Arial"/>
        </w:rPr>
        <w:t xml:space="preserve">. </w:t>
      </w:r>
      <w:r w:rsidR="00E15ABD">
        <w:rPr>
          <w:rFonts w:cs="Arial"/>
        </w:rPr>
        <w:t xml:space="preserve">Die </w:t>
      </w:r>
      <w:r w:rsidR="00A86594">
        <w:rPr>
          <w:rFonts w:cs="Arial"/>
        </w:rPr>
        <w:t>„</w:t>
      </w:r>
      <w:r w:rsidR="00E15ABD">
        <w:rPr>
          <w:rFonts w:cs="Arial"/>
        </w:rPr>
        <w:t>Vereinbarung über die Verbindung von Bilanzkreisen</w:t>
      </w:r>
      <w:r w:rsidR="005026B9">
        <w:rPr>
          <w:rFonts w:cs="Arial"/>
        </w:rPr>
        <w:t>“</w:t>
      </w:r>
      <w:r w:rsidR="00E15ABD">
        <w:rPr>
          <w:rFonts w:cs="Arial"/>
        </w:rPr>
        <w:t xml:space="preserve"> muss dem MGV bis spätestens 10 WT vor Beginn der Verbindung vorliegen. Die Mindestlaufzeit einer Verbindung beträgt </w:t>
      </w:r>
      <w:r w:rsidR="0016334B">
        <w:rPr>
          <w:rFonts w:cs="Arial"/>
        </w:rPr>
        <w:t xml:space="preserve">einen </w:t>
      </w:r>
      <w:r w:rsidR="00E15ABD">
        <w:rPr>
          <w:rFonts w:cs="Arial"/>
        </w:rPr>
        <w:t xml:space="preserve">Monat. </w:t>
      </w:r>
      <w:r w:rsidRPr="00CD484F">
        <w:rPr>
          <w:rFonts w:cs="Arial"/>
        </w:rPr>
        <w:t>Eine</w:t>
      </w:r>
      <w:r w:rsidRPr="00E015D0">
        <w:rPr>
          <w:rFonts w:cs="Arial"/>
        </w:rPr>
        <w:t xml:space="preserve"> </w:t>
      </w:r>
      <w:r>
        <w:rPr>
          <w:rFonts w:cs="Arial"/>
        </w:rPr>
        <w:t>Verbindung</w:t>
      </w:r>
      <w:r w:rsidRPr="00E015D0">
        <w:rPr>
          <w:rFonts w:cs="Arial"/>
        </w:rPr>
        <w:t xml:space="preserve"> kann nur zwischen Bilanzkreisen mit dem Status „frei zuordenbare Kapazitäten</w:t>
      </w:r>
      <w:r>
        <w:rPr>
          <w:rFonts w:cs="Arial"/>
        </w:rPr>
        <w:t>“</w:t>
      </w:r>
      <w:r w:rsidRPr="00E015D0">
        <w:rPr>
          <w:rFonts w:cs="Arial"/>
        </w:rPr>
        <w:t xml:space="preserve"> erfolgen. Bilanzkreise mit dem Status „beschränkt zuordenbare Kapazitäten“ können nicht miteinander verbunden werden.</w:t>
      </w:r>
    </w:p>
    <w:p w14:paraId="78DD6801" w14:textId="77777777" w:rsidR="00E924B2" w:rsidRDefault="00E924B2" w:rsidP="003C2438">
      <w:r w:rsidRPr="00C92610">
        <w:lastRenderedPageBreak/>
        <w:t xml:space="preserve">Unter </w:t>
      </w:r>
      <w:r>
        <w:t>einem</w:t>
      </w:r>
      <w:r w:rsidRPr="00E068C5">
        <w:t xml:space="preserve"> RBK können 10 Ebenen </w:t>
      </w:r>
      <w:r w:rsidRPr="00C92610">
        <w:t xml:space="preserve">von </w:t>
      </w:r>
      <w:r w:rsidR="002E1876" w:rsidRPr="00C92610">
        <w:t>U</w:t>
      </w:r>
      <w:r w:rsidR="002E1876">
        <w:t>BK</w:t>
      </w:r>
      <w:r w:rsidR="002E1876" w:rsidRPr="00C92610">
        <w:t xml:space="preserve"> </w:t>
      </w:r>
      <w:r w:rsidRPr="00C92610">
        <w:t xml:space="preserve">gebildet werden. </w:t>
      </w:r>
      <w:r>
        <w:t>I</w:t>
      </w:r>
      <w:r w:rsidRPr="00C92610">
        <w:t>n allen RBK und UBK können max. 9999 SBK eröffnet werden.</w:t>
      </w:r>
    </w:p>
    <w:p w14:paraId="60EBE2CD" w14:textId="4A3D96F7" w:rsidR="00970BC4" w:rsidRDefault="00DF612D" w:rsidP="003C2438">
      <w:pPr>
        <w:autoSpaceDE w:val="0"/>
        <w:autoSpaceDN w:val="0"/>
        <w:adjustRightInd w:val="0"/>
        <w:rPr>
          <w:rFonts w:cs="Arial"/>
        </w:rPr>
      </w:pPr>
      <w:r w:rsidRPr="00E015D0">
        <w:rPr>
          <w:rFonts w:cs="Arial"/>
        </w:rPr>
        <w:t xml:space="preserve">In der </w:t>
      </w:r>
      <w:r w:rsidR="0011373C">
        <w:fldChar w:fldCharType="begin"/>
      </w:r>
      <w:r w:rsidR="0011373C">
        <w:instrText xml:space="preserve"> REF _Ref348534981 \h  \* MERGEFORMAT </w:instrText>
      </w:r>
      <w:r w:rsidR="0011373C">
        <w:fldChar w:fldCharType="separate"/>
      </w:r>
      <w:r w:rsidR="00692E23" w:rsidRPr="00692E23">
        <w:t>Abbildung 7</w:t>
      </w:r>
      <w:r w:rsidR="0011373C">
        <w:fldChar w:fldCharType="end"/>
      </w:r>
      <w:r w:rsidRPr="0086147C">
        <w:rPr>
          <w:rFonts w:cs="Arial"/>
        </w:rPr>
        <w:t xml:space="preserve"> </w:t>
      </w:r>
      <w:r w:rsidRPr="00E015D0">
        <w:rPr>
          <w:rFonts w:cs="Arial"/>
        </w:rPr>
        <w:t xml:space="preserve">werden mögliche Verbindungen von Bilanzkreisen exemplarisch dargestellt. </w:t>
      </w:r>
      <w:r w:rsidR="00F57C2F">
        <w:rPr>
          <w:rFonts w:cs="Arial"/>
        </w:rPr>
        <w:t>Ein BKV muss seine Bilanzkreise mit unterschiedlichen Gasqualitäten so miteinander verbinden, dass sichergestellt ist, dass diese Mengen in ein und denselben RBK miteinander saldiert werden.</w:t>
      </w:r>
      <w:r w:rsidRPr="00E015D0">
        <w:rPr>
          <w:rFonts w:cs="Arial"/>
        </w:rPr>
        <w:t xml:space="preserve"> </w:t>
      </w:r>
      <w:r>
        <w:rPr>
          <w:rFonts w:cs="Arial"/>
        </w:rPr>
        <w:t xml:space="preserve">BKV </w:t>
      </w:r>
      <w:r w:rsidRPr="00E015D0">
        <w:rPr>
          <w:rFonts w:cs="Arial"/>
        </w:rPr>
        <w:t>kön</w:t>
      </w:r>
      <w:r w:rsidR="0031624E">
        <w:rPr>
          <w:rFonts w:cs="Arial"/>
        </w:rPr>
        <w:t>nen</w:t>
      </w:r>
      <w:r w:rsidRPr="00E015D0">
        <w:rPr>
          <w:rFonts w:cs="Arial"/>
        </w:rPr>
        <w:t xml:space="preserve"> nur einen </w:t>
      </w:r>
      <w:r w:rsidR="000B0B6D">
        <w:rPr>
          <w:rFonts w:cs="Arial"/>
        </w:rPr>
        <w:t>RBK</w:t>
      </w:r>
      <w:r w:rsidR="000B0B6D" w:rsidRPr="00E015D0">
        <w:rPr>
          <w:rFonts w:cs="Arial"/>
        </w:rPr>
        <w:t xml:space="preserve"> </w:t>
      </w:r>
      <w:r w:rsidRPr="00E015D0">
        <w:rPr>
          <w:rFonts w:cs="Arial"/>
        </w:rPr>
        <w:t>führen, wenn Bilanzkreise unter</w:t>
      </w:r>
      <w:r w:rsidR="00AE1BFD">
        <w:rPr>
          <w:rFonts w:cs="Arial"/>
        </w:rPr>
        <w:t>schiedlicher Gasqualität mit dem</w:t>
      </w:r>
      <w:r w:rsidRPr="00E015D0">
        <w:rPr>
          <w:rFonts w:cs="Arial"/>
        </w:rPr>
        <w:t xml:space="preserve"> Status </w:t>
      </w:r>
      <w:r w:rsidR="000B0B6D">
        <w:rPr>
          <w:rFonts w:cs="Arial"/>
        </w:rPr>
        <w:t>„</w:t>
      </w:r>
      <w:r w:rsidRPr="00E015D0">
        <w:rPr>
          <w:rFonts w:cs="Arial"/>
        </w:rPr>
        <w:t>frei zuordenbare Kapazitäten</w:t>
      </w:r>
      <w:r w:rsidR="000B0B6D">
        <w:rPr>
          <w:rFonts w:cs="Arial"/>
        </w:rPr>
        <w:t>“</w:t>
      </w:r>
      <w:r w:rsidRPr="00E015D0">
        <w:rPr>
          <w:rFonts w:cs="Arial"/>
        </w:rPr>
        <w:t xml:space="preserve"> abgeschlossen wurden. Führt ein </w:t>
      </w:r>
      <w:r>
        <w:rPr>
          <w:rFonts w:cs="Arial"/>
        </w:rPr>
        <w:t>BKV</w:t>
      </w:r>
      <w:r w:rsidRPr="00E015D0">
        <w:rPr>
          <w:rFonts w:cs="Arial"/>
        </w:rPr>
        <w:t xml:space="preserve"> nur Bilanzkreise in einer Gasqualität, müssen diese nicht verbunden werden.</w:t>
      </w:r>
    </w:p>
    <w:p w14:paraId="5468B6CD" w14:textId="77777777" w:rsidR="001551FB" w:rsidRDefault="005C552B" w:rsidP="003C2438">
      <w:pPr>
        <w:pStyle w:val="BeschriftungBilder-Tabellen"/>
        <w:spacing w:before="0" w:after="0"/>
      </w:pPr>
      <w:r>
        <w:rPr>
          <w:noProof/>
          <w:lang w:eastAsia="de-DE"/>
        </w:rPr>
        <w:drawing>
          <wp:inline distT="0" distB="0" distL="0" distR="0" wp14:anchorId="666A0F76" wp14:editId="0DE00048">
            <wp:extent cx="4104062" cy="3170521"/>
            <wp:effectExtent l="19050" t="0" r="0" b="0"/>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097754" cy="3165648"/>
                    </a:xfrm>
                    <a:prstGeom prst="rect">
                      <a:avLst/>
                    </a:prstGeom>
                    <a:noFill/>
                    <a:ln>
                      <a:noFill/>
                    </a:ln>
                  </pic:spPr>
                </pic:pic>
              </a:graphicData>
            </a:graphic>
          </wp:inline>
        </w:drawing>
      </w:r>
    </w:p>
    <w:p w14:paraId="5039B8A1" w14:textId="5E1A9AC5" w:rsidR="00986AFB" w:rsidRPr="00996036" w:rsidRDefault="00DF612D" w:rsidP="00D90179">
      <w:pPr>
        <w:pStyle w:val="Abbildung"/>
        <w:spacing w:before="360"/>
        <w:rPr>
          <w:b/>
        </w:rPr>
      </w:pPr>
      <w:bookmarkStart w:id="197" w:name="_Ref348534981"/>
      <w:bookmarkStart w:id="198" w:name="_Toc390346559"/>
      <w:bookmarkStart w:id="199" w:name="_Toc412562630"/>
      <w:bookmarkStart w:id="200" w:name="_Toc437530316"/>
      <w:bookmarkStart w:id="201" w:name="_Toc111118590"/>
      <w:bookmarkStart w:id="202" w:name="_Toc111196136"/>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7</w:t>
      </w:r>
      <w:r w:rsidR="00561FFA" w:rsidRPr="00996036">
        <w:rPr>
          <w:b/>
        </w:rPr>
        <w:fldChar w:fldCharType="end"/>
      </w:r>
      <w:bookmarkEnd w:id="197"/>
      <w:r w:rsidRPr="00996036">
        <w:rPr>
          <w:b/>
        </w:rPr>
        <w:t>: Mögliche Verbindungen von Bilanzkreisen</w:t>
      </w:r>
      <w:bookmarkEnd w:id="198"/>
      <w:bookmarkEnd w:id="199"/>
      <w:bookmarkEnd w:id="200"/>
      <w:bookmarkEnd w:id="201"/>
      <w:bookmarkEnd w:id="202"/>
    </w:p>
    <w:p w14:paraId="5682F58D" w14:textId="1A6360F1" w:rsidR="00E15ABD" w:rsidRDefault="00DF612D" w:rsidP="003C2438">
      <w:pPr>
        <w:autoSpaceDE w:val="0"/>
        <w:autoSpaceDN w:val="0"/>
        <w:adjustRightInd w:val="0"/>
        <w:rPr>
          <w:rFonts w:cs="Arial"/>
        </w:rPr>
      </w:pPr>
      <w:r w:rsidRPr="004D6865">
        <w:rPr>
          <w:rFonts w:cs="Arial"/>
        </w:rPr>
        <w:t>Im</w:t>
      </w:r>
      <w:r>
        <w:rPr>
          <w:rFonts w:cs="Arial"/>
        </w:rPr>
        <w:t xml:space="preserve"> RBK</w:t>
      </w:r>
      <w:r w:rsidRPr="004D6865">
        <w:rPr>
          <w:rFonts w:cs="Arial"/>
        </w:rPr>
        <w:t xml:space="preserve"> werden die Toleranzen der </w:t>
      </w:r>
      <w:r w:rsidR="005B65F8">
        <w:rPr>
          <w:rFonts w:cs="Arial"/>
        </w:rPr>
        <w:t>untertägigen Verpflichtungen</w:t>
      </w:r>
      <w:r w:rsidR="00BF4B49">
        <w:rPr>
          <w:rFonts w:cs="Arial"/>
        </w:rPr>
        <w:t>,</w:t>
      </w:r>
      <w:r w:rsidR="005B65F8" w:rsidRPr="004D6865">
        <w:rPr>
          <w:rFonts w:cs="Arial"/>
        </w:rPr>
        <w:t xml:space="preserve"> </w:t>
      </w:r>
      <w:r w:rsidR="00A5643F">
        <w:rPr>
          <w:rFonts w:cs="Arial"/>
        </w:rPr>
        <w:t xml:space="preserve">die sich aus den aggregierten Mengen </w:t>
      </w:r>
      <w:r w:rsidR="00A5643F" w:rsidRPr="004D6865">
        <w:rPr>
          <w:rFonts w:cs="Arial"/>
        </w:rPr>
        <w:t xml:space="preserve">aus den </w:t>
      </w:r>
      <w:r w:rsidR="00A5643F">
        <w:rPr>
          <w:rFonts w:cs="Arial"/>
        </w:rPr>
        <w:t>UBK</w:t>
      </w:r>
      <w:r w:rsidR="00A5643F" w:rsidRPr="004D6865">
        <w:rPr>
          <w:rFonts w:cs="Arial"/>
        </w:rPr>
        <w:t xml:space="preserve"> </w:t>
      </w:r>
      <w:r w:rsidR="00A5643F">
        <w:rPr>
          <w:rFonts w:cs="Arial"/>
        </w:rPr>
        <w:t>ergeben</w:t>
      </w:r>
      <w:r w:rsidR="00BF4B49">
        <w:rPr>
          <w:rFonts w:cs="Arial"/>
        </w:rPr>
        <w:t>,</w:t>
      </w:r>
      <w:r w:rsidR="00A5643F" w:rsidRPr="004D6865">
        <w:rPr>
          <w:rFonts w:cs="Arial"/>
        </w:rPr>
        <w:t xml:space="preserve"> </w:t>
      </w:r>
      <w:r w:rsidRPr="004D6865">
        <w:rPr>
          <w:rFonts w:cs="Arial"/>
        </w:rPr>
        <w:t xml:space="preserve">aggregiert berücksichtigt. </w:t>
      </w:r>
      <w:r w:rsidR="00E15ABD" w:rsidRPr="004D6865">
        <w:rPr>
          <w:rFonts w:cs="Arial"/>
        </w:rPr>
        <w:t xml:space="preserve">Darüber hinaus </w:t>
      </w:r>
      <w:r w:rsidR="00BA7010">
        <w:rPr>
          <w:rFonts w:cs="Arial"/>
        </w:rPr>
        <w:t>werden</w:t>
      </w:r>
      <w:r w:rsidR="00BA7010" w:rsidRPr="004D6865">
        <w:rPr>
          <w:rFonts w:cs="Arial"/>
        </w:rPr>
        <w:t xml:space="preserve"> </w:t>
      </w:r>
      <w:r w:rsidR="00E15ABD" w:rsidRPr="004D6865">
        <w:rPr>
          <w:rFonts w:cs="Arial"/>
        </w:rPr>
        <w:t>die angefallene</w:t>
      </w:r>
      <w:r w:rsidR="00E15ABD">
        <w:rPr>
          <w:rFonts w:cs="Arial"/>
        </w:rPr>
        <w:t>n</w:t>
      </w:r>
      <w:r w:rsidR="00E15ABD" w:rsidRPr="004D6865">
        <w:rPr>
          <w:rFonts w:cs="Arial"/>
        </w:rPr>
        <w:t xml:space="preserve"> </w:t>
      </w:r>
      <w:r w:rsidR="00E15ABD">
        <w:rPr>
          <w:rFonts w:cs="Arial"/>
        </w:rPr>
        <w:t>Bilanzierungsumlagen</w:t>
      </w:r>
      <w:r w:rsidR="005B65F8">
        <w:rPr>
          <w:rFonts w:cs="Arial"/>
        </w:rPr>
        <w:t xml:space="preserve"> sowie die Konvertierungsumlage</w:t>
      </w:r>
      <w:r w:rsidR="00E15ABD" w:rsidRPr="004D6865">
        <w:rPr>
          <w:rFonts w:cs="Arial"/>
        </w:rPr>
        <w:t xml:space="preserve"> aller U</w:t>
      </w:r>
      <w:r w:rsidR="00E15ABD">
        <w:rPr>
          <w:rFonts w:cs="Arial"/>
        </w:rPr>
        <w:t>BK</w:t>
      </w:r>
      <w:r w:rsidR="00E15ABD" w:rsidRPr="004D6865">
        <w:rPr>
          <w:rFonts w:cs="Arial"/>
        </w:rPr>
        <w:t xml:space="preserve"> </w:t>
      </w:r>
      <w:r w:rsidR="00E15ABD">
        <w:rPr>
          <w:rFonts w:cs="Arial"/>
        </w:rPr>
        <w:t>über den</w:t>
      </w:r>
      <w:r w:rsidR="00E15ABD" w:rsidRPr="004D6865">
        <w:rPr>
          <w:rFonts w:cs="Arial"/>
        </w:rPr>
        <w:t xml:space="preserve"> </w:t>
      </w:r>
      <w:r w:rsidR="00E15ABD">
        <w:rPr>
          <w:rFonts w:cs="Arial"/>
        </w:rPr>
        <w:t>RBK</w:t>
      </w:r>
      <w:r w:rsidR="00E15ABD" w:rsidRPr="004D6865">
        <w:rPr>
          <w:rFonts w:cs="Arial"/>
        </w:rPr>
        <w:t xml:space="preserve"> </w:t>
      </w:r>
      <w:r w:rsidR="00E15ABD">
        <w:rPr>
          <w:rFonts w:cs="Arial"/>
        </w:rPr>
        <w:t>abgerechnet</w:t>
      </w:r>
      <w:r w:rsidR="00E15ABD" w:rsidRPr="004D6865">
        <w:rPr>
          <w:rFonts w:cs="Arial"/>
        </w:rPr>
        <w:t>.</w:t>
      </w:r>
    </w:p>
    <w:p w14:paraId="718AC21C" w14:textId="6C5413D3" w:rsidR="00220BDB" w:rsidRDefault="00220BDB" w:rsidP="003C2438">
      <w:pPr>
        <w:autoSpaceDE w:val="0"/>
        <w:autoSpaceDN w:val="0"/>
        <w:adjustRightInd w:val="0"/>
        <w:rPr>
          <w:rFonts w:cs="Arial"/>
        </w:rPr>
      </w:pPr>
      <w:r>
        <w:rPr>
          <w:rFonts w:cs="Arial"/>
        </w:rPr>
        <w:t xml:space="preserve">Sofern für einen UBK das Direktzahlungsmodell angewandt wird, werden diese Umlagen jeweils direkt an den BKV des UBK abgerechnet. Die </w:t>
      </w:r>
      <w:proofErr w:type="spellStart"/>
      <w:r>
        <w:rPr>
          <w:rFonts w:cs="Arial"/>
        </w:rPr>
        <w:t>Umlagenmengen</w:t>
      </w:r>
      <w:proofErr w:type="spellEnd"/>
      <w:r w:rsidR="00AE71CA">
        <w:rPr>
          <w:rFonts w:cs="Arial"/>
        </w:rPr>
        <w:t xml:space="preserve"> aus diesen direkt abgerechneten UBK werden nicht an den direkt darüber liegenden RBK bzw. UBK übertragen.</w:t>
      </w:r>
    </w:p>
    <w:p w14:paraId="7912F3AB" w14:textId="77777777" w:rsidR="0099526D" w:rsidRDefault="004C31D1" w:rsidP="003C2438">
      <w:pPr>
        <w:autoSpaceDE w:val="0"/>
        <w:autoSpaceDN w:val="0"/>
        <w:adjustRightInd w:val="0"/>
        <w:rPr>
          <w:rFonts w:cs="Arial"/>
        </w:rPr>
      </w:pPr>
      <w:r>
        <w:t xml:space="preserve">Alle </w:t>
      </w:r>
      <w:r w:rsidR="005B582D">
        <w:t xml:space="preserve">UBK </w:t>
      </w:r>
      <w:r>
        <w:t xml:space="preserve">werden mit einem RBK verbunden. </w:t>
      </w:r>
      <w:r w:rsidRPr="00C92610">
        <w:t>Die freie Kombinationsmöglichkeit bezieht sich allerdings lediglich auf die Verbindung von H- und L-Gas</w:t>
      </w:r>
      <w:r>
        <w:t>-</w:t>
      </w:r>
      <w:r w:rsidRPr="00C92610">
        <w:t>Bilanzkreisen</w:t>
      </w:r>
      <w:r>
        <w:t xml:space="preserve">, </w:t>
      </w:r>
      <w:r w:rsidR="007B3099">
        <w:t xml:space="preserve">die </w:t>
      </w:r>
      <w:r w:rsidRPr="00C92610">
        <w:t>S</w:t>
      </w:r>
      <w:r>
        <w:t xml:space="preserve">BK </w:t>
      </w:r>
      <w:r w:rsidRPr="00C92610">
        <w:t xml:space="preserve">erhalten </w:t>
      </w:r>
      <w:r w:rsidRPr="00C92610">
        <w:lastRenderedPageBreak/>
        <w:t xml:space="preserve">automatisch die Gasqualität </w:t>
      </w:r>
      <w:r w:rsidRPr="00515E53">
        <w:t xml:space="preserve">des Bilanzkreises, dem sie zugeordnet sind. </w:t>
      </w:r>
      <w:r>
        <w:t xml:space="preserve">Der BKV legt </w:t>
      </w:r>
      <w:r w:rsidRPr="00515E53">
        <w:t>die Gas</w:t>
      </w:r>
      <w:r w:rsidR="007B3099">
        <w:t>-</w:t>
      </w:r>
      <w:r w:rsidRPr="00515E53">
        <w:t>qualität des RBK fest</w:t>
      </w:r>
      <w:r>
        <w:t>.</w:t>
      </w:r>
    </w:p>
    <w:p w14:paraId="671AD1F7" w14:textId="77777777" w:rsidR="00D73BE9" w:rsidRDefault="00DF612D" w:rsidP="003C2438">
      <w:pPr>
        <w:autoSpaceDE w:val="0"/>
        <w:autoSpaceDN w:val="0"/>
        <w:adjustRightInd w:val="0"/>
        <w:rPr>
          <w:rFonts w:cs="Arial"/>
        </w:rPr>
      </w:pPr>
      <w:r w:rsidRPr="004D6865">
        <w:rPr>
          <w:rFonts w:cs="Arial"/>
        </w:rPr>
        <w:t>Alle beteiligten BKV sind</w:t>
      </w:r>
      <w:r>
        <w:rPr>
          <w:rFonts w:cs="Arial"/>
        </w:rPr>
        <w:t xml:space="preserve"> ungeachtet der Verbindung ihrer Bilanzkreise</w:t>
      </w:r>
      <w:r w:rsidRPr="004D6865">
        <w:rPr>
          <w:rFonts w:cs="Arial"/>
        </w:rPr>
        <w:t xml:space="preserve"> weiterhin für die Führung </w:t>
      </w:r>
      <w:r>
        <w:rPr>
          <w:rFonts w:cs="Arial"/>
        </w:rPr>
        <w:t>i</w:t>
      </w:r>
      <w:r w:rsidRPr="004D6865">
        <w:rPr>
          <w:rFonts w:cs="Arial"/>
        </w:rPr>
        <w:t>hrer</w:t>
      </w:r>
      <w:r>
        <w:rPr>
          <w:rFonts w:cs="Arial"/>
        </w:rPr>
        <w:t xml:space="preserve"> Bilanzkreise verantwortlich, d.</w:t>
      </w:r>
      <w:r w:rsidR="007248BE">
        <w:t> </w:t>
      </w:r>
      <w:r w:rsidRPr="004D6865">
        <w:rPr>
          <w:rFonts w:cs="Arial"/>
        </w:rPr>
        <w:t xml:space="preserve">h. der tägliche BK-Status sowie die SLP- und RLM-Allokationen </w:t>
      </w:r>
      <w:r>
        <w:rPr>
          <w:rFonts w:cs="Arial"/>
        </w:rPr>
        <w:t xml:space="preserve">des jeweiligen UBK </w:t>
      </w:r>
      <w:r w:rsidRPr="004D6865">
        <w:rPr>
          <w:rFonts w:cs="Arial"/>
        </w:rPr>
        <w:t>werden weiterhin an den jeweiligen BKV übermittelt. Der BKV</w:t>
      </w:r>
      <w:r>
        <w:rPr>
          <w:rFonts w:cs="Arial"/>
        </w:rPr>
        <w:t xml:space="preserve"> des RBK</w:t>
      </w:r>
      <w:r w:rsidRPr="004D6865">
        <w:rPr>
          <w:rFonts w:cs="Arial"/>
        </w:rPr>
        <w:t xml:space="preserve"> bekommt </w:t>
      </w:r>
      <w:r>
        <w:rPr>
          <w:rFonts w:cs="Arial"/>
        </w:rPr>
        <w:t xml:space="preserve">zusätzliche Informationen </w:t>
      </w:r>
      <w:r w:rsidR="005B65F8" w:rsidRPr="004D6865">
        <w:rPr>
          <w:rFonts w:cs="Arial"/>
        </w:rPr>
        <w:t>auf aggregierter Ebene</w:t>
      </w:r>
      <w:r w:rsidR="005B65F8">
        <w:rPr>
          <w:rFonts w:cs="Arial"/>
        </w:rPr>
        <w:t xml:space="preserve"> </w:t>
      </w:r>
      <w:r w:rsidR="005B582D">
        <w:rPr>
          <w:rFonts w:cs="Arial"/>
        </w:rPr>
        <w:t>–</w:t>
      </w:r>
      <w:r w:rsidR="00AE1BFD">
        <w:rPr>
          <w:rFonts w:cs="Arial"/>
        </w:rPr>
        <w:t xml:space="preserve"> täglich D+1 KT, am Tag M+15 </w:t>
      </w:r>
      <w:r>
        <w:rPr>
          <w:rFonts w:cs="Arial"/>
        </w:rPr>
        <w:t xml:space="preserve">WT und </w:t>
      </w:r>
      <w:r w:rsidRPr="004D6865">
        <w:rPr>
          <w:rFonts w:cs="Arial"/>
        </w:rPr>
        <w:t xml:space="preserve">zum Zeitpunkt </w:t>
      </w:r>
      <w:r>
        <w:rPr>
          <w:rFonts w:cs="Arial"/>
        </w:rPr>
        <w:t>der Rechnungslegung</w:t>
      </w:r>
      <w:r w:rsidRPr="004D6865">
        <w:rPr>
          <w:rFonts w:cs="Arial"/>
        </w:rPr>
        <w:t xml:space="preserve">. Der </w:t>
      </w:r>
      <w:r>
        <w:rPr>
          <w:rFonts w:cs="Arial"/>
        </w:rPr>
        <w:t>BKV des RBK</w:t>
      </w:r>
      <w:r w:rsidRPr="004D6865">
        <w:rPr>
          <w:rFonts w:cs="Arial"/>
        </w:rPr>
        <w:t xml:space="preserve"> übernimmt gegenüber dem MGV die alleinige kommerzielle Gesamtverantwortung für die saldierten Bilanzkreis</w:t>
      </w:r>
      <w:r>
        <w:rPr>
          <w:rFonts w:cs="Arial"/>
        </w:rPr>
        <w:t>differenzen</w:t>
      </w:r>
      <w:r w:rsidRPr="004D6865">
        <w:rPr>
          <w:rFonts w:cs="Arial"/>
        </w:rPr>
        <w:t xml:space="preserve"> der U</w:t>
      </w:r>
      <w:r>
        <w:rPr>
          <w:rFonts w:cs="Arial"/>
        </w:rPr>
        <w:t>BK.</w:t>
      </w:r>
    </w:p>
    <w:p w14:paraId="0AF5F1D6" w14:textId="6A8AB74F" w:rsidR="00DF612D" w:rsidRDefault="00DF612D" w:rsidP="003C2438">
      <w:pPr>
        <w:autoSpaceDE w:val="0"/>
        <w:autoSpaceDN w:val="0"/>
        <w:adjustRightInd w:val="0"/>
        <w:rPr>
          <w:rFonts w:cs="Arial"/>
        </w:rPr>
      </w:pPr>
      <w:r>
        <w:rPr>
          <w:rFonts w:cs="Arial"/>
        </w:rPr>
        <w:t xml:space="preserve">UBK können mit mehreren RBK verbunden werden. Die Aufteilung kann nur ratierlich erfolgen, die Summe </w:t>
      </w:r>
      <w:r w:rsidR="00AE1BFD">
        <w:rPr>
          <w:rFonts w:cs="Arial"/>
        </w:rPr>
        <w:t>muss 100</w:t>
      </w:r>
      <w:r w:rsidRPr="00343A76">
        <w:rPr>
          <w:rFonts w:cs="Arial"/>
        </w:rPr>
        <w:t>% ergeben und die Rundung erfolgt kaufmännisch</w:t>
      </w:r>
      <w:r w:rsidR="007248BE">
        <w:rPr>
          <w:rFonts w:cs="Arial"/>
        </w:rPr>
        <w:t xml:space="preserve"> auf </w:t>
      </w:r>
      <w:r w:rsidR="007248BE" w:rsidRPr="00343A76">
        <w:rPr>
          <w:rFonts w:cs="Arial"/>
        </w:rPr>
        <w:t>ganzzahlig</w:t>
      </w:r>
      <w:r w:rsidR="007248BE">
        <w:rPr>
          <w:rFonts w:cs="Arial"/>
        </w:rPr>
        <w:t>e Werte</w:t>
      </w:r>
      <w:r w:rsidRPr="00343A76">
        <w:rPr>
          <w:rFonts w:cs="Arial"/>
        </w:rPr>
        <w:t xml:space="preserve">. </w:t>
      </w:r>
      <w:r>
        <w:rPr>
          <w:rFonts w:cs="Arial"/>
        </w:rPr>
        <w:t xml:space="preserve">In </w:t>
      </w:r>
      <w:r w:rsidR="0011373C">
        <w:fldChar w:fldCharType="begin"/>
      </w:r>
      <w:r w:rsidR="0011373C">
        <w:instrText xml:space="preserve"> REF _Ref287297699 \h  \* MERGEFORMAT </w:instrText>
      </w:r>
      <w:r w:rsidR="0011373C">
        <w:fldChar w:fldCharType="separate"/>
      </w:r>
      <w:r w:rsidR="00692E23" w:rsidRPr="00692E23">
        <w:t>Abbildung 8</w:t>
      </w:r>
      <w:r w:rsidR="0011373C">
        <w:fldChar w:fldCharType="end"/>
      </w:r>
      <w:r w:rsidRPr="0086147C">
        <w:rPr>
          <w:rFonts w:cs="Arial"/>
        </w:rPr>
        <w:t xml:space="preserve"> </w:t>
      </w:r>
      <w:r w:rsidRPr="004D6865">
        <w:rPr>
          <w:rFonts w:cs="Arial"/>
        </w:rPr>
        <w:t xml:space="preserve">ist eine einfache Beziehung eines </w:t>
      </w:r>
      <w:r w:rsidR="00D73BE9">
        <w:rPr>
          <w:rFonts w:cs="Arial"/>
        </w:rPr>
        <w:t>UBK</w:t>
      </w:r>
      <w:r w:rsidR="00D73BE9" w:rsidRPr="004D6865">
        <w:rPr>
          <w:rFonts w:cs="Arial"/>
        </w:rPr>
        <w:t xml:space="preserve"> </w:t>
      </w:r>
      <w:r w:rsidRPr="004D6865">
        <w:rPr>
          <w:rFonts w:cs="Arial"/>
        </w:rPr>
        <w:t xml:space="preserve">mit </w:t>
      </w:r>
      <w:r>
        <w:rPr>
          <w:rFonts w:cs="Arial"/>
        </w:rPr>
        <w:t xml:space="preserve">zwei </w:t>
      </w:r>
      <w:r w:rsidRPr="004D6865">
        <w:rPr>
          <w:rFonts w:cs="Arial"/>
        </w:rPr>
        <w:t>direkt</w:t>
      </w:r>
      <w:r>
        <w:rPr>
          <w:rFonts w:cs="Arial"/>
        </w:rPr>
        <w:t xml:space="preserve"> verbundenen</w:t>
      </w:r>
      <w:r w:rsidRPr="004D6865">
        <w:rPr>
          <w:rFonts w:cs="Arial"/>
        </w:rPr>
        <w:t xml:space="preserve"> </w:t>
      </w:r>
      <w:r w:rsidR="00D73BE9">
        <w:rPr>
          <w:rFonts w:cs="Arial"/>
        </w:rPr>
        <w:t>RBK</w:t>
      </w:r>
      <w:r w:rsidRPr="004D6865" w:rsidDel="00274DD6">
        <w:rPr>
          <w:rFonts w:cs="Arial"/>
        </w:rPr>
        <w:t xml:space="preserve"> </w:t>
      </w:r>
      <w:r w:rsidRPr="004D6865">
        <w:rPr>
          <w:rFonts w:cs="Arial"/>
        </w:rPr>
        <w:t xml:space="preserve">ohne </w:t>
      </w:r>
      <w:proofErr w:type="spellStart"/>
      <w:r w:rsidRPr="004D6865">
        <w:rPr>
          <w:rFonts w:cs="Arial"/>
        </w:rPr>
        <w:t>kaskadische</w:t>
      </w:r>
      <w:proofErr w:type="spellEnd"/>
      <w:r w:rsidRPr="004D6865">
        <w:rPr>
          <w:rFonts w:cs="Arial"/>
        </w:rPr>
        <w:t xml:space="preserve"> Abhängigkeiten dargestellt.</w:t>
      </w:r>
    </w:p>
    <w:p w14:paraId="184B50F2" w14:textId="77777777" w:rsidR="00DE55EC" w:rsidRDefault="00DE55EC" w:rsidP="003C2438">
      <w:pPr>
        <w:autoSpaceDE w:val="0"/>
        <w:autoSpaceDN w:val="0"/>
        <w:adjustRightInd w:val="0"/>
        <w:rPr>
          <w:rFonts w:cs="Arial"/>
        </w:rPr>
      </w:pPr>
    </w:p>
    <w:p w14:paraId="1C6D2237" w14:textId="198B6E29" w:rsidR="00DE55EC" w:rsidRDefault="00DE55EC" w:rsidP="003C2438">
      <w:pPr>
        <w:autoSpaceDE w:val="0"/>
        <w:autoSpaceDN w:val="0"/>
        <w:adjustRightInd w:val="0"/>
        <w:rPr>
          <w:rFonts w:cs="Arial"/>
        </w:rPr>
      </w:pPr>
    </w:p>
    <w:p w14:paraId="677898E3" w14:textId="7AA8AABE" w:rsidR="003B212F" w:rsidRDefault="003B212F" w:rsidP="003C2438">
      <w:pPr>
        <w:autoSpaceDE w:val="0"/>
        <w:autoSpaceDN w:val="0"/>
        <w:adjustRightInd w:val="0"/>
        <w:rPr>
          <w:rFonts w:cs="Arial"/>
        </w:rPr>
      </w:pPr>
      <w:r>
        <w:rPr>
          <w:rFonts w:cs="Arial"/>
          <w:noProof/>
        </w:rPr>
        <w:drawing>
          <wp:inline distT="0" distB="0" distL="0" distR="0" wp14:anchorId="33AB3036" wp14:editId="27E29A35">
            <wp:extent cx="5759450" cy="2514776"/>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59450" cy="2514776"/>
                    </a:xfrm>
                    <a:prstGeom prst="rect">
                      <a:avLst/>
                    </a:prstGeom>
                    <a:noFill/>
                  </pic:spPr>
                </pic:pic>
              </a:graphicData>
            </a:graphic>
          </wp:inline>
        </w:drawing>
      </w:r>
    </w:p>
    <w:p w14:paraId="21C66AB4" w14:textId="2E6DDB7F" w:rsidR="00E157A6" w:rsidRDefault="00DF612D" w:rsidP="003C2438">
      <w:pPr>
        <w:pStyle w:val="Abbildung"/>
        <w:rPr>
          <w:b/>
        </w:rPr>
      </w:pPr>
      <w:bookmarkStart w:id="203" w:name="_Ref287297699"/>
      <w:bookmarkStart w:id="204" w:name="_Toc318120263"/>
      <w:bookmarkStart w:id="205" w:name="_Toc296694330"/>
      <w:bookmarkStart w:id="206" w:name="_Toc357091925"/>
      <w:bookmarkStart w:id="207" w:name="_Toc390346560"/>
      <w:bookmarkStart w:id="208" w:name="_Toc412562631"/>
      <w:bookmarkStart w:id="209" w:name="_Toc437530317"/>
      <w:bookmarkStart w:id="210" w:name="_Toc111118591"/>
      <w:bookmarkStart w:id="211" w:name="_Toc111196137"/>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8</w:t>
      </w:r>
      <w:r w:rsidR="00561FFA" w:rsidRPr="00996036">
        <w:rPr>
          <w:b/>
        </w:rPr>
        <w:fldChar w:fldCharType="end"/>
      </w:r>
      <w:bookmarkEnd w:id="203"/>
      <w:r w:rsidRPr="00996036">
        <w:rPr>
          <w:b/>
        </w:rPr>
        <w:t>: Quotale Aufteilung von UBK auf RBK</w:t>
      </w:r>
      <w:bookmarkEnd w:id="204"/>
      <w:bookmarkEnd w:id="205"/>
      <w:bookmarkEnd w:id="206"/>
      <w:bookmarkEnd w:id="207"/>
      <w:bookmarkEnd w:id="208"/>
      <w:bookmarkEnd w:id="209"/>
      <w:bookmarkEnd w:id="210"/>
      <w:bookmarkEnd w:id="211"/>
    </w:p>
    <w:p w14:paraId="53F8433F" w14:textId="77777777" w:rsidR="00FD18FF" w:rsidRDefault="00FD18FF" w:rsidP="003C2438">
      <w:pPr>
        <w:rPr>
          <w:rFonts w:cs="Arial"/>
          <w:b/>
          <w:bCs/>
          <w:iCs/>
          <w:sz w:val="28"/>
          <w:szCs w:val="28"/>
        </w:rPr>
      </w:pPr>
      <w:bookmarkStart w:id="212" w:name="_Toc280808865"/>
      <w:bookmarkStart w:id="213" w:name="_Toc284323619"/>
      <w:bookmarkStart w:id="214" w:name="_Toc284334295"/>
      <w:bookmarkStart w:id="215" w:name="_Toc285005261"/>
      <w:bookmarkStart w:id="216" w:name="_Ref287630650"/>
      <w:bookmarkStart w:id="217" w:name="_Toc318120257"/>
      <w:bookmarkStart w:id="218" w:name="_Toc296694078"/>
      <w:bookmarkStart w:id="219" w:name="_Toc391540136"/>
      <w:bookmarkStart w:id="220" w:name="_Toc412661298"/>
      <w:r>
        <w:br w:type="page"/>
      </w:r>
    </w:p>
    <w:p w14:paraId="7638A924" w14:textId="77777777" w:rsidR="007E05AB" w:rsidRDefault="00DF612D" w:rsidP="00D90179">
      <w:pPr>
        <w:pStyle w:val="berschrift2"/>
        <w:spacing w:before="0"/>
        <w:ind w:left="567" w:hanging="567"/>
      </w:pPr>
      <w:bookmarkStart w:id="221" w:name="_Ref439851756"/>
      <w:bookmarkStart w:id="222" w:name="_Toc111118449"/>
      <w:r>
        <w:lastRenderedPageBreak/>
        <w:t xml:space="preserve">Besonderheiten bei der </w:t>
      </w:r>
      <w:r w:rsidRPr="00A87A77">
        <w:t xml:space="preserve">Verbindung von </w:t>
      </w:r>
      <w:r>
        <w:t>Biogas-</w:t>
      </w:r>
      <w:r w:rsidRPr="00A87A77">
        <w:t>Bilanzkreisen</w:t>
      </w:r>
      <w:bookmarkEnd w:id="212"/>
      <w:bookmarkEnd w:id="213"/>
      <w:bookmarkEnd w:id="214"/>
      <w:bookmarkEnd w:id="215"/>
      <w:bookmarkEnd w:id="216"/>
      <w:bookmarkEnd w:id="217"/>
      <w:bookmarkEnd w:id="218"/>
      <w:bookmarkEnd w:id="219"/>
      <w:bookmarkEnd w:id="220"/>
      <w:bookmarkEnd w:id="221"/>
      <w:bookmarkEnd w:id="222"/>
    </w:p>
    <w:p w14:paraId="76BDC170" w14:textId="7C37E4E6" w:rsidR="00DF612D" w:rsidRPr="004D6865" w:rsidRDefault="00DF612D" w:rsidP="003C2438">
      <w:pPr>
        <w:autoSpaceDE w:val="0"/>
        <w:autoSpaceDN w:val="0"/>
        <w:adjustRightInd w:val="0"/>
        <w:rPr>
          <w:rFonts w:cs="Arial"/>
        </w:rPr>
      </w:pPr>
      <w:r w:rsidRPr="004D6865">
        <w:rPr>
          <w:rFonts w:cs="Arial"/>
        </w:rPr>
        <w:t xml:space="preserve">Die </w:t>
      </w:r>
      <w:proofErr w:type="spellStart"/>
      <w:r w:rsidRPr="004D6865">
        <w:rPr>
          <w:rFonts w:cs="Arial"/>
        </w:rPr>
        <w:t>GasNZV</w:t>
      </w:r>
      <w:proofErr w:type="spellEnd"/>
      <w:r w:rsidRPr="004D6865">
        <w:rPr>
          <w:rFonts w:cs="Arial"/>
        </w:rPr>
        <w:t xml:space="preserve"> ermöglicht die Verbindung von Biogas-</w:t>
      </w:r>
      <w:r w:rsidR="00337799">
        <w:rPr>
          <w:rFonts w:cs="Arial"/>
        </w:rPr>
        <w:t>BK</w:t>
      </w:r>
      <w:r w:rsidRPr="004D6865">
        <w:rPr>
          <w:rFonts w:cs="Arial"/>
        </w:rPr>
        <w:t xml:space="preserve">. </w:t>
      </w:r>
      <w:r w:rsidR="00A53393" w:rsidRPr="00A53393">
        <w:rPr>
          <w:rFonts w:cs="Arial"/>
        </w:rPr>
        <w:t xml:space="preserve">Die „Vereinbarung über die Verbindung von Bilanzkreisen“ muss dem MGV für Biogas-BK bis spätestens 10 WT vor Ende der Bilanzierungsperiode vorliegen. </w:t>
      </w:r>
      <w:r w:rsidRPr="004D6865">
        <w:rPr>
          <w:rFonts w:cs="Arial"/>
        </w:rPr>
        <w:t>D</w:t>
      </w:r>
      <w:r>
        <w:rPr>
          <w:rFonts w:cs="Arial"/>
        </w:rPr>
        <w:t>er</w:t>
      </w:r>
      <w:r w:rsidRPr="004D6865">
        <w:rPr>
          <w:rFonts w:cs="Arial"/>
        </w:rPr>
        <w:t xml:space="preserve"> Flexibilität</w:t>
      </w:r>
      <w:r>
        <w:rPr>
          <w:rFonts w:cs="Arial"/>
        </w:rPr>
        <w:t>srahmen nach</w:t>
      </w:r>
      <w:r w:rsidDel="00815124">
        <w:rPr>
          <w:rFonts w:cs="Arial"/>
        </w:rPr>
        <w:t xml:space="preserve"> </w:t>
      </w:r>
      <w:r w:rsidR="00815124">
        <w:rPr>
          <w:rFonts w:cs="Arial"/>
        </w:rPr>
        <w:t>§ </w:t>
      </w:r>
      <w:r>
        <w:rPr>
          <w:rFonts w:cs="Arial"/>
        </w:rPr>
        <w:t xml:space="preserve">35 Ziffer 3 </w:t>
      </w:r>
      <w:r w:rsidRPr="004D6865">
        <w:rPr>
          <w:rFonts w:cs="Arial"/>
        </w:rPr>
        <w:t xml:space="preserve">wird dabei einheitlich auf den RBK und alle mit ihm </w:t>
      </w:r>
      <w:r>
        <w:rPr>
          <w:rFonts w:cs="Arial"/>
        </w:rPr>
        <w:t>verbundenen UBK</w:t>
      </w:r>
      <w:r w:rsidRPr="004D6865">
        <w:rPr>
          <w:rFonts w:cs="Arial"/>
        </w:rPr>
        <w:t xml:space="preserve"> angewendet. Hierfür werden die Flexibilitäten </w:t>
      </w:r>
      <w:r w:rsidR="00A53393" w:rsidRPr="00A53393">
        <w:rPr>
          <w:rFonts w:cs="Arial"/>
        </w:rPr>
        <w:t xml:space="preserve">und Bilanzkreissalden </w:t>
      </w:r>
      <w:r w:rsidRPr="004D6865">
        <w:rPr>
          <w:rFonts w:cs="Arial"/>
        </w:rPr>
        <w:t xml:space="preserve">von dem </w:t>
      </w:r>
      <w:r>
        <w:rPr>
          <w:rFonts w:cs="Arial"/>
        </w:rPr>
        <w:t>U</w:t>
      </w:r>
      <w:r w:rsidRPr="004D6865">
        <w:rPr>
          <w:rFonts w:cs="Arial"/>
        </w:rPr>
        <w:t xml:space="preserve">BK auf den RBK </w:t>
      </w:r>
      <w:r>
        <w:rPr>
          <w:rFonts w:cs="Arial"/>
        </w:rPr>
        <w:t>übertragen</w:t>
      </w:r>
      <w:r w:rsidRPr="004D6865">
        <w:rPr>
          <w:rFonts w:cs="Arial"/>
        </w:rPr>
        <w:t xml:space="preserve">. Alle </w:t>
      </w:r>
      <w:r>
        <w:rPr>
          <w:rFonts w:cs="Arial"/>
        </w:rPr>
        <w:t>so</w:t>
      </w:r>
      <w:r w:rsidRPr="004D6865">
        <w:rPr>
          <w:rFonts w:cs="Arial"/>
        </w:rPr>
        <w:t xml:space="preserve"> miteinander </w:t>
      </w:r>
      <w:r>
        <w:rPr>
          <w:rFonts w:cs="Arial"/>
        </w:rPr>
        <w:t>verbundenen</w:t>
      </w:r>
      <w:r w:rsidRPr="004D6865">
        <w:rPr>
          <w:rFonts w:cs="Arial"/>
        </w:rPr>
        <w:t xml:space="preserve"> </w:t>
      </w:r>
      <w:r>
        <w:rPr>
          <w:rFonts w:cs="Arial"/>
        </w:rPr>
        <w:t>UBK</w:t>
      </w:r>
      <w:r w:rsidRPr="004D6865">
        <w:rPr>
          <w:rFonts w:cs="Arial"/>
        </w:rPr>
        <w:t xml:space="preserve"> müssen das gleiche Datum für das Ende des Bilanzierungszeitraums haben, das </w:t>
      </w:r>
      <w:r>
        <w:rPr>
          <w:rFonts w:cs="Arial"/>
        </w:rPr>
        <w:t>Start</w:t>
      </w:r>
      <w:r w:rsidRPr="004D6865">
        <w:rPr>
          <w:rFonts w:cs="Arial"/>
        </w:rPr>
        <w:t>datum kann unterschiedlich sein. Dadurch können Biogas-</w:t>
      </w:r>
      <w:r w:rsidR="00337799">
        <w:rPr>
          <w:rFonts w:cs="Arial"/>
        </w:rPr>
        <w:t>BK</w:t>
      </w:r>
      <w:r w:rsidR="00337799" w:rsidRPr="004D6865">
        <w:rPr>
          <w:rFonts w:cs="Arial"/>
        </w:rPr>
        <w:t xml:space="preserve"> </w:t>
      </w:r>
      <w:r w:rsidRPr="004D6865">
        <w:rPr>
          <w:rFonts w:cs="Arial"/>
        </w:rPr>
        <w:t xml:space="preserve">mit </w:t>
      </w:r>
      <w:r>
        <w:rPr>
          <w:rFonts w:cs="Arial"/>
        </w:rPr>
        <w:t>unterschiedlichen</w:t>
      </w:r>
      <w:r w:rsidRPr="004D6865">
        <w:rPr>
          <w:rFonts w:cs="Arial"/>
        </w:rPr>
        <w:t xml:space="preserve"> Rumpfbilanzierungszeitr</w:t>
      </w:r>
      <w:r>
        <w:rPr>
          <w:rFonts w:cs="Arial"/>
        </w:rPr>
        <w:t>ä</w:t>
      </w:r>
      <w:r w:rsidRPr="004D6865">
        <w:rPr>
          <w:rFonts w:cs="Arial"/>
        </w:rPr>
        <w:t>um</w:t>
      </w:r>
      <w:r>
        <w:rPr>
          <w:rFonts w:cs="Arial"/>
        </w:rPr>
        <w:t>en</w:t>
      </w:r>
      <w:r w:rsidRPr="004D6865">
        <w:rPr>
          <w:rFonts w:cs="Arial"/>
        </w:rPr>
        <w:t xml:space="preserve"> ebenfalls verbunden werden. </w:t>
      </w:r>
      <w:r w:rsidR="00F52A87">
        <w:rPr>
          <w:rFonts w:cs="Arial"/>
        </w:rPr>
        <w:t xml:space="preserve">Der MGV verwendet die am Ende des Bilanzierungszeitraums vorliegende Bilanzkreisverbindung zur Berechnung der absoluten Flexibilitäten und zur Abrechnung der </w:t>
      </w:r>
      <w:r w:rsidR="00337799">
        <w:rPr>
          <w:rFonts w:cs="Arial"/>
        </w:rPr>
        <w:t>BK</w:t>
      </w:r>
      <w:r w:rsidR="00F52A87">
        <w:rPr>
          <w:rFonts w:cs="Arial"/>
        </w:rPr>
        <w:t xml:space="preserve">. </w:t>
      </w:r>
      <w:r>
        <w:rPr>
          <w:rFonts w:cs="Arial"/>
        </w:rPr>
        <w:t xml:space="preserve">Alle weiteren </w:t>
      </w:r>
      <w:r w:rsidRPr="004D6865">
        <w:rPr>
          <w:rFonts w:cs="Arial"/>
        </w:rPr>
        <w:t xml:space="preserve">Details zur Abrechnung der </w:t>
      </w:r>
      <w:r>
        <w:rPr>
          <w:rFonts w:cs="Arial"/>
        </w:rPr>
        <w:t>Biogas-</w:t>
      </w:r>
      <w:r w:rsidR="00337799">
        <w:rPr>
          <w:rFonts w:cs="Arial"/>
        </w:rPr>
        <w:t>BK</w:t>
      </w:r>
      <w:r w:rsidR="00337799" w:rsidRPr="004D6865">
        <w:rPr>
          <w:rFonts w:cs="Arial"/>
        </w:rPr>
        <w:t xml:space="preserve"> </w:t>
      </w:r>
      <w:r>
        <w:rPr>
          <w:rFonts w:cs="Arial"/>
        </w:rPr>
        <w:t>werden in</w:t>
      </w:r>
      <w:r w:rsidRPr="004D6865">
        <w:rPr>
          <w:rFonts w:cs="Arial"/>
        </w:rPr>
        <w:t xml:space="preserve"> </w:t>
      </w:r>
      <w:r w:rsidRPr="00B573C4">
        <w:rPr>
          <w:rFonts w:cs="Arial"/>
        </w:rPr>
        <w:t>Kap</w:t>
      </w:r>
      <w:r>
        <w:rPr>
          <w:rFonts w:cs="Arial"/>
        </w:rPr>
        <w:t>.</w:t>
      </w:r>
      <w:r w:rsidR="006E364A">
        <w:rPr>
          <w:rFonts w:cs="Arial"/>
        </w:rPr>
        <w:t xml:space="preserve"> </w:t>
      </w:r>
      <w:r w:rsidR="0011373C">
        <w:fldChar w:fldCharType="begin"/>
      </w:r>
      <w:r w:rsidR="0011373C">
        <w:instrText xml:space="preserve"> REF _Ref320632285 \r \h  \* MERGEFORMAT </w:instrText>
      </w:r>
      <w:r w:rsidR="0011373C">
        <w:fldChar w:fldCharType="separate"/>
      </w:r>
      <w:r w:rsidR="00692E23" w:rsidRPr="00692E23">
        <w:rPr>
          <w:rFonts w:cs="Arial"/>
        </w:rPr>
        <w:t>6.3</w:t>
      </w:r>
      <w:r w:rsidR="0011373C">
        <w:fldChar w:fldCharType="end"/>
      </w:r>
      <w:r w:rsidRPr="00145173">
        <w:rPr>
          <w:rFonts w:cs="Arial"/>
        </w:rPr>
        <w:t xml:space="preserve"> </w:t>
      </w:r>
      <w:r>
        <w:rPr>
          <w:rFonts w:cs="Arial"/>
        </w:rPr>
        <w:t>erläutert.</w:t>
      </w:r>
    </w:p>
    <w:p w14:paraId="68B2CD29" w14:textId="5DF0E620" w:rsidR="00E30EF1" w:rsidRDefault="00DF612D" w:rsidP="003C2438">
      <w:pPr>
        <w:rPr>
          <w:rFonts w:cs="Arial"/>
        </w:rPr>
      </w:pPr>
      <w:r w:rsidRPr="004D6865">
        <w:rPr>
          <w:rFonts w:cs="Arial"/>
        </w:rPr>
        <w:t xml:space="preserve">Die Übertragung von Flexibilitäten </w:t>
      </w:r>
      <w:r w:rsidR="00A53393" w:rsidRPr="00A53393">
        <w:rPr>
          <w:rFonts w:cs="Arial"/>
        </w:rPr>
        <w:t xml:space="preserve">und Bilanzkreissalden </w:t>
      </w:r>
      <w:r>
        <w:rPr>
          <w:rFonts w:cs="Arial"/>
        </w:rPr>
        <w:t>auf</w:t>
      </w:r>
      <w:r w:rsidRPr="004D6865">
        <w:rPr>
          <w:rFonts w:cs="Arial"/>
        </w:rPr>
        <w:t xml:space="preserve"> andere </w:t>
      </w:r>
      <w:r w:rsidR="00337799" w:rsidRPr="004D6865">
        <w:rPr>
          <w:rFonts w:cs="Arial"/>
        </w:rPr>
        <w:t>Biogas</w:t>
      </w:r>
      <w:r w:rsidR="00337799">
        <w:rPr>
          <w:rFonts w:cs="Arial"/>
        </w:rPr>
        <w:t>-BK</w:t>
      </w:r>
      <w:r w:rsidR="00337799" w:rsidRPr="004D6865">
        <w:rPr>
          <w:rFonts w:cs="Arial"/>
        </w:rPr>
        <w:t xml:space="preserve"> </w:t>
      </w:r>
      <w:r w:rsidRPr="004D6865">
        <w:rPr>
          <w:rFonts w:cs="Arial"/>
        </w:rPr>
        <w:t xml:space="preserve">ist nur für </w:t>
      </w:r>
      <w:r w:rsidRPr="00B573C4">
        <w:rPr>
          <w:rFonts w:cs="Arial"/>
        </w:rPr>
        <w:t xml:space="preserve">den Rechnungsbilanzkreis möglich. </w:t>
      </w:r>
      <w:r>
        <w:rPr>
          <w:rFonts w:cs="Arial"/>
        </w:rPr>
        <w:t xml:space="preserve">Die </w:t>
      </w:r>
      <w:r w:rsidRPr="00B573C4">
        <w:rPr>
          <w:rFonts w:cs="Arial"/>
        </w:rPr>
        <w:t xml:space="preserve">Details </w:t>
      </w:r>
      <w:r w:rsidR="0031624E">
        <w:rPr>
          <w:rFonts w:cs="Arial"/>
        </w:rPr>
        <w:t>hierzu sind</w:t>
      </w:r>
      <w:r w:rsidRPr="00B573C4">
        <w:rPr>
          <w:rFonts w:cs="Arial"/>
        </w:rPr>
        <w:t xml:space="preserve"> in Kap.</w:t>
      </w:r>
      <w:r>
        <w:rPr>
          <w:rFonts w:cs="Arial"/>
        </w:rPr>
        <w:t xml:space="preserve"> </w:t>
      </w:r>
      <w:r w:rsidR="0011373C">
        <w:fldChar w:fldCharType="begin"/>
      </w:r>
      <w:r w:rsidR="0011373C">
        <w:instrText xml:space="preserve"> REF _Ref287297893 \r \h  \* MERGEFORMAT </w:instrText>
      </w:r>
      <w:r w:rsidR="0011373C">
        <w:fldChar w:fldCharType="separate"/>
      </w:r>
      <w:r w:rsidR="00692E23" w:rsidRPr="00692E23">
        <w:rPr>
          <w:bCs/>
        </w:rPr>
        <w:t>6.3.3</w:t>
      </w:r>
      <w:r w:rsidR="0011373C">
        <w:fldChar w:fldCharType="end"/>
      </w:r>
      <w:r w:rsidRPr="00145173">
        <w:rPr>
          <w:rFonts w:cs="Arial"/>
        </w:rPr>
        <w:t xml:space="preserve"> </w:t>
      </w:r>
      <w:r>
        <w:rPr>
          <w:rFonts w:cs="Arial"/>
        </w:rPr>
        <w:t>beschrieben.</w:t>
      </w:r>
    </w:p>
    <w:p w14:paraId="2E759841" w14:textId="34F276FC" w:rsidR="007E05AB" w:rsidRDefault="003A2E9E" w:rsidP="00D90179">
      <w:pPr>
        <w:pStyle w:val="berschrift2"/>
        <w:tabs>
          <w:tab w:val="clear" w:pos="851"/>
          <w:tab w:val="num" w:pos="-1843"/>
          <w:tab w:val="left" w:pos="567"/>
        </w:tabs>
        <w:spacing w:before="480"/>
        <w:ind w:left="572" w:hanging="561"/>
      </w:pPr>
      <w:bookmarkStart w:id="223" w:name="_Toc342569759"/>
      <w:bookmarkStart w:id="224" w:name="_Toc342569760"/>
      <w:bookmarkStart w:id="225" w:name="_Toc342569761"/>
      <w:bookmarkStart w:id="226" w:name="_Toc342569762"/>
      <w:bookmarkStart w:id="227" w:name="_Toc342569763"/>
      <w:bookmarkStart w:id="228" w:name="_Toc342569764"/>
      <w:bookmarkStart w:id="229" w:name="_Toc342569765"/>
      <w:bookmarkStart w:id="230" w:name="_Toc342569766"/>
      <w:bookmarkStart w:id="231" w:name="_Toc342569767"/>
      <w:bookmarkStart w:id="232" w:name="_Toc342569768"/>
      <w:bookmarkStart w:id="233" w:name="_Toc342569769"/>
      <w:bookmarkStart w:id="234" w:name="_Toc342569770"/>
      <w:bookmarkStart w:id="235" w:name="_Toc342569771"/>
      <w:bookmarkStart w:id="236" w:name="_Toc342569772"/>
      <w:bookmarkStart w:id="237" w:name="_Toc284178314"/>
      <w:bookmarkStart w:id="238" w:name="_Toc284320706"/>
      <w:bookmarkStart w:id="239" w:name="_Toc284321188"/>
      <w:bookmarkStart w:id="240" w:name="_Toc284334297"/>
      <w:bookmarkStart w:id="241" w:name="_Ref287299732"/>
      <w:bookmarkStart w:id="242" w:name="_Ref287992236"/>
      <w:bookmarkStart w:id="243" w:name="_Toc318120259"/>
      <w:bookmarkStart w:id="244" w:name="_Toc296694080"/>
      <w:bookmarkStart w:id="245" w:name="_Toc285005266"/>
      <w:bookmarkStart w:id="246" w:name="_Toc286067512"/>
      <w:bookmarkStart w:id="247" w:name="_Toc391540137"/>
      <w:bookmarkStart w:id="248" w:name="_Toc412661299"/>
      <w:bookmarkEnd w:id="104"/>
      <w:bookmarkEnd w:id="105"/>
      <w:bookmarkEnd w:id="106"/>
      <w:bookmarkEnd w:id="10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 xml:space="preserve"> </w:t>
      </w:r>
      <w:bookmarkStart w:id="249" w:name="_Toc111118450"/>
      <w:r w:rsidR="00DF612D" w:rsidRPr="00B75955">
        <w:t>Definition von Zeitreihentypen</w:t>
      </w:r>
      <w:bookmarkEnd w:id="241"/>
      <w:bookmarkEnd w:id="242"/>
      <w:bookmarkEnd w:id="243"/>
      <w:bookmarkEnd w:id="244"/>
      <w:bookmarkEnd w:id="245"/>
      <w:bookmarkEnd w:id="246"/>
      <w:bookmarkEnd w:id="247"/>
      <w:bookmarkEnd w:id="248"/>
      <w:bookmarkEnd w:id="249"/>
    </w:p>
    <w:p w14:paraId="705EC0D7" w14:textId="53F9B4D8" w:rsidR="00247B8C" w:rsidRPr="004D6865" w:rsidRDefault="00DF612D" w:rsidP="003C2438">
      <w:pPr>
        <w:autoSpaceDE w:val="0"/>
        <w:autoSpaceDN w:val="0"/>
        <w:adjustRightInd w:val="0"/>
        <w:rPr>
          <w:rFonts w:cs="Arial"/>
        </w:rPr>
      </w:pPr>
      <w:bookmarkStart w:id="250" w:name="Stammdatenaustausch"/>
      <w:r>
        <w:rPr>
          <w:rFonts w:cs="Arial"/>
        </w:rPr>
        <w:t>Für die Übermittlung von verschiedenen Daten in Form von Zeitreihen (z.</w:t>
      </w:r>
      <w:r w:rsidR="00C22517">
        <w:rPr>
          <w:rFonts w:cs="Arial"/>
        </w:rPr>
        <w:t> </w:t>
      </w:r>
      <w:r>
        <w:rPr>
          <w:rFonts w:cs="Arial"/>
        </w:rPr>
        <w:t xml:space="preserve">B. Allokationen </w:t>
      </w:r>
      <w:r w:rsidR="004663E8">
        <w:rPr>
          <w:rFonts w:cs="Arial"/>
        </w:rPr>
        <w:t xml:space="preserve">oder </w:t>
      </w:r>
      <w:r>
        <w:rPr>
          <w:rFonts w:cs="Arial"/>
        </w:rPr>
        <w:t>Bilanzkreissalden) zwischen den Marktrollen NB</w:t>
      </w:r>
      <w:r w:rsidR="00175300">
        <w:rPr>
          <w:rFonts w:cs="Arial"/>
        </w:rPr>
        <w:t>, MGV und BKV</w:t>
      </w:r>
      <w:r w:rsidR="00E36546">
        <w:rPr>
          <w:rFonts w:cs="Arial"/>
        </w:rPr>
        <w:t xml:space="preserve"> </w:t>
      </w:r>
      <w:r>
        <w:rPr>
          <w:rFonts w:cs="Arial"/>
        </w:rPr>
        <w:t xml:space="preserve">werden nachfolgende Zeitreihentypen </w:t>
      </w:r>
      <w:r w:rsidR="00582393">
        <w:rPr>
          <w:rFonts w:cs="Arial"/>
        </w:rPr>
        <w:t xml:space="preserve">(ZRT) </w:t>
      </w:r>
      <w:r>
        <w:rPr>
          <w:rFonts w:cs="Arial"/>
        </w:rPr>
        <w:t>definiert. Diese</w:t>
      </w:r>
      <w:r w:rsidRPr="004D6865">
        <w:rPr>
          <w:rFonts w:cs="Arial"/>
        </w:rPr>
        <w:t xml:space="preserve"> </w:t>
      </w:r>
      <w:r>
        <w:rPr>
          <w:rFonts w:cs="Arial"/>
        </w:rPr>
        <w:t>Zeitreihen enthalten jeweils 24 einzelne</w:t>
      </w:r>
      <w:r w:rsidR="006773D3">
        <w:rPr>
          <w:rFonts w:cs="Arial"/>
        </w:rPr>
        <w:t>,</w:t>
      </w:r>
      <w:r>
        <w:rPr>
          <w:rFonts w:cs="Arial"/>
        </w:rPr>
        <w:t xml:space="preserve"> ganzzahlige Stundenwerte (bei Zeitumstellung 23 oder 25 Stunden). Korrekturzeitreihen werden vom MGV an den BKV immer als </w:t>
      </w:r>
      <w:r w:rsidRPr="005B0FFF">
        <w:rPr>
          <w:rFonts w:cs="Arial"/>
        </w:rPr>
        <w:t>komplette Monatszeitreihen</w:t>
      </w:r>
      <w:r>
        <w:rPr>
          <w:rFonts w:cs="Arial"/>
        </w:rPr>
        <w:t xml:space="preserve"> versendet, wobei die komplette Monatszeitreihe als Korrekturzeitreihe zu kennzeichnen ist. Für die Datenmeldungen werden ausschließlich die nachfolgenden </w:t>
      </w:r>
      <w:r w:rsidR="00582393">
        <w:rPr>
          <w:rFonts w:cs="Arial"/>
        </w:rPr>
        <w:t xml:space="preserve">ZRT </w:t>
      </w:r>
      <w:r>
        <w:rPr>
          <w:rFonts w:cs="Arial"/>
        </w:rPr>
        <w:t xml:space="preserve">verwendet. Es handelt sich im Folgenden bei den </w:t>
      </w:r>
      <w:r w:rsidR="00582393">
        <w:rPr>
          <w:rFonts w:cs="Arial"/>
        </w:rPr>
        <w:t xml:space="preserve">ZRT </w:t>
      </w:r>
      <w:r>
        <w:rPr>
          <w:rFonts w:cs="Arial"/>
        </w:rPr>
        <w:t>immer um ein Aggregat aus Einzelzeitreihen, die jeweils je BK bzw. SBK oder NB aggregiert werden</w:t>
      </w:r>
      <w:r w:rsidR="00EC590E">
        <w:rPr>
          <w:rFonts w:cs="Arial"/>
        </w:rPr>
        <w:t>.</w:t>
      </w:r>
    </w:p>
    <w:p w14:paraId="7E18E007" w14:textId="77777777" w:rsidR="00E157A6" w:rsidRPr="00E157A6" w:rsidRDefault="00E157A6" w:rsidP="00D90179">
      <w:pPr>
        <w:pStyle w:val="berschrift3"/>
        <w:spacing w:before="480"/>
        <w:ind w:left="969" w:hanging="1009"/>
        <w:rPr>
          <w:b w:val="0"/>
        </w:rPr>
      </w:pPr>
      <w:bookmarkStart w:id="251" w:name="_Ref436726773"/>
      <w:bookmarkStart w:id="252" w:name="_Toc111118451"/>
      <w:r w:rsidRPr="00E157A6">
        <w:t>Entry-Zeitreihentypen</w:t>
      </w:r>
      <w:bookmarkEnd w:id="251"/>
      <w:bookmarkEnd w:id="252"/>
    </w:p>
    <w:p w14:paraId="1B576A5A" w14:textId="0CF03DA3" w:rsidR="00247B8C" w:rsidRDefault="00247B8C" w:rsidP="003C2438">
      <w:pPr>
        <w:spacing w:before="240"/>
      </w:pPr>
      <w:r>
        <w:rPr>
          <w:b/>
          <w:bCs/>
          <w:lang w:bidi="kn-IN"/>
        </w:rPr>
        <w:t xml:space="preserve">1. </w:t>
      </w:r>
      <w:r w:rsidRPr="0052713B">
        <w:rPr>
          <w:b/>
          <w:bCs/>
          <w:lang w:bidi="kn-IN"/>
        </w:rPr>
        <w:t>Zeitreihentyp „</w:t>
      </w:r>
      <w:proofErr w:type="spellStart"/>
      <w:r w:rsidRPr="0052713B">
        <w:rPr>
          <w:b/>
          <w:bCs/>
          <w:lang w:bidi="kn-IN"/>
        </w:rPr>
        <w:t>Entryso</w:t>
      </w:r>
      <w:proofErr w:type="spellEnd"/>
      <w:r w:rsidRPr="0052713B">
        <w:rPr>
          <w:b/>
          <w:bCs/>
          <w:lang w:bidi="kn-IN"/>
        </w:rPr>
        <w:t xml:space="preserve">“: </w:t>
      </w:r>
      <w:r w:rsidRPr="0052713B">
        <w:t xml:space="preserve">Allokation von </w:t>
      </w:r>
      <w:r>
        <w:t>Einspeisez</w:t>
      </w:r>
      <w:r w:rsidRPr="0052713B">
        <w:t>eitreihen an GÜP</w:t>
      </w:r>
      <w:r w:rsidR="00031D18">
        <w:t>/VIP</w:t>
      </w:r>
      <w:r w:rsidRPr="0041531E">
        <w:t xml:space="preserve">, </w:t>
      </w:r>
      <w:r>
        <w:t xml:space="preserve">an </w:t>
      </w:r>
      <w:r w:rsidRPr="0041531E">
        <w:t>inländische</w:t>
      </w:r>
      <w:r>
        <w:t>n</w:t>
      </w:r>
      <w:r w:rsidRPr="0041531E">
        <w:t xml:space="preserve"> Produktion</w:t>
      </w:r>
      <w:r>
        <w:t>sanlagen</w:t>
      </w:r>
      <w:r w:rsidRPr="0041531E">
        <w:t xml:space="preserve"> (ohne Biogas)</w:t>
      </w:r>
      <w:r>
        <w:t xml:space="preserve"> und an </w:t>
      </w:r>
      <w:r w:rsidRPr="0041531E">
        <w:t>Einspeis</w:t>
      </w:r>
      <w:r>
        <w:t xml:space="preserve">epunkten </w:t>
      </w:r>
      <w:r w:rsidRPr="00CA2788">
        <w:t>aus</w:t>
      </w:r>
      <w:r w:rsidRPr="0041531E">
        <w:t xml:space="preserve"> einem Speicher</w:t>
      </w:r>
      <w:r>
        <w:t xml:space="preserve"> in ein Netz</w:t>
      </w:r>
      <w:r w:rsidRPr="0041531E">
        <w:t xml:space="preserve"> </w:t>
      </w:r>
      <w:r w:rsidR="004054D9">
        <w:t>sowie</w:t>
      </w:r>
      <w:r w:rsidR="00A5643F">
        <w:t xml:space="preserve"> zur Berücksichtigung von Netzpufferfahrweisen und OBA-Ständen im N</w:t>
      </w:r>
      <w:r w:rsidR="00BF4B49">
        <w:t>KBO</w:t>
      </w:r>
      <w:r w:rsidR="00A5643F">
        <w:t>.</w:t>
      </w:r>
    </w:p>
    <w:p w14:paraId="0397B147" w14:textId="450C4CFF" w:rsidR="00F9380C" w:rsidRDefault="00247B8C" w:rsidP="003C2438">
      <w:r>
        <w:t>Je Einspeisepunkt wird im Ein</w:t>
      </w:r>
      <w:r w:rsidRPr="0041531E">
        <w:t>speisevertrag</w:t>
      </w:r>
      <w:r>
        <w:t xml:space="preserve"> oder </w:t>
      </w:r>
      <w:r w:rsidRPr="00CA4095">
        <w:t>im Lieferantenrahmenvertrag festgelegt, welches Allokationsverfahren zum Einsatz kommt</w:t>
      </w:r>
      <w:r w:rsidR="00FA00F1">
        <w:t xml:space="preserve"> (siehe </w:t>
      </w:r>
      <w:r w:rsidR="004B77C7">
        <w:t xml:space="preserve">Kap. </w:t>
      </w:r>
      <w:r w:rsidR="00561FFA">
        <w:fldChar w:fldCharType="begin"/>
      </w:r>
      <w:r w:rsidR="00FA00F1">
        <w:instrText xml:space="preserve"> REF _Ref428443011 \w \h </w:instrText>
      </w:r>
      <w:r w:rsidR="00561FFA">
        <w:fldChar w:fldCharType="separate"/>
      </w:r>
      <w:r w:rsidR="00692E23">
        <w:t>5.1</w:t>
      </w:r>
      <w:r w:rsidR="00561FFA">
        <w:fldChar w:fldCharType="end"/>
      </w:r>
      <w:r w:rsidR="00FA00F1">
        <w:t>)</w:t>
      </w:r>
      <w:r w:rsidRPr="00CA4095">
        <w:t>.</w:t>
      </w:r>
    </w:p>
    <w:p w14:paraId="6D789535" w14:textId="02AC4035" w:rsidR="00804412" w:rsidRDefault="00247B8C" w:rsidP="003C2438">
      <w:pPr>
        <w:spacing w:before="240"/>
        <w:rPr>
          <w:bCs/>
          <w:lang w:bidi="kn-IN"/>
        </w:rPr>
      </w:pPr>
      <w:r w:rsidRPr="0072784E">
        <w:rPr>
          <w:b/>
          <w:bCs/>
          <w:lang w:bidi="kn-IN"/>
        </w:rPr>
        <w:t>2.</w:t>
      </w:r>
      <w:r>
        <w:rPr>
          <w:b/>
          <w:bCs/>
          <w:lang w:bidi="kn-IN"/>
        </w:rPr>
        <w:t xml:space="preserve"> </w:t>
      </w:r>
      <w:r w:rsidRPr="0072784E">
        <w:rPr>
          <w:b/>
          <w:bCs/>
          <w:lang w:bidi="kn-IN"/>
        </w:rPr>
        <w:t>Zeitreihentyp „Entry NKP“:</w:t>
      </w:r>
      <w:r w:rsidRPr="0072784E">
        <w:rPr>
          <w:bCs/>
          <w:lang w:bidi="kn-IN"/>
        </w:rPr>
        <w:t xml:space="preserve"> </w:t>
      </w:r>
      <w:r w:rsidR="0079433B">
        <w:rPr>
          <w:bCs/>
          <w:lang w:bidi="kn-IN"/>
        </w:rPr>
        <w:t xml:space="preserve">Allokation von </w:t>
      </w:r>
      <w:r w:rsidR="004D324F">
        <w:rPr>
          <w:bCs/>
          <w:lang w:bidi="kn-IN"/>
        </w:rPr>
        <w:t xml:space="preserve">gemessenen Lastgängen an </w:t>
      </w:r>
      <w:r w:rsidRPr="0072784E">
        <w:rPr>
          <w:bCs/>
          <w:lang w:bidi="kn-IN"/>
        </w:rPr>
        <w:t>Netzkopplungspunkte</w:t>
      </w:r>
      <w:r w:rsidR="00946643">
        <w:rPr>
          <w:bCs/>
          <w:lang w:bidi="kn-IN"/>
        </w:rPr>
        <w:t>n</w:t>
      </w:r>
      <w:r w:rsidRPr="0072784E">
        <w:rPr>
          <w:bCs/>
          <w:lang w:bidi="kn-IN"/>
        </w:rPr>
        <w:t xml:space="preserve"> zwi</w:t>
      </w:r>
      <w:r>
        <w:rPr>
          <w:bCs/>
          <w:lang w:bidi="kn-IN"/>
        </w:rPr>
        <w:t>schen NB.</w:t>
      </w:r>
    </w:p>
    <w:p w14:paraId="4600F6BC" w14:textId="77777777" w:rsidR="00247B8C" w:rsidRPr="001264ED" w:rsidRDefault="00247B8C" w:rsidP="003C2438">
      <w:pPr>
        <w:rPr>
          <w:bCs/>
          <w:lang w:bidi="kn-IN"/>
        </w:rPr>
      </w:pPr>
      <w:r w:rsidRPr="0072784E">
        <w:t xml:space="preserve">Mischanlagen und Konvertierungsanlagen werden </w:t>
      </w:r>
      <w:r>
        <w:t>ebenfalls mit diesem ZRT allokiert</w:t>
      </w:r>
      <w:r w:rsidRPr="0072784E">
        <w:t>.</w:t>
      </w:r>
    </w:p>
    <w:p w14:paraId="2E06541A" w14:textId="77777777" w:rsidR="00247B8C" w:rsidRDefault="00247B8C" w:rsidP="003C2438">
      <w:pPr>
        <w:spacing w:before="240"/>
        <w:rPr>
          <w:bCs/>
          <w:lang w:bidi="kn-IN"/>
        </w:rPr>
      </w:pPr>
      <w:r w:rsidRPr="0072784E">
        <w:rPr>
          <w:b/>
          <w:bCs/>
          <w:lang w:bidi="kn-IN"/>
        </w:rPr>
        <w:lastRenderedPageBreak/>
        <w:t>3.</w:t>
      </w:r>
      <w:r>
        <w:rPr>
          <w:b/>
          <w:bCs/>
          <w:lang w:bidi="kn-IN"/>
        </w:rPr>
        <w:t xml:space="preserve"> </w:t>
      </w:r>
      <w:r w:rsidRPr="0072784E">
        <w:rPr>
          <w:b/>
          <w:bCs/>
          <w:lang w:bidi="kn-IN"/>
        </w:rPr>
        <w:t>Zeitreihentyp „Entry VHP“:</w:t>
      </w:r>
      <w:r w:rsidRPr="0072784E">
        <w:rPr>
          <w:bCs/>
          <w:lang w:bidi="kn-IN"/>
        </w:rPr>
        <w:t xml:space="preserve"> </w:t>
      </w:r>
      <w:r w:rsidR="0079433B">
        <w:rPr>
          <w:bCs/>
          <w:lang w:bidi="kn-IN"/>
        </w:rPr>
        <w:t xml:space="preserve">Allokation der </w:t>
      </w:r>
      <w:r w:rsidRPr="0072784E">
        <w:rPr>
          <w:bCs/>
          <w:lang w:bidi="kn-IN"/>
        </w:rPr>
        <w:t>Summe aller Einspeisenominierungen in einen BK</w:t>
      </w:r>
      <w:r>
        <w:rPr>
          <w:bCs/>
          <w:lang w:bidi="kn-IN"/>
        </w:rPr>
        <w:t xml:space="preserve"> den VHP betreffend für Erdgas, Wasserstoff oder Biogas.</w:t>
      </w:r>
    </w:p>
    <w:p w14:paraId="43D54010" w14:textId="4829B8F4" w:rsidR="00247B8C" w:rsidRPr="0072784E" w:rsidRDefault="00247B8C" w:rsidP="003C2438">
      <w:pPr>
        <w:rPr>
          <w:bCs/>
          <w:lang w:bidi="kn-IN"/>
        </w:rPr>
      </w:pPr>
      <w:r>
        <w:rPr>
          <w:bCs/>
          <w:lang w:bidi="kn-IN"/>
        </w:rPr>
        <w:t>Der BKV zahlt für die Nutzung des VHP ein mengenabhängiges Entgelt.</w:t>
      </w:r>
    </w:p>
    <w:p w14:paraId="67077EC0" w14:textId="09E427E4" w:rsidR="00247B8C" w:rsidRPr="009A2AB9" w:rsidRDefault="00247B8C" w:rsidP="003C2438">
      <w:pPr>
        <w:spacing w:before="240"/>
      </w:pPr>
      <w:r>
        <w:rPr>
          <w:b/>
          <w:bCs/>
          <w:lang w:bidi="kn-IN"/>
        </w:rPr>
        <w:t>4</w:t>
      </w:r>
      <w:r w:rsidRPr="0072784E">
        <w:rPr>
          <w:b/>
        </w:rPr>
        <w:t>.</w:t>
      </w:r>
      <w:r>
        <w:rPr>
          <w:b/>
        </w:rPr>
        <w:t xml:space="preserve"> </w:t>
      </w:r>
      <w:r w:rsidRPr="0072784E">
        <w:rPr>
          <w:b/>
        </w:rPr>
        <w:t>Zeitreihentyp „Entry Biogas“:</w:t>
      </w:r>
      <w:r w:rsidRPr="0072784E">
        <w:t xml:space="preserve"> Allokation der gemessenen</w:t>
      </w:r>
      <w:r>
        <w:t>,</w:t>
      </w:r>
      <w:r w:rsidRPr="0072784E">
        <w:t xml:space="preserve"> </w:t>
      </w:r>
      <w:r w:rsidR="00FA00F1">
        <w:t>aus</w:t>
      </w:r>
      <w:r w:rsidR="00FA00F1" w:rsidRPr="0072784E">
        <w:t xml:space="preserve"> </w:t>
      </w:r>
      <w:r>
        <w:t>Biogasproduktionsanlage</w:t>
      </w:r>
      <w:r w:rsidRPr="0072784E">
        <w:t>n eingespe</w:t>
      </w:r>
      <w:r>
        <w:t xml:space="preserve">isten stündlichen Biogasmengen. Mit diesem ZRT wird </w:t>
      </w:r>
      <w:r w:rsidRPr="009A2AB9">
        <w:t xml:space="preserve">nicht der </w:t>
      </w:r>
      <w:r w:rsidR="00E1790D" w:rsidRPr="00E1790D">
        <w:t xml:space="preserve">gemäß </w:t>
      </w:r>
      <w:r w:rsidR="00E1790D" w:rsidRPr="00E1790D" w:rsidDel="00815124">
        <w:t>§</w:t>
      </w:r>
      <w:r w:rsidR="00815124">
        <w:t> </w:t>
      </w:r>
      <w:r w:rsidR="00E1790D" w:rsidRPr="00E1790D">
        <w:t>3 Nr. 10</w:t>
      </w:r>
      <w:r w:rsidR="00B8395D">
        <w:t>f</w:t>
      </w:r>
      <w:r w:rsidR="00E1790D" w:rsidRPr="00E1790D">
        <w:t xml:space="preserve"> EnWG als Biogas </w:t>
      </w:r>
      <w:r w:rsidRPr="009A2AB9">
        <w:t xml:space="preserve">erzeugte Wasserstoff bilanziert (dies erfolgt über den </w:t>
      </w:r>
      <w:r>
        <w:t>ZRT</w:t>
      </w:r>
      <w:r w:rsidRPr="009A2AB9">
        <w:t xml:space="preserve"> „Entry Wasserstoff“).</w:t>
      </w:r>
    </w:p>
    <w:p w14:paraId="25967CE5" w14:textId="5FF0354C" w:rsidR="00247B8C" w:rsidRDefault="00247B8C" w:rsidP="003C2438">
      <w:r w:rsidRPr="009A2AB9">
        <w:t xml:space="preserve">Bei der Einspeisung von Biogas ist die vom </w:t>
      </w:r>
      <w:r w:rsidR="009C4E7A">
        <w:t>LF</w:t>
      </w:r>
      <w:r w:rsidRPr="009A2AB9">
        <w:t xml:space="preserve"> angestellte Gasmenge mit dem für den Tag D an der Biogaseinspeisung gemessenen Brennwert vor einer evtl. </w:t>
      </w:r>
      <w:proofErr w:type="spellStart"/>
      <w:r w:rsidRPr="009A2AB9">
        <w:t>Zuspeisung</w:t>
      </w:r>
      <w:proofErr w:type="spellEnd"/>
      <w:r w:rsidRPr="009A2AB9">
        <w:t xml:space="preserve"> von Flüssiggas zur Steuerung des Einspeisebrennwertes vom NB zu allokieren.</w:t>
      </w:r>
    </w:p>
    <w:p w14:paraId="19421B4F" w14:textId="10A46C22" w:rsidR="00FA00F1" w:rsidRDefault="00247B8C" w:rsidP="003C2438">
      <w:pPr>
        <w:spacing w:before="240"/>
      </w:pPr>
      <w:r>
        <w:rPr>
          <w:b/>
        </w:rPr>
        <w:t>5. Zeitreihentyp „Entry Wasserstoff</w:t>
      </w:r>
      <w:r w:rsidRPr="0072784E">
        <w:rPr>
          <w:b/>
        </w:rPr>
        <w:t>“:</w:t>
      </w:r>
      <w:r w:rsidRPr="0072784E">
        <w:t xml:space="preserve"> Allokation der gemessenen</w:t>
      </w:r>
      <w:r>
        <w:t>,</w:t>
      </w:r>
      <w:r w:rsidRPr="0072784E">
        <w:t xml:space="preserve"> aus </w:t>
      </w:r>
      <w:r>
        <w:t>Wasserstoff</w:t>
      </w:r>
      <w:r w:rsidRPr="0072784E">
        <w:t>produktionsanlagen eingespe</w:t>
      </w:r>
      <w:r>
        <w:t>isten stündlichen Wasserstoffmengen.</w:t>
      </w:r>
    </w:p>
    <w:p w14:paraId="181E6F6E" w14:textId="3C7FCF67" w:rsidR="0079433B" w:rsidRPr="00986AFB" w:rsidRDefault="00247B8C" w:rsidP="003C2438">
      <w:pPr>
        <w:spacing w:before="240"/>
      </w:pPr>
      <w:r>
        <w:t xml:space="preserve">In der weiteren Verwendung dieses ZRT ist zu beachten, </w:t>
      </w:r>
      <w:r w:rsidR="0090420F">
        <w:t xml:space="preserve">dass es sich um Biogas gemäß </w:t>
      </w:r>
      <w:r w:rsidR="0090420F" w:rsidDel="00815124">
        <w:t>§</w:t>
      </w:r>
      <w:r w:rsidR="00815124">
        <w:t> </w:t>
      </w:r>
      <w:r w:rsidR="0090420F">
        <w:t>3 Nr. 10f EnWG handeln muss</w:t>
      </w:r>
      <w:r>
        <w:t xml:space="preserve">. Nur dann darf dieses Gas auch in Biogas-BK bilanziert werden. Handelt es sich nicht um diese Erzeugungsform, dann ist nur eine Weiterbehandlung in Erdgas-BK zulässig. </w:t>
      </w:r>
      <w:r w:rsidRPr="5F159DC6">
        <w:rPr>
          <w:color w:val="000000" w:themeColor="text1"/>
        </w:rPr>
        <w:t>Die produzierten Gasmengen sind mit dem entsprechenden Brennwert des produzierten Gases in kWh umzuwerten und werden vom NB allokiert.</w:t>
      </w:r>
    </w:p>
    <w:p w14:paraId="62A59E9C" w14:textId="5A47F1E1" w:rsidR="00247B8C" w:rsidRDefault="00247B8C" w:rsidP="003C2438">
      <w:pPr>
        <w:spacing w:before="240"/>
      </w:pPr>
      <w:r w:rsidRPr="0072784E">
        <w:rPr>
          <w:b/>
        </w:rPr>
        <w:t>6.</w:t>
      </w:r>
      <w:r>
        <w:rPr>
          <w:b/>
        </w:rPr>
        <w:t xml:space="preserve"> </w:t>
      </w:r>
      <w:r w:rsidRPr="0072784E">
        <w:rPr>
          <w:b/>
        </w:rPr>
        <w:t>Zeitreihentyp „Entry Flüssiggas“:</w:t>
      </w:r>
      <w:r w:rsidRPr="0072784E">
        <w:t xml:space="preserve"> Meldung der Zeitreihe für die Beimischung von Flüssiggas be</w:t>
      </w:r>
      <w:r>
        <w:t>i einer Einspeisung von Biogas</w:t>
      </w:r>
      <w:r w:rsidR="006E6B47">
        <w:t xml:space="preserve"> oder bei einer Ersatzversorgung</w:t>
      </w:r>
      <w:r>
        <w:t>.</w:t>
      </w:r>
    </w:p>
    <w:p w14:paraId="06C2A3BD" w14:textId="64775856" w:rsidR="00744E99" w:rsidRDefault="00247B8C" w:rsidP="003C2438">
      <w:pPr>
        <w:rPr>
          <w:rFonts w:cs="Arial"/>
          <w:color w:val="000000" w:themeColor="text1"/>
        </w:rPr>
      </w:pPr>
      <w:r w:rsidRPr="00F11892">
        <w:rPr>
          <w:color w:val="000000" w:themeColor="text1"/>
        </w:rPr>
        <w:t xml:space="preserve">Diese Zeitreihe ist nicht bilanzkreiswirksam, sie verbleibt im Netzkonto. </w:t>
      </w:r>
      <w:r w:rsidRPr="00F11892">
        <w:rPr>
          <w:rFonts w:cs="Arial"/>
          <w:color w:val="000000" w:themeColor="text1"/>
        </w:rPr>
        <w:t>Ist eine Zumischung von Flüssiggas erforderlich,</w:t>
      </w:r>
      <w:r w:rsidRPr="00F11892">
        <w:rPr>
          <w:color w:val="000000" w:themeColor="text1"/>
        </w:rPr>
        <w:t xml:space="preserve"> ermittelt der NB die Menge der Flüssiggaseinspeisung, z.</w:t>
      </w:r>
      <w:r w:rsidR="00C22517">
        <w:rPr>
          <w:color w:val="000000" w:themeColor="text1"/>
        </w:rPr>
        <w:t> </w:t>
      </w:r>
      <w:r w:rsidRPr="00F11892">
        <w:rPr>
          <w:color w:val="000000" w:themeColor="text1"/>
        </w:rPr>
        <w:t xml:space="preserve">B. durch </w:t>
      </w:r>
      <w:r w:rsidRPr="00F11892">
        <w:rPr>
          <w:rFonts w:cs="Arial"/>
          <w:color w:val="000000" w:themeColor="text1"/>
        </w:rPr>
        <w:t>separate Messung der Flüssiggas</w:t>
      </w:r>
      <w:r>
        <w:rPr>
          <w:rFonts w:cs="Arial"/>
          <w:color w:val="000000" w:themeColor="text1"/>
        </w:rPr>
        <w:t>m</w:t>
      </w:r>
      <w:r w:rsidRPr="00F11892">
        <w:rPr>
          <w:rFonts w:cs="Arial"/>
          <w:color w:val="000000" w:themeColor="text1"/>
        </w:rPr>
        <w:t>enge</w:t>
      </w:r>
      <w:r w:rsidR="002D423C">
        <w:rPr>
          <w:rFonts w:cs="Arial"/>
          <w:color w:val="000000" w:themeColor="text1"/>
        </w:rPr>
        <w:t>.</w:t>
      </w:r>
    </w:p>
    <w:p w14:paraId="74102DB3" w14:textId="77777777" w:rsidR="00E157A6" w:rsidRPr="00E157A6" w:rsidRDefault="00E157A6" w:rsidP="00D90179">
      <w:pPr>
        <w:pStyle w:val="berschrift3"/>
        <w:spacing w:before="480"/>
        <w:ind w:left="969" w:hanging="1009"/>
        <w:rPr>
          <w:b w:val="0"/>
        </w:rPr>
      </w:pPr>
      <w:bookmarkStart w:id="253" w:name="_Ref436726812"/>
      <w:bookmarkStart w:id="254" w:name="_Toc111118452"/>
      <w:r w:rsidRPr="00E157A6">
        <w:t>Exit-Zeitreihentypen</w:t>
      </w:r>
      <w:bookmarkEnd w:id="253"/>
      <w:bookmarkEnd w:id="254"/>
    </w:p>
    <w:p w14:paraId="5D187563" w14:textId="2F17CE77" w:rsidR="00B7460A" w:rsidRDefault="00B7460A" w:rsidP="00B7460A">
      <w:pPr>
        <w:spacing w:before="240"/>
        <w:rPr>
          <w:bCs/>
        </w:rPr>
      </w:pPr>
      <w:r>
        <w:rPr>
          <w:bCs/>
        </w:rPr>
        <w:t>Ab dem Zeitpunkt der</w:t>
      </w:r>
      <w:r w:rsidRPr="005D70D0">
        <w:rPr>
          <w:bCs/>
        </w:rPr>
        <w:t xml:space="preserve"> Anwendbarkeit de</w:t>
      </w:r>
      <w:r w:rsidR="00FA6825">
        <w:rPr>
          <w:bCs/>
        </w:rPr>
        <w:t>s</w:t>
      </w:r>
      <w:r w:rsidRPr="005D70D0">
        <w:rPr>
          <w:bCs/>
        </w:rPr>
        <w:t xml:space="preserve"> Zeitreihe</w:t>
      </w:r>
      <w:r w:rsidR="00FA6825">
        <w:rPr>
          <w:bCs/>
        </w:rPr>
        <w:t>ntyps</w:t>
      </w:r>
      <w:r w:rsidRPr="005D70D0">
        <w:rPr>
          <w:bCs/>
        </w:rPr>
        <w:t xml:space="preserve"> </w:t>
      </w:r>
      <w:proofErr w:type="spellStart"/>
      <w:r w:rsidRPr="005D70D0">
        <w:rPr>
          <w:bCs/>
        </w:rPr>
        <w:t>ExitSP</w:t>
      </w:r>
      <w:proofErr w:type="spellEnd"/>
      <w:r w:rsidRPr="005D70D0">
        <w:rPr>
          <w:bCs/>
        </w:rPr>
        <w:t xml:space="preserve"> werden die</w:t>
      </w:r>
      <w:r>
        <w:rPr>
          <w:bCs/>
        </w:rPr>
        <w:t xml:space="preserve"> Ausspeisepunkte</w:t>
      </w:r>
      <w:r w:rsidRPr="005D70D0">
        <w:rPr>
          <w:bCs/>
        </w:rPr>
        <w:t xml:space="preserve"> </w:t>
      </w:r>
      <w:r>
        <w:rPr>
          <w:bCs/>
        </w:rPr>
        <w:t>aus dem Netz in einen Speicher über diese</w:t>
      </w:r>
      <w:r w:rsidR="00FA6825">
        <w:rPr>
          <w:bCs/>
        </w:rPr>
        <w:t>n</w:t>
      </w:r>
      <w:r>
        <w:rPr>
          <w:bCs/>
        </w:rPr>
        <w:t xml:space="preserve"> Zeitreihe</w:t>
      </w:r>
      <w:r w:rsidR="00FA6825">
        <w:rPr>
          <w:bCs/>
        </w:rPr>
        <w:t>ntyp</w:t>
      </w:r>
      <w:r>
        <w:rPr>
          <w:bCs/>
        </w:rPr>
        <w:t xml:space="preserve"> allokiert. Solange </w:t>
      </w:r>
      <w:r w:rsidR="00FA6825">
        <w:rPr>
          <w:bCs/>
        </w:rPr>
        <w:t>der</w:t>
      </w:r>
      <w:r w:rsidR="00587E44">
        <w:rPr>
          <w:bCs/>
        </w:rPr>
        <w:t xml:space="preserve"> </w:t>
      </w:r>
      <w:r>
        <w:rPr>
          <w:bCs/>
        </w:rPr>
        <w:t>Zeitreihe</w:t>
      </w:r>
      <w:r w:rsidR="00FA6825">
        <w:rPr>
          <w:bCs/>
        </w:rPr>
        <w:t>ntyp</w:t>
      </w:r>
      <w:r>
        <w:rPr>
          <w:bCs/>
        </w:rPr>
        <w:t xml:space="preserve"> </w:t>
      </w:r>
      <w:proofErr w:type="spellStart"/>
      <w:r>
        <w:rPr>
          <w:bCs/>
        </w:rPr>
        <w:t>ExitSP</w:t>
      </w:r>
      <w:proofErr w:type="spellEnd"/>
      <w:r>
        <w:rPr>
          <w:bCs/>
        </w:rPr>
        <w:t xml:space="preserve"> noch nicht anwendbar ist, erfolgt weiterhin die Allokation von Ausspeisepunkten aus dem Netz in einen Speicher über </w:t>
      </w:r>
      <w:r w:rsidR="00FA6825">
        <w:rPr>
          <w:bCs/>
        </w:rPr>
        <w:t xml:space="preserve">den </w:t>
      </w:r>
      <w:r>
        <w:rPr>
          <w:bCs/>
        </w:rPr>
        <w:t>Zeitreihe</w:t>
      </w:r>
      <w:r w:rsidR="00FA6825">
        <w:rPr>
          <w:bCs/>
        </w:rPr>
        <w:t>ntyp</w:t>
      </w:r>
      <w:r>
        <w:rPr>
          <w:bCs/>
        </w:rPr>
        <w:t xml:space="preserve"> </w:t>
      </w:r>
      <w:proofErr w:type="spellStart"/>
      <w:r>
        <w:rPr>
          <w:bCs/>
        </w:rPr>
        <w:t>Exitso</w:t>
      </w:r>
      <w:proofErr w:type="spellEnd"/>
      <w:r w:rsidR="00FA6825">
        <w:rPr>
          <w:bCs/>
        </w:rPr>
        <w:t>.</w:t>
      </w:r>
    </w:p>
    <w:p w14:paraId="0E5C4C02" w14:textId="6FFF78F6" w:rsidR="00B7460A" w:rsidRPr="005D70D0" w:rsidRDefault="00B7460A" w:rsidP="00B7460A">
      <w:pPr>
        <w:spacing w:before="240"/>
        <w:rPr>
          <w:bCs/>
        </w:rPr>
      </w:pPr>
      <w:r>
        <w:rPr>
          <w:rFonts w:cs="Arial"/>
        </w:rPr>
        <w:t>D</w:t>
      </w:r>
      <w:r w:rsidR="00F1072F">
        <w:rPr>
          <w:rFonts w:cs="Arial"/>
        </w:rPr>
        <w:t>e</w:t>
      </w:r>
      <w:r w:rsidR="00997FC3">
        <w:rPr>
          <w:rFonts w:cs="Arial"/>
        </w:rPr>
        <w:t>r</w:t>
      </w:r>
      <w:r>
        <w:rPr>
          <w:rFonts w:cs="Arial"/>
        </w:rPr>
        <w:t xml:space="preserve"> Z</w:t>
      </w:r>
      <w:r w:rsidR="00FA6825">
        <w:rPr>
          <w:rFonts w:cs="Arial"/>
        </w:rPr>
        <w:t>eitreihentyp</w:t>
      </w:r>
      <w:r>
        <w:rPr>
          <w:rFonts w:cs="Arial"/>
        </w:rPr>
        <w:t xml:space="preserve"> „</w:t>
      </w:r>
      <w:proofErr w:type="spellStart"/>
      <w:r>
        <w:rPr>
          <w:rFonts w:cs="Arial"/>
        </w:rPr>
        <w:t>ExitSP</w:t>
      </w:r>
      <w:proofErr w:type="spellEnd"/>
      <w:r>
        <w:rPr>
          <w:rFonts w:cs="Arial"/>
        </w:rPr>
        <w:t xml:space="preserve">“ (Nr. 8) </w:t>
      </w:r>
      <w:r w:rsidR="00F1072F">
        <w:rPr>
          <w:rFonts w:cs="Arial"/>
        </w:rPr>
        <w:t>ist</w:t>
      </w:r>
      <w:r>
        <w:rPr>
          <w:rFonts w:cs="Arial"/>
        </w:rPr>
        <w:t xml:space="preserve">, </w:t>
      </w:r>
      <w:r>
        <w:t>s</w:t>
      </w:r>
      <w:r w:rsidRPr="005014AB">
        <w:rPr>
          <w:rFonts w:cs="Arial"/>
        </w:rPr>
        <w:t xml:space="preserve">oweit </w:t>
      </w:r>
      <w:r>
        <w:rPr>
          <w:rFonts w:cs="Arial"/>
        </w:rPr>
        <w:t>diese</w:t>
      </w:r>
      <w:r w:rsidR="00F1072F">
        <w:rPr>
          <w:rFonts w:cs="Arial"/>
        </w:rPr>
        <w:t>r</w:t>
      </w:r>
      <w:r>
        <w:rPr>
          <w:rFonts w:cs="Arial"/>
        </w:rPr>
        <w:t xml:space="preserve"> </w:t>
      </w:r>
      <w:r w:rsidRPr="005014AB">
        <w:rPr>
          <w:rFonts w:cs="Arial"/>
        </w:rPr>
        <w:t xml:space="preserve">zuvor Gegenstand einer durch die Bundesnetzagentur begleiteten Konsultation </w:t>
      </w:r>
      <w:r>
        <w:rPr>
          <w:rFonts w:cs="Arial"/>
        </w:rPr>
        <w:t xml:space="preserve">zum elektronischen Datenaustausch </w:t>
      </w:r>
      <w:r w:rsidRPr="005014AB">
        <w:rPr>
          <w:rFonts w:cs="Arial"/>
        </w:rPr>
        <w:t xml:space="preserve">war und im Anschluss durch die Bundesnetzagentur veröffentlicht worden </w:t>
      </w:r>
      <w:r w:rsidR="00F1072F">
        <w:rPr>
          <w:rFonts w:cs="Arial"/>
        </w:rPr>
        <w:t>ist</w:t>
      </w:r>
      <w:r>
        <w:rPr>
          <w:rFonts w:cs="Arial"/>
        </w:rPr>
        <w:t>, ab dem vorgegebenen Zeitpunkt anzuwenden</w:t>
      </w:r>
      <w:r w:rsidR="00F1072F">
        <w:rPr>
          <w:rFonts w:cs="Arial"/>
        </w:rPr>
        <w:t>.</w:t>
      </w:r>
    </w:p>
    <w:p w14:paraId="29C3F19A" w14:textId="77777777" w:rsidR="00B7460A" w:rsidRDefault="00B7460A" w:rsidP="003C2438">
      <w:pPr>
        <w:spacing w:before="240"/>
        <w:rPr>
          <w:b/>
        </w:rPr>
      </w:pPr>
    </w:p>
    <w:p w14:paraId="2BB61408" w14:textId="79CCCBBC" w:rsidR="00744E99" w:rsidRDefault="00247B8C" w:rsidP="003C2438">
      <w:pPr>
        <w:spacing w:before="240"/>
      </w:pPr>
      <w:r>
        <w:rPr>
          <w:b/>
        </w:rPr>
        <w:lastRenderedPageBreak/>
        <w:t>7</w:t>
      </w:r>
      <w:r w:rsidRPr="0072784E">
        <w:rPr>
          <w:b/>
        </w:rPr>
        <w:t>.</w:t>
      </w:r>
      <w:r>
        <w:rPr>
          <w:b/>
        </w:rPr>
        <w:t xml:space="preserve"> </w:t>
      </w:r>
      <w:r w:rsidR="00744E99" w:rsidRPr="00CF74F0">
        <w:rPr>
          <w:b/>
        </w:rPr>
        <w:t>Zeitreihentyp „</w:t>
      </w:r>
      <w:proofErr w:type="spellStart"/>
      <w:r w:rsidR="00744E99" w:rsidRPr="00CF74F0">
        <w:rPr>
          <w:b/>
        </w:rPr>
        <w:t>Exitso</w:t>
      </w:r>
      <w:proofErr w:type="spellEnd"/>
      <w:r w:rsidR="00744E99" w:rsidRPr="00CF74F0">
        <w:rPr>
          <w:b/>
        </w:rPr>
        <w:t>“:</w:t>
      </w:r>
      <w:r w:rsidR="00744E99" w:rsidRPr="00CF74F0">
        <w:t xml:space="preserve"> </w:t>
      </w:r>
      <w:r w:rsidR="00744E99" w:rsidRPr="0052713B">
        <w:t xml:space="preserve">Allokation von </w:t>
      </w:r>
      <w:r w:rsidR="00744E99">
        <w:t>Ausspeisez</w:t>
      </w:r>
      <w:r w:rsidR="00744E99" w:rsidRPr="0052713B">
        <w:t>eitreihen an GÜP</w:t>
      </w:r>
      <w:r w:rsidR="00031D18">
        <w:t>/VIP</w:t>
      </w:r>
      <w:r w:rsidR="00744E99" w:rsidRPr="0041531E">
        <w:t>.</w:t>
      </w:r>
      <w:r w:rsidR="00744E99">
        <w:t xml:space="preserve"> Es wird das Allokationsverfahren „Allokiert wie </w:t>
      </w:r>
      <w:r w:rsidR="00D626D1">
        <w:t>n</w:t>
      </w:r>
      <w:r w:rsidR="00744E99">
        <w:t>ominiert“ angewendet</w:t>
      </w:r>
      <w:r w:rsidR="004054D9">
        <w:t xml:space="preserve"> sowie</w:t>
      </w:r>
      <w:r w:rsidR="00744E99">
        <w:t xml:space="preserve"> </w:t>
      </w:r>
      <w:r w:rsidR="00A5643F">
        <w:t xml:space="preserve">zur Berücksichtigung von Netzpufferfahrweisen und OBA-Ständen im </w:t>
      </w:r>
      <w:r w:rsidR="004054D9">
        <w:t>NKBO</w:t>
      </w:r>
      <w:r w:rsidR="00A5643F">
        <w:t>.</w:t>
      </w:r>
    </w:p>
    <w:p w14:paraId="5D6D1EDA" w14:textId="68B31CDA" w:rsidR="00B7460A" w:rsidRDefault="00B7460A" w:rsidP="00B7460A">
      <w:pPr>
        <w:spacing w:before="240"/>
      </w:pPr>
      <w:r>
        <w:rPr>
          <w:b/>
        </w:rPr>
        <w:t>8. Zeitreihentyp „</w:t>
      </w:r>
      <w:proofErr w:type="spellStart"/>
      <w:r>
        <w:rPr>
          <w:b/>
        </w:rPr>
        <w:t>ExitSP</w:t>
      </w:r>
      <w:proofErr w:type="spellEnd"/>
      <w:r>
        <w:rPr>
          <w:b/>
        </w:rPr>
        <w:t xml:space="preserve">“ </w:t>
      </w:r>
      <w:r w:rsidRPr="0052713B">
        <w:t xml:space="preserve">Allokation von </w:t>
      </w:r>
      <w:r>
        <w:t>Ausspeisez</w:t>
      </w:r>
      <w:r w:rsidRPr="0052713B">
        <w:t xml:space="preserve">eitreihen </w:t>
      </w:r>
      <w:r>
        <w:t xml:space="preserve">an Ausspeisepunkten </w:t>
      </w:r>
      <w:r w:rsidRPr="00CA2788">
        <w:t>aus</w:t>
      </w:r>
      <w:r w:rsidRPr="0041531E">
        <w:t xml:space="preserve"> </w:t>
      </w:r>
      <w:r>
        <w:t>dem</w:t>
      </w:r>
      <w:r w:rsidRPr="0041531E">
        <w:t xml:space="preserve"> </w:t>
      </w:r>
      <w:r>
        <w:t>Netz in einen Speicher</w:t>
      </w:r>
      <w:r w:rsidRPr="0041531E">
        <w:t>.</w:t>
      </w:r>
      <w:r>
        <w:t xml:space="preserve"> Es wird das Allokationsverfahren „Allokiert wie nominiert“ angewendet.</w:t>
      </w:r>
    </w:p>
    <w:p w14:paraId="032B2EE2" w14:textId="40B0F624" w:rsidR="00744E99" w:rsidRDefault="00B7460A" w:rsidP="003C2438">
      <w:pPr>
        <w:spacing w:before="240"/>
      </w:pPr>
      <w:r>
        <w:rPr>
          <w:b/>
        </w:rPr>
        <w:t>9</w:t>
      </w:r>
      <w:r w:rsidR="00744E99">
        <w:rPr>
          <w:b/>
        </w:rPr>
        <w:t xml:space="preserve">. </w:t>
      </w:r>
      <w:r w:rsidR="00744E99" w:rsidRPr="00CF74F0">
        <w:rPr>
          <w:b/>
        </w:rPr>
        <w:t>Zeitreihentyp „Exit VHP“:</w:t>
      </w:r>
      <w:r w:rsidR="00744E99" w:rsidRPr="00CF74F0">
        <w:t xml:space="preserve"> </w:t>
      </w:r>
      <w:r w:rsidR="00744E99">
        <w:t xml:space="preserve">Allokation der </w:t>
      </w:r>
      <w:r w:rsidR="00744E99" w:rsidRPr="00CF74F0">
        <w:t>Summe aller Ausspeisenominierungen aus einem BK den VHP</w:t>
      </w:r>
      <w:r w:rsidR="00744E99">
        <w:t xml:space="preserve"> für Erdgas, Wasserstoff oder Biogas betreffend.</w:t>
      </w:r>
    </w:p>
    <w:p w14:paraId="2AB23B84" w14:textId="77777777" w:rsidR="00E157A6" w:rsidRDefault="00E157A6" w:rsidP="003C2438">
      <w:pPr>
        <w:rPr>
          <w:rFonts w:cs="Arial"/>
        </w:rPr>
      </w:pPr>
      <w:r w:rsidRPr="00E157A6">
        <w:rPr>
          <w:rFonts w:cs="Arial"/>
        </w:rPr>
        <w:t>Der BKV zahlt für die Nutzung des VHP ein mengenabhängiges Entgelt.</w:t>
      </w:r>
    </w:p>
    <w:p w14:paraId="12A1FF44" w14:textId="5FDF8CE2" w:rsidR="00DC46F4" w:rsidRDefault="00B7460A" w:rsidP="003C2438">
      <w:pPr>
        <w:spacing w:before="240"/>
      </w:pPr>
      <w:r>
        <w:rPr>
          <w:b/>
        </w:rPr>
        <w:t>10</w:t>
      </w:r>
      <w:r w:rsidR="00DC46F4">
        <w:rPr>
          <w:b/>
        </w:rPr>
        <w:t xml:space="preserve">. </w:t>
      </w:r>
      <w:r w:rsidR="00DC46F4" w:rsidRPr="0072784E">
        <w:rPr>
          <w:b/>
        </w:rPr>
        <w:t>Zeitreihentyp „</w:t>
      </w:r>
      <w:proofErr w:type="spellStart"/>
      <w:r w:rsidR="00DC46F4" w:rsidRPr="0072784E">
        <w:rPr>
          <w:b/>
        </w:rPr>
        <w:t>RLMmT</w:t>
      </w:r>
      <w:proofErr w:type="spellEnd"/>
      <w:r w:rsidR="00DC46F4" w:rsidRPr="00CF74F0">
        <w:t xml:space="preserve">“: </w:t>
      </w:r>
      <w:r w:rsidR="008E0900" w:rsidRPr="00CF74F0">
        <w:t>Allokation von RLM-</w:t>
      </w:r>
      <w:r w:rsidR="000F2754" w:rsidRPr="00CF74F0">
        <w:t>Ausspeisepunkten</w:t>
      </w:r>
      <w:r w:rsidR="008E0900">
        <w:t>,</w:t>
      </w:r>
      <w:r w:rsidR="008E0900" w:rsidRPr="00CF74F0">
        <w:t xml:space="preserve"> </w:t>
      </w:r>
      <w:r w:rsidR="008E0900">
        <w:t>an denen diese auf Basis der gemessenen Lastgänge erfolgt</w:t>
      </w:r>
      <w:r w:rsidR="008E0900" w:rsidRPr="0072784E">
        <w:t>.</w:t>
      </w:r>
      <w:r w:rsidR="008E0900">
        <w:t xml:space="preserve"> Diese werden jedoch vom MGV auf ein Tagesband umgerechnet (RLM mit Tagesband).</w:t>
      </w:r>
    </w:p>
    <w:p w14:paraId="6BCA82AE" w14:textId="4483BD05" w:rsidR="00DC46F4" w:rsidRPr="001264ED" w:rsidRDefault="00DC46F4" w:rsidP="003C2438">
      <w:r>
        <w:rPr>
          <w:rFonts w:cs="Arial"/>
        </w:rPr>
        <w:t xml:space="preserve">Dem Zeitreihentyp </w:t>
      </w:r>
      <w:proofErr w:type="spellStart"/>
      <w:r>
        <w:rPr>
          <w:rFonts w:cs="Arial"/>
        </w:rPr>
        <w:t>RLMmT</w:t>
      </w:r>
      <w:proofErr w:type="spellEnd"/>
      <w:r>
        <w:rPr>
          <w:rFonts w:cs="Arial"/>
        </w:rPr>
        <w:t xml:space="preserve"> können auch solche RLM-</w:t>
      </w:r>
      <w:r w:rsidR="00533D2E" w:rsidRPr="0072784E">
        <w:t>Ausspeisepunkten</w:t>
      </w:r>
      <w:r w:rsidR="00830A57">
        <w:t xml:space="preserve"> </w:t>
      </w:r>
      <w:r>
        <w:rPr>
          <w:rFonts w:cs="Arial"/>
        </w:rPr>
        <w:t>zugeordnet werden, für die am entsprechenden Einspeisepunkt eine Steuerung mittels Nominierungsersatzverfahren erfolgt.</w:t>
      </w:r>
    </w:p>
    <w:p w14:paraId="53044924" w14:textId="1E2C90B9" w:rsidR="00FA00F1" w:rsidRDefault="00B7460A" w:rsidP="003C2438">
      <w:pPr>
        <w:spacing w:before="240"/>
      </w:pPr>
      <w:r>
        <w:rPr>
          <w:b/>
        </w:rPr>
        <w:t>11</w:t>
      </w:r>
      <w:r w:rsidR="00744E99">
        <w:rPr>
          <w:b/>
        </w:rPr>
        <w:t>.</w:t>
      </w:r>
      <w:r w:rsidR="00247B8C">
        <w:rPr>
          <w:b/>
        </w:rPr>
        <w:t xml:space="preserve"> </w:t>
      </w:r>
      <w:r w:rsidR="00247B8C" w:rsidRPr="0072784E">
        <w:rPr>
          <w:b/>
        </w:rPr>
        <w:t>Zeitreihentyp „</w:t>
      </w:r>
      <w:proofErr w:type="spellStart"/>
      <w:r w:rsidR="00247B8C" w:rsidRPr="0072784E">
        <w:rPr>
          <w:b/>
        </w:rPr>
        <w:t>RLMoT</w:t>
      </w:r>
      <w:proofErr w:type="spellEnd"/>
      <w:r w:rsidR="00247B8C" w:rsidRPr="0072784E">
        <w:rPr>
          <w:b/>
        </w:rPr>
        <w:t>“:</w:t>
      </w:r>
      <w:r w:rsidR="00247B8C" w:rsidRPr="0072784E">
        <w:t xml:space="preserve"> </w:t>
      </w:r>
      <w:r w:rsidR="008E0900" w:rsidRPr="0072784E">
        <w:t xml:space="preserve">Allokation </w:t>
      </w:r>
      <w:r w:rsidR="008E0900">
        <w:t>von</w:t>
      </w:r>
      <w:r w:rsidR="008E0900" w:rsidRPr="0072784E">
        <w:t xml:space="preserve"> RLM-</w:t>
      </w:r>
      <w:r w:rsidR="000F2754" w:rsidRPr="000F2754">
        <w:t>Ausspeisepunkten</w:t>
      </w:r>
      <w:r w:rsidR="008E0900">
        <w:t xml:space="preserve">, an denen diese Bilanzierung auf Basis der gemessenen Lastgänge erfolgt </w:t>
      </w:r>
      <w:r w:rsidR="008E0900" w:rsidRPr="0072784E">
        <w:t>(</w:t>
      </w:r>
      <w:r w:rsidR="008E0900">
        <w:t xml:space="preserve">RLM </w:t>
      </w:r>
      <w:r w:rsidR="008E0900" w:rsidRPr="0072784E">
        <w:t>ohne Tagesband)</w:t>
      </w:r>
      <w:r w:rsidR="008E0900">
        <w:t>.</w:t>
      </w:r>
    </w:p>
    <w:p w14:paraId="6676D4B3" w14:textId="36D9F9E5" w:rsidR="00EC171D" w:rsidRPr="00986AFB" w:rsidRDefault="00247B8C" w:rsidP="003C2438">
      <w:r w:rsidRPr="00571673">
        <w:rPr>
          <w:rFonts w:cs="Arial"/>
        </w:rPr>
        <w:t xml:space="preserve">Dem Zeitreihentyp </w:t>
      </w:r>
      <w:proofErr w:type="spellStart"/>
      <w:r w:rsidRPr="00571673">
        <w:rPr>
          <w:rFonts w:cs="Arial"/>
        </w:rPr>
        <w:t>RLMoT</w:t>
      </w:r>
      <w:proofErr w:type="spellEnd"/>
      <w:r w:rsidRPr="00571673">
        <w:rPr>
          <w:rFonts w:cs="Arial"/>
        </w:rPr>
        <w:t xml:space="preserve"> </w:t>
      </w:r>
      <w:r w:rsidR="005B4C61">
        <w:rPr>
          <w:rFonts w:cs="Arial"/>
        </w:rPr>
        <w:t>können</w:t>
      </w:r>
      <w:r w:rsidR="005B4C61" w:rsidRPr="00571673">
        <w:rPr>
          <w:rFonts w:cs="Arial"/>
        </w:rPr>
        <w:t xml:space="preserve"> </w:t>
      </w:r>
      <w:r w:rsidRPr="00571673">
        <w:rPr>
          <w:rFonts w:cs="Arial"/>
        </w:rPr>
        <w:t>auch solche RLM-</w:t>
      </w:r>
      <w:r w:rsidR="00533D2E" w:rsidRPr="0072784E">
        <w:t>Ausspeisepunkten</w:t>
      </w:r>
      <w:r w:rsidRPr="00571673">
        <w:rPr>
          <w:rFonts w:cs="Arial"/>
        </w:rPr>
        <w:t xml:space="preserve"> zugeordnet</w:t>
      </w:r>
      <w:r w:rsidR="005B4C61">
        <w:rPr>
          <w:rFonts w:cs="Arial"/>
        </w:rPr>
        <w:t xml:space="preserve"> werden</w:t>
      </w:r>
      <w:r w:rsidRPr="00571673">
        <w:rPr>
          <w:rFonts w:cs="Arial"/>
        </w:rPr>
        <w:t>, für die am entsprechenden Einspeisepunkt eine Steuerung mittels eines Nominierungsersatzverfah</w:t>
      </w:r>
      <w:r>
        <w:rPr>
          <w:rFonts w:cs="Arial"/>
        </w:rPr>
        <w:t xml:space="preserve">rens </w:t>
      </w:r>
      <w:r w:rsidRPr="00571673">
        <w:rPr>
          <w:rFonts w:cs="Arial"/>
        </w:rPr>
        <w:t>erfolgt</w:t>
      </w:r>
      <w:r>
        <w:rPr>
          <w:rFonts w:cs="Arial"/>
        </w:rPr>
        <w:t>.</w:t>
      </w:r>
    </w:p>
    <w:p w14:paraId="77CAC312" w14:textId="2EB8BBC9" w:rsidR="00247B8C" w:rsidRDefault="00B7460A" w:rsidP="003C2438">
      <w:pPr>
        <w:spacing w:before="240"/>
      </w:pPr>
      <w:r>
        <w:rPr>
          <w:b/>
        </w:rPr>
        <w:t>12</w:t>
      </w:r>
      <w:r w:rsidR="00247B8C" w:rsidRPr="00CF74F0">
        <w:rPr>
          <w:b/>
        </w:rPr>
        <w:t>.</w:t>
      </w:r>
      <w:r w:rsidR="00247B8C">
        <w:rPr>
          <w:b/>
        </w:rPr>
        <w:t xml:space="preserve"> </w:t>
      </w:r>
      <w:r w:rsidR="00247B8C" w:rsidRPr="00CF74F0">
        <w:rPr>
          <w:b/>
        </w:rPr>
        <w:t>Zeitreihentyp „</w:t>
      </w:r>
      <w:proofErr w:type="spellStart"/>
      <w:r w:rsidR="00247B8C" w:rsidRPr="00CF74F0">
        <w:rPr>
          <w:b/>
        </w:rPr>
        <w:t>SLPsyn</w:t>
      </w:r>
      <w:proofErr w:type="spellEnd"/>
      <w:r w:rsidR="00247B8C" w:rsidRPr="00CF74F0">
        <w:rPr>
          <w:b/>
        </w:rPr>
        <w:t>“:</w:t>
      </w:r>
      <w:r w:rsidR="00247B8C" w:rsidRPr="00CF74F0">
        <w:t xml:space="preserve"> Allokationen an SLP-</w:t>
      </w:r>
      <w:r w:rsidR="00533D2E" w:rsidRPr="0072784E">
        <w:t>Ausspeisepunkten</w:t>
      </w:r>
      <w:r w:rsidR="00247B8C" w:rsidRPr="00CF74F0">
        <w:t xml:space="preserve"> im synthetischen Ver</w:t>
      </w:r>
      <w:r w:rsidR="00247B8C">
        <w:t>fahren.</w:t>
      </w:r>
    </w:p>
    <w:p w14:paraId="38AA86E5" w14:textId="0008D8CD" w:rsidR="00247B8C" w:rsidRPr="001264ED" w:rsidRDefault="00B7460A" w:rsidP="003C2438">
      <w:pPr>
        <w:spacing w:before="240"/>
      </w:pPr>
      <w:r>
        <w:rPr>
          <w:b/>
        </w:rPr>
        <w:t>13</w:t>
      </w:r>
      <w:r w:rsidR="00247B8C" w:rsidRPr="00CF74F0">
        <w:rPr>
          <w:b/>
        </w:rPr>
        <w:t>.</w:t>
      </w:r>
      <w:r w:rsidR="00247B8C">
        <w:rPr>
          <w:b/>
        </w:rPr>
        <w:t xml:space="preserve"> </w:t>
      </w:r>
      <w:r w:rsidR="00247B8C" w:rsidRPr="00CF74F0">
        <w:rPr>
          <w:b/>
        </w:rPr>
        <w:t>Zeitreihentyp „</w:t>
      </w:r>
      <w:proofErr w:type="spellStart"/>
      <w:r w:rsidR="00247B8C" w:rsidRPr="00CF74F0">
        <w:rPr>
          <w:b/>
        </w:rPr>
        <w:t>SLPana</w:t>
      </w:r>
      <w:proofErr w:type="spellEnd"/>
      <w:r w:rsidR="00247B8C" w:rsidRPr="00CF74F0">
        <w:rPr>
          <w:b/>
        </w:rPr>
        <w:t>“:</w:t>
      </w:r>
      <w:r w:rsidR="00247B8C" w:rsidRPr="00CF74F0">
        <w:t xml:space="preserve"> </w:t>
      </w:r>
      <w:r w:rsidR="0079433B">
        <w:t xml:space="preserve">Allokationen </w:t>
      </w:r>
      <w:r w:rsidR="00247B8C" w:rsidRPr="00CF74F0">
        <w:t>an SLP-</w:t>
      </w:r>
      <w:r w:rsidR="00533D2E" w:rsidRPr="0072784E">
        <w:t>Ausspeisepunkten</w:t>
      </w:r>
      <w:r w:rsidR="00247B8C">
        <w:t xml:space="preserve"> im analytischen Verfahren.</w:t>
      </w:r>
    </w:p>
    <w:p w14:paraId="0105D4B0" w14:textId="77777777" w:rsidR="00E157A6" w:rsidRPr="00E157A6" w:rsidRDefault="00E157A6" w:rsidP="00D90179">
      <w:pPr>
        <w:pStyle w:val="berschrift3"/>
        <w:spacing w:before="480"/>
        <w:ind w:left="969" w:hanging="1009"/>
        <w:rPr>
          <w:b w:val="0"/>
        </w:rPr>
      </w:pPr>
      <w:bookmarkStart w:id="255" w:name="_Ref436726820"/>
      <w:bookmarkStart w:id="256" w:name="_Toc111118453"/>
      <w:r w:rsidRPr="00E157A6">
        <w:t>Bilanzierungszeitreihentypen (Netzkont</w:t>
      </w:r>
      <w:r w:rsidR="008D3A19">
        <w:t>en</w:t>
      </w:r>
      <w:r w:rsidRPr="00E157A6">
        <w:t>)</w:t>
      </w:r>
      <w:bookmarkEnd w:id="255"/>
      <w:bookmarkEnd w:id="256"/>
    </w:p>
    <w:p w14:paraId="57BD2114" w14:textId="6E71EE96" w:rsidR="00667C82" w:rsidRPr="00676732" w:rsidRDefault="008D0A18" w:rsidP="003C2438">
      <w:pPr>
        <w:spacing w:before="240"/>
      </w:pPr>
      <w:r>
        <w:rPr>
          <w:rFonts w:cs="Arial"/>
          <w:b/>
        </w:rPr>
        <w:t>14</w:t>
      </w:r>
      <w:r w:rsidR="00247B8C">
        <w:rPr>
          <w:rFonts w:cs="Arial"/>
          <w:b/>
        </w:rPr>
        <w:t xml:space="preserve">. </w:t>
      </w:r>
      <w:r w:rsidR="00247B8C" w:rsidRPr="00653810">
        <w:rPr>
          <w:rFonts w:cs="Arial"/>
          <w:b/>
        </w:rPr>
        <w:t>Zeitreihentyp „</w:t>
      </w:r>
      <w:r w:rsidR="00247B8C" w:rsidRPr="007931B9">
        <w:rPr>
          <w:rFonts w:cs="Arial"/>
          <w:b/>
        </w:rPr>
        <w:t>NK</w:t>
      </w:r>
      <w:r w:rsidR="00247B8C">
        <w:rPr>
          <w:rFonts w:cs="Arial"/>
          <w:b/>
        </w:rPr>
        <w:t>SALD</w:t>
      </w:r>
      <w:r w:rsidR="00C96BC7">
        <w:rPr>
          <w:rFonts w:cs="Arial"/>
          <w:b/>
        </w:rPr>
        <w:t>0</w:t>
      </w:r>
      <w:r w:rsidR="00247B8C" w:rsidRPr="007931B9">
        <w:rPr>
          <w:rFonts w:cs="Arial"/>
          <w:b/>
        </w:rPr>
        <w:t>“</w:t>
      </w:r>
      <w:r w:rsidR="00247B8C" w:rsidRPr="007931B9">
        <w:rPr>
          <w:b/>
        </w:rPr>
        <w:t>:</w:t>
      </w:r>
      <w:r w:rsidR="00247B8C" w:rsidRPr="00C103E6">
        <w:t xml:space="preserve"> </w:t>
      </w:r>
      <w:r w:rsidR="00247B8C" w:rsidRPr="008A59C2">
        <w:rPr>
          <w:rFonts w:cs="Arial"/>
        </w:rPr>
        <w:t>Ü</w:t>
      </w:r>
      <w:r w:rsidR="00247B8C">
        <w:rPr>
          <w:rFonts w:cs="Arial"/>
        </w:rPr>
        <w:t>bermittlung des Netzkontensaldos</w:t>
      </w:r>
      <w:r w:rsidR="00C96BC7">
        <w:rPr>
          <w:rFonts w:cs="Arial"/>
        </w:rPr>
        <w:t xml:space="preserve"> 0 </w:t>
      </w:r>
      <w:r w:rsidR="00992FBD" w:rsidRPr="00FD4743">
        <w:rPr>
          <w:rFonts w:cs="Arial"/>
        </w:rPr>
        <w:t xml:space="preserve">unter Berücksichtigung der </w:t>
      </w:r>
      <w:r w:rsidR="00A5643F" w:rsidRPr="00FD4743">
        <w:rPr>
          <w:rFonts w:cs="Arial"/>
        </w:rPr>
        <w:t xml:space="preserve">RLM-Allokationen </w:t>
      </w:r>
      <w:r w:rsidR="00A5643F">
        <w:rPr>
          <w:rFonts w:cs="Arial"/>
        </w:rPr>
        <w:t>umgewertet mit Bilanzierungsbrennwert</w:t>
      </w:r>
      <w:r w:rsidR="00247B8C">
        <w:rPr>
          <w:rFonts w:cs="Arial"/>
        </w:rPr>
        <w:t>.</w:t>
      </w:r>
      <w:r w:rsidR="00E55D70">
        <w:rPr>
          <w:rFonts w:cs="Arial"/>
        </w:rPr>
        <w:t xml:space="preserve"> </w:t>
      </w:r>
      <w:r w:rsidR="00247B8C" w:rsidRPr="00A95F8D">
        <w:rPr>
          <w:rFonts w:cs="Arial"/>
        </w:rPr>
        <w:t xml:space="preserve">Der MGV ermittelt täglich </w:t>
      </w:r>
      <w:r w:rsidR="00946643">
        <w:rPr>
          <w:rFonts w:cs="Arial"/>
        </w:rPr>
        <w:t xml:space="preserve">und monatlich </w:t>
      </w:r>
      <w:r w:rsidR="00247B8C" w:rsidRPr="00A95F8D">
        <w:rPr>
          <w:rFonts w:cs="Arial"/>
        </w:rPr>
        <w:t>für alle NB je Netzkonto den Netzkontosaldo 0 nach Kap.</w:t>
      </w:r>
      <w:r w:rsidR="002E227C">
        <w:rPr>
          <w:rFonts w:cs="Arial"/>
        </w:rPr>
        <w:t xml:space="preserve"> </w:t>
      </w:r>
      <w:r w:rsidR="0011373C">
        <w:fldChar w:fldCharType="begin"/>
      </w:r>
      <w:r w:rsidR="0011373C">
        <w:instrText xml:space="preserve"> REF _Ref292982584 \r \h  \* MERGEFORMAT </w:instrText>
      </w:r>
      <w:r w:rsidR="0011373C">
        <w:fldChar w:fldCharType="separate"/>
      </w:r>
      <w:r w:rsidR="00692E23" w:rsidRPr="00692E23">
        <w:rPr>
          <w:bCs/>
        </w:rPr>
        <w:t>11</w:t>
      </w:r>
      <w:r w:rsidR="0011373C">
        <w:fldChar w:fldCharType="end"/>
      </w:r>
      <w:r w:rsidR="00C00468">
        <w:t xml:space="preserve"> und übermittelt diesen an den NB.</w:t>
      </w:r>
      <w:bookmarkStart w:id="257" w:name="OLE_LINK3"/>
      <w:bookmarkStart w:id="258" w:name="OLE_LINK4"/>
      <w:bookmarkStart w:id="259" w:name="_Toc205183335"/>
      <w:r w:rsidR="00992FBD" w:rsidRPr="00992FBD">
        <w:rPr>
          <w:rFonts w:cs="Arial"/>
        </w:rPr>
        <w:t xml:space="preserve"> </w:t>
      </w:r>
      <w:r w:rsidR="00992FBD" w:rsidRPr="00FD4743">
        <w:rPr>
          <w:rFonts w:cs="Arial"/>
        </w:rPr>
        <w:t>Der Versand erfolgt im Format IMBNOT als Zeitreihe mit Stundenwerten, die jeweils positiv oder negativ sein können.</w:t>
      </w:r>
    </w:p>
    <w:bookmarkEnd w:id="257"/>
    <w:bookmarkEnd w:id="258"/>
    <w:p w14:paraId="0DAADE80" w14:textId="1EE6B7EE" w:rsidR="00667C82" w:rsidRDefault="008D0A18" w:rsidP="003C2438">
      <w:pPr>
        <w:spacing w:before="240"/>
      </w:pPr>
      <w:r>
        <w:rPr>
          <w:rFonts w:cs="Arial"/>
          <w:b/>
        </w:rPr>
        <w:t>15</w:t>
      </w:r>
      <w:r w:rsidR="00C96BC7">
        <w:rPr>
          <w:rFonts w:cs="Arial"/>
          <w:b/>
        </w:rPr>
        <w:t xml:space="preserve">. </w:t>
      </w:r>
      <w:r w:rsidR="00C96BC7" w:rsidRPr="00653810">
        <w:rPr>
          <w:rFonts w:cs="Arial"/>
          <w:b/>
        </w:rPr>
        <w:t>Zeitreihentyp „</w:t>
      </w:r>
      <w:r w:rsidR="00C96BC7" w:rsidRPr="007931B9">
        <w:rPr>
          <w:rFonts w:cs="Arial"/>
          <w:b/>
        </w:rPr>
        <w:t>NK</w:t>
      </w:r>
      <w:r w:rsidR="00C96BC7">
        <w:rPr>
          <w:rFonts w:cs="Arial"/>
          <w:b/>
        </w:rPr>
        <w:t>SALD1</w:t>
      </w:r>
      <w:r w:rsidR="00C96BC7" w:rsidRPr="007931B9">
        <w:rPr>
          <w:rFonts w:cs="Arial"/>
          <w:b/>
        </w:rPr>
        <w:t>“</w:t>
      </w:r>
      <w:r w:rsidR="00C96BC7" w:rsidRPr="007931B9">
        <w:rPr>
          <w:b/>
        </w:rPr>
        <w:t>:</w:t>
      </w:r>
      <w:r w:rsidR="00C96BC7" w:rsidRPr="00C103E6">
        <w:t xml:space="preserve"> </w:t>
      </w:r>
      <w:r w:rsidR="00992FBD" w:rsidRPr="008A59C2">
        <w:rPr>
          <w:rFonts w:cs="Arial"/>
        </w:rPr>
        <w:t>Ü</w:t>
      </w:r>
      <w:r w:rsidR="00992FBD">
        <w:rPr>
          <w:rFonts w:cs="Arial"/>
        </w:rPr>
        <w:t xml:space="preserve">bermittlung des für die </w:t>
      </w:r>
      <w:r w:rsidR="00695634">
        <w:rPr>
          <w:rFonts w:cs="Arial"/>
        </w:rPr>
        <w:t xml:space="preserve">Abrechnung nach der täglichen Netzkontosystematik als Anreizsystem </w:t>
      </w:r>
      <w:r w:rsidR="00992FBD">
        <w:rPr>
          <w:rFonts w:cs="Arial"/>
        </w:rPr>
        <w:t xml:space="preserve">relevanten Netzkontensaldos 1 </w:t>
      </w:r>
      <w:r w:rsidR="00992FBD" w:rsidRPr="00FD4743">
        <w:rPr>
          <w:rFonts w:cs="Arial"/>
        </w:rPr>
        <w:t xml:space="preserve">unter </w:t>
      </w:r>
      <w:r w:rsidR="00992FBD" w:rsidRPr="00FD4743">
        <w:rPr>
          <w:rFonts w:cs="Arial"/>
        </w:rPr>
        <w:lastRenderedPageBreak/>
        <w:t xml:space="preserve">Berücksichtigung der RLM-Allokationen </w:t>
      </w:r>
      <w:r w:rsidR="00992FBD">
        <w:rPr>
          <w:rFonts w:cs="Arial"/>
        </w:rPr>
        <w:t xml:space="preserve">umgewertet mit Abrechnungsbrennwert. </w:t>
      </w:r>
      <w:r w:rsidR="00992FBD" w:rsidRPr="00A95F8D">
        <w:rPr>
          <w:rFonts w:cs="Arial"/>
        </w:rPr>
        <w:t xml:space="preserve">Der MGV ermittelt </w:t>
      </w:r>
      <w:r w:rsidR="00992FBD">
        <w:rPr>
          <w:rFonts w:cs="Arial"/>
        </w:rPr>
        <w:t xml:space="preserve">monatlich </w:t>
      </w:r>
      <w:r w:rsidR="00992FBD" w:rsidRPr="00A95F8D">
        <w:rPr>
          <w:rFonts w:cs="Arial"/>
        </w:rPr>
        <w:t xml:space="preserve">für alle NB je Netzkonto den Netzkontosaldo </w:t>
      </w:r>
      <w:r w:rsidR="00992FBD">
        <w:rPr>
          <w:rFonts w:cs="Arial"/>
        </w:rPr>
        <w:t>1</w:t>
      </w:r>
      <w:r w:rsidR="00992FBD" w:rsidRPr="00A95F8D">
        <w:rPr>
          <w:rFonts w:cs="Arial"/>
        </w:rPr>
        <w:t xml:space="preserve"> nach Kap.</w:t>
      </w:r>
      <w:r w:rsidR="00992FBD">
        <w:rPr>
          <w:rFonts w:cs="Arial"/>
        </w:rPr>
        <w:t xml:space="preserve"> </w:t>
      </w:r>
      <w:r w:rsidR="0011373C">
        <w:fldChar w:fldCharType="begin"/>
      </w:r>
      <w:r w:rsidR="0011373C">
        <w:instrText xml:space="preserve"> REF _Ref292982584 \r \h  \* MERGEFORMAT </w:instrText>
      </w:r>
      <w:r w:rsidR="0011373C">
        <w:fldChar w:fldCharType="separate"/>
      </w:r>
      <w:r w:rsidR="00692E23" w:rsidRPr="00692E23">
        <w:rPr>
          <w:bCs/>
        </w:rPr>
        <w:t>11</w:t>
      </w:r>
      <w:r w:rsidR="0011373C">
        <w:fldChar w:fldCharType="end"/>
      </w:r>
      <w:r w:rsidR="00992FBD">
        <w:t xml:space="preserve"> und übermittelt diesen an den NB. </w:t>
      </w:r>
      <w:r w:rsidR="00992FBD" w:rsidRPr="00FD4743">
        <w:rPr>
          <w:rFonts w:cs="Arial"/>
        </w:rPr>
        <w:t>Der Versand erfolgt im Format IMBNOT als Zeitreihe mit Stundenwerten, die jeweils positiv oder negativ sein können.</w:t>
      </w:r>
    </w:p>
    <w:p w14:paraId="6F269875" w14:textId="77777777" w:rsidR="00E157A6" w:rsidRPr="00E157A6" w:rsidRDefault="00E157A6" w:rsidP="00D90179">
      <w:pPr>
        <w:pStyle w:val="berschrift3"/>
        <w:spacing w:before="480"/>
        <w:ind w:left="969" w:hanging="1009"/>
        <w:rPr>
          <w:b w:val="0"/>
        </w:rPr>
      </w:pPr>
      <w:bookmarkStart w:id="260" w:name="_Toc111118454"/>
      <w:r w:rsidRPr="00E157A6">
        <w:t>Bilanzierungszeitreihentypen (Bilanzkreise)</w:t>
      </w:r>
      <w:bookmarkEnd w:id="260"/>
    </w:p>
    <w:p w14:paraId="36B3B70B" w14:textId="4DB9BF5D" w:rsidR="00E55D70" w:rsidRDefault="00DF612D" w:rsidP="003C2438">
      <w:pPr>
        <w:rPr>
          <w:rFonts w:cs="Arial"/>
        </w:rPr>
      </w:pPr>
      <w:r w:rsidRPr="00FD4743">
        <w:rPr>
          <w:rFonts w:cs="Arial"/>
        </w:rPr>
        <w:t xml:space="preserve">Die </w:t>
      </w:r>
      <w:r w:rsidRPr="00FD4743">
        <w:rPr>
          <w:rFonts w:cs="Arial"/>
          <w:b/>
        </w:rPr>
        <w:t xml:space="preserve">Zeitreihentypen </w:t>
      </w:r>
      <w:r w:rsidR="008D0A18">
        <w:rPr>
          <w:rFonts w:cs="Arial"/>
          <w:b/>
        </w:rPr>
        <w:t>16</w:t>
      </w:r>
      <w:r w:rsidR="00C567A1">
        <w:rPr>
          <w:rFonts w:cs="Arial"/>
          <w:b/>
        </w:rPr>
        <w:t xml:space="preserve"> </w:t>
      </w:r>
      <w:r w:rsidR="00D968CA">
        <w:rPr>
          <w:rFonts w:cs="Arial"/>
          <w:b/>
        </w:rPr>
        <w:t>-</w:t>
      </w:r>
      <w:r w:rsidR="00C567A1">
        <w:rPr>
          <w:rFonts w:cs="Arial"/>
          <w:b/>
        </w:rPr>
        <w:t xml:space="preserve"> </w:t>
      </w:r>
      <w:r w:rsidR="00031D18">
        <w:rPr>
          <w:rFonts w:cs="Arial"/>
          <w:b/>
        </w:rPr>
        <w:t>4</w:t>
      </w:r>
      <w:r w:rsidR="008D0A18">
        <w:rPr>
          <w:rFonts w:cs="Arial"/>
          <w:b/>
        </w:rPr>
        <w:t>7</w:t>
      </w:r>
      <w:r w:rsidR="00D968CA">
        <w:rPr>
          <w:rFonts w:cs="Arial"/>
          <w:b/>
        </w:rPr>
        <w:t xml:space="preserve"> </w:t>
      </w:r>
      <w:r w:rsidRPr="00FD4743">
        <w:rPr>
          <w:rFonts w:cs="Arial"/>
        </w:rPr>
        <w:t>werden im Datenformat IMBNOT</w:t>
      </w:r>
      <w:r w:rsidR="005D331C">
        <w:rPr>
          <w:rFonts w:cs="Arial"/>
        </w:rPr>
        <w:t xml:space="preserve"> oder</w:t>
      </w:r>
      <w:r w:rsidRPr="00FD4743">
        <w:rPr>
          <w:rFonts w:cs="Arial"/>
        </w:rPr>
        <w:t xml:space="preserve"> TRANOT vom MGV an den BKV übermittelt. Mit der Bezeichnung „</w:t>
      </w:r>
      <w:r w:rsidRPr="00FD4743">
        <w:rPr>
          <w:b/>
        </w:rPr>
        <w:t>über</w:t>
      </w:r>
      <w:r w:rsidRPr="00FD4743">
        <w:rPr>
          <w:rFonts w:cs="Arial"/>
        </w:rPr>
        <w:t xml:space="preserve">“ werden Zeitreihen beschrieben, die von einem BK auf einen übergeordneten BK übertragen werden. In dieser Mitteilung sind der abgebende und </w:t>
      </w:r>
      <w:r w:rsidR="00AB6E2A">
        <w:rPr>
          <w:rFonts w:cs="Arial"/>
        </w:rPr>
        <w:t xml:space="preserve">der </w:t>
      </w:r>
      <w:r w:rsidRPr="00FD4743">
        <w:rPr>
          <w:rFonts w:cs="Arial"/>
        </w:rPr>
        <w:t>aufnehmende BK benannt.</w:t>
      </w:r>
      <w:r w:rsidR="003D0044">
        <w:rPr>
          <w:rFonts w:cs="Arial"/>
        </w:rPr>
        <w:t xml:space="preserve"> Diese ZRT erhalten BK, sofern sie mit einem UBK verbunden sind.</w:t>
      </w:r>
      <w:r w:rsidRPr="00FD4743">
        <w:rPr>
          <w:rFonts w:cs="Arial"/>
        </w:rPr>
        <w:t xml:space="preserve"> Mit der Bezeichnung „</w:t>
      </w:r>
      <w:r w:rsidRPr="00FD4743">
        <w:rPr>
          <w:b/>
        </w:rPr>
        <w:t>nach</w:t>
      </w:r>
      <w:r w:rsidRPr="00FD4743">
        <w:rPr>
          <w:rFonts w:cs="Arial"/>
        </w:rPr>
        <w:t xml:space="preserve">“ werden Zeitreihen bezeichnet, die in einem BK als Summe aus den Salden des BK zzgl. der übertragenen Zeitreihen gebildet werden. </w:t>
      </w:r>
      <w:r w:rsidR="003D0044">
        <w:rPr>
          <w:rFonts w:cs="Arial"/>
        </w:rPr>
        <w:t>Diese ZRT erhalten BK, sofern sie mit einem UBK verbunden sind.</w:t>
      </w:r>
    </w:p>
    <w:p w14:paraId="2781E243" w14:textId="69EF32FE" w:rsidR="00DF612D" w:rsidRPr="00CF74F0" w:rsidRDefault="008D0A18" w:rsidP="003C2438">
      <w:pPr>
        <w:spacing w:before="240"/>
        <w:rPr>
          <w:rFonts w:cs="Arial"/>
        </w:rPr>
      </w:pPr>
      <w:r>
        <w:rPr>
          <w:rFonts w:cs="Arial"/>
          <w:b/>
        </w:rPr>
        <w:t>16</w:t>
      </w:r>
      <w:r w:rsidR="00DF612D" w:rsidRPr="00FD4743">
        <w:rPr>
          <w:rFonts w:cs="Arial"/>
          <w:b/>
        </w:rPr>
        <w:t>. Zeitreihentyp „BKSALD“:</w:t>
      </w:r>
      <w:r w:rsidR="00DF612D" w:rsidRPr="00FD4743">
        <w:rPr>
          <w:rFonts w:cs="Arial"/>
        </w:rPr>
        <w:t xml:space="preserve"> Saldozeitreihe des </w:t>
      </w:r>
      <w:r w:rsidR="00E93F8E" w:rsidRPr="00FD4743">
        <w:rPr>
          <w:rFonts w:cs="Arial"/>
        </w:rPr>
        <w:t>BK</w:t>
      </w:r>
      <w:r w:rsidR="00F804E0" w:rsidRPr="00FD4743">
        <w:rPr>
          <w:rFonts w:cs="Arial"/>
        </w:rPr>
        <w:t xml:space="preserve">, unter Berücksichtigung der RLM-Allokationen </w:t>
      </w:r>
      <w:r w:rsidR="00342485">
        <w:rPr>
          <w:rFonts w:cs="Arial"/>
        </w:rPr>
        <w:t xml:space="preserve">umgewertet </w:t>
      </w:r>
      <w:r w:rsidR="00F804E0" w:rsidRPr="00FD4743">
        <w:rPr>
          <w:rFonts w:cs="Arial"/>
        </w:rPr>
        <w:t>mit Bilanzierungsbrennwert</w:t>
      </w:r>
      <w:r w:rsidR="00DF612D" w:rsidRPr="00FD4743">
        <w:rPr>
          <w:rFonts w:cs="Arial"/>
        </w:rPr>
        <w:t xml:space="preserve">. </w:t>
      </w:r>
      <w:r w:rsidR="003D0FB5" w:rsidRPr="00FD4743">
        <w:rPr>
          <w:rFonts w:cs="Arial"/>
        </w:rPr>
        <w:t xml:space="preserve">Der </w:t>
      </w:r>
      <w:r w:rsidR="0031234B" w:rsidRPr="00FD4743">
        <w:rPr>
          <w:rFonts w:cs="Arial"/>
        </w:rPr>
        <w:t>Versand erfolgt im Format IMBNOT als Zeitreihe mit Stundenwerten, die jeweils positiv oder negativ sein können.</w:t>
      </w:r>
    </w:p>
    <w:p w14:paraId="3CD1DFD5" w14:textId="18841CCF" w:rsidR="004637D5" w:rsidRDefault="008D0A18" w:rsidP="003C2438">
      <w:pPr>
        <w:spacing w:before="240"/>
        <w:rPr>
          <w:rFonts w:cs="Arial"/>
        </w:rPr>
      </w:pPr>
      <w:r>
        <w:rPr>
          <w:rFonts w:cs="Arial"/>
          <w:b/>
        </w:rPr>
        <w:t>17</w:t>
      </w:r>
      <w:r w:rsidR="00DF612D" w:rsidRPr="00FD4743">
        <w:rPr>
          <w:rFonts w:cs="Arial"/>
          <w:b/>
        </w:rPr>
        <w:t>. Zeitreihentyp „</w:t>
      </w:r>
      <w:proofErr w:type="spellStart"/>
      <w:r w:rsidR="00DF612D" w:rsidRPr="00FD4743">
        <w:rPr>
          <w:rFonts w:cs="Arial"/>
          <w:b/>
        </w:rPr>
        <w:t>BKSALDüber</w:t>
      </w:r>
      <w:proofErr w:type="spellEnd"/>
      <w:r w:rsidR="00DF612D" w:rsidRPr="00FD4743">
        <w:rPr>
          <w:rFonts w:cs="Arial"/>
          <w:b/>
        </w:rPr>
        <w:t>“:</w:t>
      </w:r>
      <w:r w:rsidR="00DF612D" w:rsidRPr="00FD4743">
        <w:rPr>
          <w:rFonts w:cs="Arial"/>
        </w:rPr>
        <w:t xml:space="preserve"> Übertragung </w:t>
      </w:r>
      <w:r w:rsidR="00F804E0" w:rsidRPr="00FD4743">
        <w:rPr>
          <w:rFonts w:cs="Arial"/>
        </w:rPr>
        <w:t>des</w:t>
      </w:r>
      <w:r w:rsidR="0084755D" w:rsidRPr="00FD4743">
        <w:rPr>
          <w:rFonts w:cs="Arial"/>
        </w:rPr>
        <w:t xml:space="preserve"> </w:t>
      </w:r>
      <w:r w:rsidR="00B72105" w:rsidRPr="00FD4743">
        <w:rPr>
          <w:rFonts w:cs="Arial"/>
        </w:rPr>
        <w:t>„</w:t>
      </w:r>
      <w:r w:rsidR="00DF612D" w:rsidRPr="00FD4743">
        <w:rPr>
          <w:rFonts w:cs="Arial"/>
        </w:rPr>
        <w:t>BKSALD</w:t>
      </w:r>
      <w:r w:rsidR="00B72105" w:rsidRPr="00FD4743">
        <w:rPr>
          <w:rFonts w:cs="Arial"/>
        </w:rPr>
        <w:t>“</w:t>
      </w:r>
      <w:r w:rsidR="00DF612D" w:rsidRPr="00FD4743">
        <w:rPr>
          <w:rFonts w:cs="Arial"/>
        </w:rPr>
        <w:t xml:space="preserve"> eines UBK, inkl. der aus weiter darunterliegenden UBK bereits übertragenen </w:t>
      </w:r>
      <w:r w:rsidR="00B72105" w:rsidRPr="00FD4743">
        <w:rPr>
          <w:rFonts w:cs="Arial"/>
        </w:rPr>
        <w:t>„</w:t>
      </w:r>
      <w:proofErr w:type="spellStart"/>
      <w:r w:rsidR="00DF612D" w:rsidRPr="00FD4743">
        <w:rPr>
          <w:rFonts w:cs="Arial"/>
        </w:rPr>
        <w:t>BKSALDüber</w:t>
      </w:r>
      <w:proofErr w:type="spellEnd"/>
      <w:r w:rsidR="00B72105" w:rsidRPr="00FD4743">
        <w:rPr>
          <w:rFonts w:cs="Arial"/>
        </w:rPr>
        <w:t>“</w:t>
      </w:r>
      <w:r w:rsidR="00DF612D" w:rsidRPr="00FD4743">
        <w:rPr>
          <w:rFonts w:cs="Arial"/>
        </w:rPr>
        <w:t xml:space="preserve"> an einen </w:t>
      </w:r>
      <w:r w:rsidR="00FA00F1">
        <w:rPr>
          <w:rFonts w:cs="Arial"/>
        </w:rPr>
        <w:t>übergeordneten</w:t>
      </w:r>
      <w:r w:rsidR="00FA00F1" w:rsidRPr="00FD4743">
        <w:rPr>
          <w:rFonts w:cs="Arial"/>
        </w:rPr>
        <w:t xml:space="preserve"> </w:t>
      </w:r>
      <w:r w:rsidR="00DF612D" w:rsidRPr="00FD4743">
        <w:rPr>
          <w:rFonts w:cs="Arial"/>
        </w:rPr>
        <w:t xml:space="preserve">BK. </w:t>
      </w:r>
      <w:r w:rsidR="003D0FB5" w:rsidRPr="00FD4743">
        <w:rPr>
          <w:rFonts w:cs="Arial"/>
        </w:rPr>
        <w:t xml:space="preserve">Der </w:t>
      </w:r>
      <w:r w:rsidR="00DF612D" w:rsidRPr="00FD4743">
        <w:rPr>
          <w:rFonts w:cs="Arial"/>
        </w:rPr>
        <w:t>Versand erfolgt im Format TRANOT als Zeitreihe mit Stundenwerten, die jeweils positiv oder negativ sein können.</w:t>
      </w:r>
    </w:p>
    <w:p w14:paraId="0FD3FE5F" w14:textId="1F51DF35" w:rsidR="00001297" w:rsidRDefault="008D0A18" w:rsidP="003C2438">
      <w:pPr>
        <w:spacing w:before="240"/>
        <w:rPr>
          <w:rFonts w:cs="Arial"/>
        </w:rPr>
      </w:pPr>
      <w:r>
        <w:rPr>
          <w:rFonts w:cs="Arial"/>
          <w:b/>
        </w:rPr>
        <w:t>18</w:t>
      </w:r>
      <w:r w:rsidR="00001297">
        <w:rPr>
          <w:rFonts w:cs="Arial"/>
          <w:b/>
        </w:rPr>
        <w:t>. Zeitreihentyp: „</w:t>
      </w:r>
      <w:proofErr w:type="spellStart"/>
      <w:r w:rsidR="00001297">
        <w:rPr>
          <w:rFonts w:cs="Arial"/>
          <w:b/>
        </w:rPr>
        <w:t>BK</w:t>
      </w:r>
      <w:r w:rsidR="00001297" w:rsidRPr="004E1736">
        <w:rPr>
          <w:rFonts w:cs="Arial"/>
          <w:b/>
        </w:rPr>
        <w:t>H</w:t>
      </w:r>
      <w:r w:rsidR="00001297">
        <w:rPr>
          <w:rFonts w:cs="Arial"/>
          <w:b/>
        </w:rPr>
        <w:t>SALDüber</w:t>
      </w:r>
      <w:proofErr w:type="spellEnd"/>
      <w:r w:rsidR="00001297">
        <w:rPr>
          <w:rFonts w:cs="Arial"/>
          <w:b/>
        </w:rPr>
        <w:t>“:</w:t>
      </w:r>
      <w:r w:rsidR="00001297">
        <w:rPr>
          <w:rFonts w:cs="Arial"/>
        </w:rPr>
        <w:t xml:space="preserve"> Übertragung des „BKHSALD“ eines UBK, inkl. der aus weiter darunterliegenden UBK bereits übertragenen „</w:t>
      </w:r>
      <w:proofErr w:type="spellStart"/>
      <w:r w:rsidR="00001297">
        <w:rPr>
          <w:rFonts w:cs="Arial"/>
        </w:rPr>
        <w:t>BKHSALDüber</w:t>
      </w:r>
      <w:proofErr w:type="spellEnd"/>
      <w:r w:rsidR="00001297">
        <w:rPr>
          <w:rFonts w:cs="Arial"/>
        </w:rPr>
        <w:t>“ an einen übergeordneten BK. Der Versand erfolgt im Format TRANOT als Zeitreihe mit Stundenwerten, die jeweils positiv oder negativ sein können.</w:t>
      </w:r>
    </w:p>
    <w:p w14:paraId="1529AED8" w14:textId="22ECBBF6" w:rsidR="00001297" w:rsidRDefault="008D0A18" w:rsidP="003C2438">
      <w:pPr>
        <w:spacing w:before="240"/>
        <w:rPr>
          <w:rFonts w:cs="Arial"/>
        </w:rPr>
      </w:pPr>
      <w:r>
        <w:rPr>
          <w:rFonts w:cs="Arial"/>
          <w:b/>
        </w:rPr>
        <w:t>19</w:t>
      </w:r>
      <w:r w:rsidR="00001297">
        <w:rPr>
          <w:rFonts w:cs="Arial"/>
          <w:b/>
        </w:rPr>
        <w:t xml:space="preserve">. </w:t>
      </w:r>
      <w:r w:rsidR="00001297" w:rsidRPr="00FD4743">
        <w:rPr>
          <w:rFonts w:cs="Arial"/>
          <w:b/>
        </w:rPr>
        <w:t>Zeitreihentyp „</w:t>
      </w:r>
      <w:proofErr w:type="spellStart"/>
      <w:r w:rsidR="00001297" w:rsidRPr="00FD4743">
        <w:rPr>
          <w:rFonts w:cs="Arial"/>
          <w:b/>
        </w:rPr>
        <w:t>BK</w:t>
      </w:r>
      <w:r w:rsidR="00001297" w:rsidRPr="00126C81">
        <w:rPr>
          <w:rFonts w:cs="Arial"/>
          <w:b/>
        </w:rPr>
        <w:t>L</w:t>
      </w:r>
      <w:r w:rsidR="00001297" w:rsidRPr="00FD4743">
        <w:rPr>
          <w:rFonts w:cs="Arial"/>
          <w:b/>
        </w:rPr>
        <w:t>SALDüber</w:t>
      </w:r>
      <w:proofErr w:type="spellEnd"/>
      <w:r w:rsidR="00001297" w:rsidRPr="00FD4743">
        <w:rPr>
          <w:rFonts w:cs="Arial"/>
          <w:b/>
        </w:rPr>
        <w:t>“:</w:t>
      </w:r>
      <w:r w:rsidR="00001297" w:rsidRPr="00FD4743">
        <w:rPr>
          <w:rFonts w:cs="Arial"/>
        </w:rPr>
        <w:t xml:space="preserve"> Übertragung des „BK</w:t>
      </w:r>
      <w:r w:rsidR="00001297">
        <w:rPr>
          <w:rFonts w:cs="Arial"/>
        </w:rPr>
        <w:t>L</w:t>
      </w:r>
      <w:r w:rsidR="00001297" w:rsidRPr="00FD4743">
        <w:rPr>
          <w:rFonts w:cs="Arial"/>
        </w:rPr>
        <w:t>SALD“ eines UBK, inkl. der aus weiter darunterliegenden UBK bereits übertragenen „</w:t>
      </w:r>
      <w:proofErr w:type="spellStart"/>
      <w:r w:rsidR="00001297" w:rsidRPr="00FD4743">
        <w:rPr>
          <w:rFonts w:cs="Arial"/>
        </w:rPr>
        <w:t>BK</w:t>
      </w:r>
      <w:r w:rsidR="00001297">
        <w:rPr>
          <w:rFonts w:cs="Arial"/>
        </w:rPr>
        <w:t>L</w:t>
      </w:r>
      <w:r w:rsidR="00001297" w:rsidRPr="00FD4743">
        <w:rPr>
          <w:rFonts w:cs="Arial"/>
        </w:rPr>
        <w:t>SALDüber</w:t>
      </w:r>
      <w:proofErr w:type="spellEnd"/>
      <w:r w:rsidR="00001297" w:rsidRPr="00FD4743">
        <w:rPr>
          <w:rFonts w:cs="Arial"/>
        </w:rPr>
        <w:t xml:space="preserve">“ an einen </w:t>
      </w:r>
      <w:r w:rsidR="00001297">
        <w:rPr>
          <w:rFonts w:cs="Arial"/>
        </w:rPr>
        <w:t>übergeordneten</w:t>
      </w:r>
      <w:r w:rsidR="00001297" w:rsidRPr="00FD4743">
        <w:rPr>
          <w:rFonts w:cs="Arial"/>
        </w:rPr>
        <w:t xml:space="preserve"> BK. Der Versand erfolgt im Format TRANOT als Zeitreihe mit Stundenwerten, die jeweils positiv oder negativ sein können.</w:t>
      </w:r>
    </w:p>
    <w:p w14:paraId="5A84D0C2" w14:textId="6EF39FAF" w:rsidR="00DF612D" w:rsidRPr="00ED7A66" w:rsidRDefault="008D0A18" w:rsidP="003C2438">
      <w:pPr>
        <w:spacing w:before="240"/>
        <w:rPr>
          <w:rFonts w:cs="Arial"/>
        </w:rPr>
      </w:pPr>
      <w:r>
        <w:rPr>
          <w:rFonts w:cs="Arial"/>
          <w:b/>
        </w:rPr>
        <w:t>20</w:t>
      </w:r>
      <w:r w:rsidR="00DF612D" w:rsidRPr="00FD4743">
        <w:rPr>
          <w:rFonts w:cs="Arial"/>
          <w:b/>
        </w:rPr>
        <w:t>. Zeitreihentyp „</w:t>
      </w:r>
      <w:proofErr w:type="spellStart"/>
      <w:r w:rsidR="00DF612D" w:rsidRPr="00FD4743">
        <w:rPr>
          <w:rFonts w:cs="Arial"/>
          <w:b/>
        </w:rPr>
        <w:t>BKSALDnach</w:t>
      </w:r>
      <w:proofErr w:type="spellEnd"/>
      <w:r w:rsidR="00DF612D" w:rsidRPr="00FD4743">
        <w:rPr>
          <w:rFonts w:cs="Arial"/>
          <w:b/>
        </w:rPr>
        <w:t>“:</w:t>
      </w:r>
      <w:r w:rsidR="00DF612D" w:rsidRPr="00FD4743">
        <w:rPr>
          <w:rFonts w:cs="Arial"/>
        </w:rPr>
        <w:t xml:space="preserve"> Saldozeitreihe des BK </w:t>
      </w:r>
      <w:r w:rsidR="001A777A" w:rsidRPr="00FD4743">
        <w:rPr>
          <w:rFonts w:cs="Arial"/>
        </w:rPr>
        <w:t>zur Ermittlung der Ausgleichsenergiemenge</w:t>
      </w:r>
      <w:r w:rsidR="00DF612D" w:rsidRPr="00FD4743">
        <w:rPr>
          <w:rFonts w:cs="Arial"/>
        </w:rPr>
        <w:t xml:space="preserve"> einschließlich der aus UBK übertragenen </w:t>
      </w:r>
      <w:r w:rsidR="00B72105" w:rsidRPr="00FD4743">
        <w:rPr>
          <w:rFonts w:cs="Arial"/>
        </w:rPr>
        <w:t>„</w:t>
      </w:r>
      <w:proofErr w:type="spellStart"/>
      <w:r w:rsidR="00DF612D" w:rsidRPr="00FD4743">
        <w:rPr>
          <w:rFonts w:cs="Arial"/>
        </w:rPr>
        <w:t>BKSALDüber</w:t>
      </w:r>
      <w:proofErr w:type="spellEnd"/>
      <w:r w:rsidR="00B72105" w:rsidRPr="00FD4743">
        <w:rPr>
          <w:rFonts w:cs="Arial"/>
        </w:rPr>
        <w:t>“</w:t>
      </w:r>
      <w:r w:rsidR="00DF612D" w:rsidRPr="00FD4743">
        <w:rPr>
          <w:rFonts w:cs="Arial"/>
        </w:rPr>
        <w:t xml:space="preserve">. </w:t>
      </w:r>
      <w:r w:rsidR="003D0FB5" w:rsidRPr="00FD4743">
        <w:rPr>
          <w:rFonts w:cs="Arial"/>
        </w:rPr>
        <w:t xml:space="preserve">Der </w:t>
      </w:r>
      <w:r w:rsidR="00DF612D" w:rsidRPr="00FD4743">
        <w:rPr>
          <w:rFonts w:cs="Arial"/>
        </w:rPr>
        <w:t>Versand erfolgt im Format IMBNOT als Zeitreihe mit Stundenwerten, die jeweils positiv oder negativ sein können.</w:t>
      </w:r>
    </w:p>
    <w:p w14:paraId="34498F46" w14:textId="1341FC2E" w:rsidR="0095092B" w:rsidRPr="00CF74F0" w:rsidRDefault="008D0A18" w:rsidP="003C2438">
      <w:pPr>
        <w:spacing w:before="240"/>
        <w:rPr>
          <w:rFonts w:cs="Arial"/>
        </w:rPr>
      </w:pPr>
      <w:r>
        <w:rPr>
          <w:rFonts w:cs="Arial"/>
          <w:b/>
        </w:rPr>
        <w:t>21</w:t>
      </w:r>
      <w:r w:rsidR="0095092B" w:rsidRPr="00FD4743">
        <w:rPr>
          <w:rFonts w:cs="Arial"/>
          <w:b/>
        </w:rPr>
        <w:t>. Zeitreihentyp „</w:t>
      </w:r>
      <w:r w:rsidR="0095092B">
        <w:rPr>
          <w:b/>
          <w:bCs/>
        </w:rPr>
        <w:t>BKSALDABR</w:t>
      </w:r>
      <w:r w:rsidR="0095092B" w:rsidRPr="00FD4743">
        <w:rPr>
          <w:rFonts w:cs="Arial"/>
          <w:b/>
        </w:rPr>
        <w:t>“:</w:t>
      </w:r>
      <w:r w:rsidR="0095092B" w:rsidRPr="00FD4743">
        <w:rPr>
          <w:rFonts w:cs="Arial"/>
        </w:rPr>
        <w:t xml:space="preserve"> Saldozeitreihe des BK </w:t>
      </w:r>
      <w:r w:rsidR="0095092B">
        <w:rPr>
          <w:rFonts w:cs="Arial"/>
        </w:rPr>
        <w:t>der endgültig zugeordneten Mengen</w:t>
      </w:r>
      <w:r w:rsidR="0095092B" w:rsidRPr="00FD4743">
        <w:rPr>
          <w:rFonts w:cs="Arial"/>
        </w:rPr>
        <w:t xml:space="preserve"> unter Berücksichtigung der RLM-Allokationen </w:t>
      </w:r>
      <w:r w:rsidR="0095092B">
        <w:rPr>
          <w:rFonts w:cs="Arial"/>
        </w:rPr>
        <w:t xml:space="preserve">umgewertet </w:t>
      </w:r>
      <w:r w:rsidR="0095092B" w:rsidRPr="00FD4743">
        <w:rPr>
          <w:rFonts w:cs="Arial"/>
        </w:rPr>
        <w:t xml:space="preserve">mit </w:t>
      </w:r>
      <w:r w:rsidR="00FA00F1">
        <w:rPr>
          <w:rFonts w:cs="Arial"/>
        </w:rPr>
        <w:lastRenderedPageBreak/>
        <w:t>A</w:t>
      </w:r>
      <w:r w:rsidR="0095092B">
        <w:rPr>
          <w:rFonts w:cs="Arial"/>
        </w:rPr>
        <w:t>brechnung</w:t>
      </w:r>
      <w:r w:rsidR="0095092B" w:rsidRPr="00FD4743">
        <w:rPr>
          <w:rFonts w:cs="Arial"/>
        </w:rPr>
        <w:t>sbrenn</w:t>
      </w:r>
      <w:r w:rsidR="000C024D">
        <w:rPr>
          <w:rFonts w:cs="Arial"/>
        </w:rPr>
        <w:t>wert.</w:t>
      </w:r>
      <w:r w:rsidR="00D968CA" w:rsidRPr="00D968CA">
        <w:rPr>
          <w:rFonts w:cs="Arial"/>
        </w:rPr>
        <w:t xml:space="preserve"> </w:t>
      </w:r>
      <w:r w:rsidR="00D968CA" w:rsidRPr="00FD4743">
        <w:rPr>
          <w:rFonts w:cs="Arial"/>
        </w:rPr>
        <w:t>Der Versand erfolgt im Format IMBNOT als Zeitreihe mit Stundenwerten, die jeweils positiv oder negativ sein können.</w:t>
      </w:r>
    </w:p>
    <w:p w14:paraId="050A4062" w14:textId="65743113" w:rsidR="0095092B" w:rsidRPr="00FD4743" w:rsidRDefault="008D0A18" w:rsidP="003C2438">
      <w:pPr>
        <w:spacing w:before="240"/>
        <w:rPr>
          <w:rFonts w:cs="Arial"/>
        </w:rPr>
      </w:pPr>
      <w:r>
        <w:rPr>
          <w:rFonts w:cs="Arial"/>
          <w:b/>
        </w:rPr>
        <w:t>22</w:t>
      </w:r>
      <w:r w:rsidR="0095092B" w:rsidRPr="00FD4743">
        <w:rPr>
          <w:rFonts w:cs="Arial"/>
          <w:b/>
        </w:rPr>
        <w:t>. Zeitreihentyp „</w:t>
      </w:r>
      <w:proofErr w:type="spellStart"/>
      <w:r w:rsidR="0095092B">
        <w:rPr>
          <w:b/>
          <w:bCs/>
        </w:rPr>
        <w:t>BKSALDABR</w:t>
      </w:r>
      <w:r w:rsidR="0095092B" w:rsidRPr="00FD4743">
        <w:rPr>
          <w:rFonts w:cs="Arial"/>
          <w:b/>
        </w:rPr>
        <w:t>über</w:t>
      </w:r>
      <w:proofErr w:type="spellEnd"/>
      <w:r w:rsidR="0095092B" w:rsidRPr="00FD4743">
        <w:rPr>
          <w:rFonts w:cs="Arial"/>
          <w:b/>
        </w:rPr>
        <w:t>“:</w:t>
      </w:r>
      <w:r w:rsidR="0095092B" w:rsidRPr="00FD4743">
        <w:rPr>
          <w:rFonts w:cs="Arial"/>
        </w:rPr>
        <w:t xml:space="preserve"> Übertragung des „</w:t>
      </w:r>
      <w:r w:rsidR="0095092B" w:rsidRPr="0095092B">
        <w:rPr>
          <w:rFonts w:cs="Arial"/>
        </w:rPr>
        <w:t>BKSALDABR</w:t>
      </w:r>
      <w:r w:rsidR="0095092B" w:rsidRPr="00FD4743">
        <w:rPr>
          <w:rFonts w:cs="Arial"/>
        </w:rPr>
        <w:t>“ eines UBK</w:t>
      </w:r>
      <w:r w:rsidR="00C567A1">
        <w:rPr>
          <w:rFonts w:cs="Arial"/>
        </w:rPr>
        <w:t>, inkl.</w:t>
      </w:r>
      <w:r w:rsidR="00BB17D9" w:rsidRPr="00FD4743" w:rsidDel="00BB17D9">
        <w:rPr>
          <w:rFonts w:cs="Arial"/>
        </w:rPr>
        <w:t xml:space="preserve"> </w:t>
      </w:r>
      <w:r w:rsidR="0095092B" w:rsidRPr="00FD4743">
        <w:rPr>
          <w:rFonts w:cs="Arial"/>
        </w:rPr>
        <w:t>der aus weiter darunterliegenden UBK bereits übertragenen „</w:t>
      </w:r>
      <w:proofErr w:type="spellStart"/>
      <w:r w:rsidR="0095092B" w:rsidRPr="0095092B">
        <w:rPr>
          <w:rFonts w:cs="Arial"/>
        </w:rPr>
        <w:t>BKSALDABR</w:t>
      </w:r>
      <w:r w:rsidR="0095092B" w:rsidRPr="00FD4743">
        <w:rPr>
          <w:rFonts w:cs="Arial"/>
        </w:rPr>
        <w:t>über</w:t>
      </w:r>
      <w:proofErr w:type="spellEnd"/>
      <w:r w:rsidR="0095092B" w:rsidRPr="00FD4743">
        <w:rPr>
          <w:rFonts w:cs="Arial"/>
        </w:rPr>
        <w:t>“ an</w:t>
      </w:r>
      <w:r w:rsidR="000C024D">
        <w:rPr>
          <w:rFonts w:cs="Arial"/>
        </w:rPr>
        <w:t xml:space="preserve"> einen </w:t>
      </w:r>
      <w:r w:rsidR="00FA00F1">
        <w:rPr>
          <w:rFonts w:cs="Arial"/>
        </w:rPr>
        <w:t>übergeordneten</w:t>
      </w:r>
      <w:r w:rsidR="000C024D">
        <w:rPr>
          <w:rFonts w:cs="Arial"/>
        </w:rPr>
        <w:t xml:space="preserve"> BK.</w:t>
      </w:r>
      <w:r w:rsidR="00D968CA" w:rsidRPr="00D968CA">
        <w:rPr>
          <w:rFonts w:cs="Arial"/>
        </w:rPr>
        <w:t xml:space="preserve"> </w:t>
      </w:r>
      <w:r w:rsidR="00D968CA" w:rsidRPr="00FD4743">
        <w:rPr>
          <w:rFonts w:cs="Arial"/>
        </w:rPr>
        <w:t xml:space="preserve">Der Versand erfolgt im Format </w:t>
      </w:r>
      <w:r w:rsidR="00D968CA">
        <w:rPr>
          <w:rFonts w:cs="Arial"/>
        </w:rPr>
        <w:t>TRANOT</w:t>
      </w:r>
      <w:r w:rsidR="00D968CA" w:rsidRPr="00FD4743">
        <w:rPr>
          <w:rFonts w:cs="Arial"/>
        </w:rPr>
        <w:t xml:space="preserve"> als Zeitreihe mit Stundenwerten, die jeweils positiv oder negativ sein können.</w:t>
      </w:r>
    </w:p>
    <w:p w14:paraId="75549BCE" w14:textId="358B80DE" w:rsidR="000C024D" w:rsidRDefault="008D0A18" w:rsidP="003C2438">
      <w:pPr>
        <w:spacing w:before="240"/>
        <w:rPr>
          <w:rFonts w:cs="Arial"/>
        </w:rPr>
      </w:pPr>
      <w:r>
        <w:rPr>
          <w:rFonts w:cs="Arial"/>
          <w:b/>
        </w:rPr>
        <w:t>23</w:t>
      </w:r>
      <w:r w:rsidR="0095092B" w:rsidRPr="00FD4743">
        <w:rPr>
          <w:rFonts w:cs="Arial"/>
          <w:b/>
        </w:rPr>
        <w:t>. Zeitreihentyp „</w:t>
      </w:r>
      <w:proofErr w:type="spellStart"/>
      <w:r w:rsidR="0095092B">
        <w:rPr>
          <w:b/>
          <w:bCs/>
        </w:rPr>
        <w:t>BKSALDABR</w:t>
      </w:r>
      <w:r w:rsidR="0095092B" w:rsidRPr="00FD4743">
        <w:rPr>
          <w:rFonts w:cs="Arial"/>
          <w:b/>
        </w:rPr>
        <w:t>nach</w:t>
      </w:r>
      <w:proofErr w:type="spellEnd"/>
      <w:r w:rsidR="0095092B" w:rsidRPr="00FD4743">
        <w:rPr>
          <w:rFonts w:cs="Arial"/>
          <w:b/>
        </w:rPr>
        <w:t>“:</w:t>
      </w:r>
      <w:r w:rsidR="0095092B" w:rsidRPr="00FD4743">
        <w:rPr>
          <w:rFonts w:cs="Arial"/>
        </w:rPr>
        <w:t xml:space="preserve"> Saldozeitreihe des BK einschließlich der aus UBK übertragenen „</w:t>
      </w:r>
      <w:proofErr w:type="spellStart"/>
      <w:r w:rsidR="0095092B" w:rsidRPr="0095092B">
        <w:rPr>
          <w:rFonts w:cs="Arial"/>
        </w:rPr>
        <w:t>BKSALDABR</w:t>
      </w:r>
      <w:r w:rsidR="0095092B" w:rsidRPr="00FD4743">
        <w:rPr>
          <w:rFonts w:cs="Arial"/>
        </w:rPr>
        <w:t>über</w:t>
      </w:r>
      <w:proofErr w:type="spellEnd"/>
      <w:r w:rsidR="0095092B" w:rsidRPr="00FD4743">
        <w:rPr>
          <w:rFonts w:cs="Arial"/>
        </w:rPr>
        <w:t xml:space="preserve">“. </w:t>
      </w:r>
      <w:r w:rsidR="00D968CA" w:rsidRPr="00FD4743">
        <w:rPr>
          <w:rFonts w:cs="Arial"/>
        </w:rPr>
        <w:t>Der Versand erfolgt im Format IMBNOT als Zeitreihe mit Stundenwerten, die jeweils positiv oder negativ sein können.</w:t>
      </w:r>
    </w:p>
    <w:p w14:paraId="49EA347B" w14:textId="43DB8BC1" w:rsidR="00E53F0F" w:rsidRPr="00FD4743" w:rsidRDefault="008D0A18" w:rsidP="003C2438">
      <w:pPr>
        <w:spacing w:before="240"/>
        <w:rPr>
          <w:rFonts w:cs="Arial"/>
        </w:rPr>
      </w:pPr>
      <w:r>
        <w:rPr>
          <w:rFonts w:cs="Arial"/>
          <w:b/>
        </w:rPr>
        <w:t>24</w:t>
      </w:r>
      <w:r w:rsidR="00E53F0F">
        <w:rPr>
          <w:rFonts w:cs="Arial"/>
          <w:b/>
        </w:rPr>
        <w:t xml:space="preserve">. </w:t>
      </w:r>
      <w:r w:rsidR="00E53F0F" w:rsidRPr="00FD4743">
        <w:rPr>
          <w:rFonts w:cs="Arial"/>
          <w:b/>
        </w:rPr>
        <w:t>Zeitreihentyp „BKRLMDIF“:</w:t>
      </w:r>
      <w:r w:rsidR="00E53F0F" w:rsidRPr="00FD4743">
        <w:rPr>
          <w:rFonts w:cs="Arial"/>
        </w:rPr>
        <w:t xml:space="preserve"> </w:t>
      </w:r>
      <w:r w:rsidR="00E53F0F">
        <w:rPr>
          <w:rFonts w:cs="Arial"/>
        </w:rPr>
        <w:t xml:space="preserve">Zeitreihe der </w:t>
      </w:r>
      <w:r w:rsidR="00E53F0F" w:rsidRPr="00FD4743">
        <w:rPr>
          <w:rFonts w:cs="Arial"/>
        </w:rPr>
        <w:t>Differenz</w:t>
      </w:r>
      <w:r w:rsidR="00E53F0F">
        <w:rPr>
          <w:rFonts w:cs="Arial"/>
        </w:rPr>
        <w:t>menge</w:t>
      </w:r>
      <w:r w:rsidR="00E53F0F" w:rsidRPr="00FD4743">
        <w:rPr>
          <w:rFonts w:cs="Arial"/>
        </w:rPr>
        <w:t xml:space="preserve"> des BK zur Berücksichtigung der Brennwertdifferenz zwischen Bilanzierungs- und Abrechnungsbrennwert bei RLM </w:t>
      </w:r>
      <w:r w:rsidR="00533D2E" w:rsidRPr="00533D2E">
        <w:rPr>
          <w:rFonts w:cs="Arial"/>
        </w:rPr>
        <w:t>Ausspeisestellen</w:t>
      </w:r>
      <w:r w:rsidR="00E53F0F" w:rsidRPr="00FD4743">
        <w:rPr>
          <w:rFonts w:cs="Arial"/>
        </w:rPr>
        <w:t>.</w:t>
      </w:r>
      <w:r w:rsidR="00D376A0" w:rsidRPr="00D376A0">
        <w:rPr>
          <w:rFonts w:cs="Arial"/>
        </w:rPr>
        <w:t xml:space="preserve"> </w:t>
      </w:r>
      <w:r w:rsidR="00D376A0" w:rsidRPr="00FD4743">
        <w:rPr>
          <w:rFonts w:cs="Arial"/>
        </w:rPr>
        <w:t>Der Versand erfolgt im Format IMBNOT als Zeitreihe mit Stundenwerten, die jeweils positiv oder negativ sein können.</w:t>
      </w:r>
    </w:p>
    <w:p w14:paraId="38EC3C42" w14:textId="588D536A" w:rsidR="00E53F0F" w:rsidRPr="00FD4743" w:rsidRDefault="008D0A18" w:rsidP="003C2438">
      <w:pPr>
        <w:spacing w:before="240"/>
        <w:rPr>
          <w:rFonts w:cs="Arial"/>
        </w:rPr>
      </w:pPr>
      <w:r>
        <w:rPr>
          <w:rFonts w:cs="Arial"/>
          <w:b/>
        </w:rPr>
        <w:t>25</w:t>
      </w:r>
      <w:r w:rsidR="00E53F0F" w:rsidRPr="00FD4743">
        <w:rPr>
          <w:rFonts w:cs="Arial"/>
          <w:b/>
        </w:rPr>
        <w:t>. Zeitreihentyp „</w:t>
      </w:r>
      <w:proofErr w:type="spellStart"/>
      <w:r w:rsidR="00E53F0F" w:rsidRPr="00FD4743">
        <w:rPr>
          <w:rFonts w:cs="Arial"/>
          <w:b/>
        </w:rPr>
        <w:t>BKRLMDIFüber</w:t>
      </w:r>
      <w:proofErr w:type="spellEnd"/>
      <w:r w:rsidR="00E53F0F" w:rsidRPr="00FD4743">
        <w:rPr>
          <w:rFonts w:cs="Arial"/>
          <w:b/>
        </w:rPr>
        <w:t>“:</w:t>
      </w:r>
      <w:r w:rsidR="00E53F0F" w:rsidRPr="00FD4743">
        <w:rPr>
          <w:rFonts w:cs="Arial"/>
        </w:rPr>
        <w:t xml:space="preserve"> Übertragung </w:t>
      </w:r>
      <w:r w:rsidR="00E53F0F">
        <w:rPr>
          <w:rFonts w:cs="Arial"/>
        </w:rPr>
        <w:t>der</w:t>
      </w:r>
      <w:r w:rsidR="00E53F0F" w:rsidRPr="00FD4743">
        <w:rPr>
          <w:rFonts w:cs="Arial"/>
        </w:rPr>
        <w:t xml:space="preserve"> </w:t>
      </w:r>
      <w:r w:rsidR="00E53F0F">
        <w:rPr>
          <w:rFonts w:cs="Arial"/>
        </w:rPr>
        <w:t>Differenzmenge</w:t>
      </w:r>
      <w:r w:rsidR="00E53F0F" w:rsidRPr="00FD4743">
        <w:rPr>
          <w:rFonts w:cs="Arial"/>
        </w:rPr>
        <w:t xml:space="preserve"> „BKRLMDIF“ eines UBK</w:t>
      </w:r>
      <w:r w:rsidR="00C567A1">
        <w:rPr>
          <w:rFonts w:cs="Arial"/>
        </w:rPr>
        <w:t xml:space="preserve">, inkl. </w:t>
      </w:r>
      <w:r w:rsidR="00E53F0F" w:rsidRPr="00FD4743">
        <w:rPr>
          <w:rFonts w:cs="Arial"/>
        </w:rPr>
        <w:t>der aus weiter darunterliegenden UBK bereits übertragenen „</w:t>
      </w:r>
      <w:proofErr w:type="spellStart"/>
      <w:r w:rsidR="00E53F0F" w:rsidRPr="00FD4743">
        <w:rPr>
          <w:rFonts w:cs="Arial"/>
        </w:rPr>
        <w:t>BKRLMDIFüber</w:t>
      </w:r>
      <w:proofErr w:type="spellEnd"/>
      <w:r w:rsidR="00E53F0F" w:rsidRPr="00FD4743">
        <w:rPr>
          <w:rFonts w:cs="Arial"/>
        </w:rPr>
        <w:t xml:space="preserve">“ an einen </w:t>
      </w:r>
      <w:r w:rsidR="00E53F0F">
        <w:rPr>
          <w:rFonts w:cs="Arial"/>
        </w:rPr>
        <w:t>übergeordneten</w:t>
      </w:r>
      <w:r w:rsidR="00E53F0F" w:rsidRPr="00FD4743">
        <w:rPr>
          <w:rFonts w:cs="Arial"/>
        </w:rPr>
        <w:t xml:space="preserve"> BK.</w:t>
      </w:r>
      <w:r w:rsidR="00D376A0" w:rsidRPr="00D376A0">
        <w:rPr>
          <w:rFonts w:cs="Arial"/>
        </w:rPr>
        <w:t xml:space="preserve"> </w:t>
      </w:r>
      <w:r w:rsidR="00D376A0" w:rsidRPr="00FD4743">
        <w:rPr>
          <w:rFonts w:cs="Arial"/>
        </w:rPr>
        <w:t>D</w:t>
      </w:r>
      <w:r w:rsidR="00D376A0">
        <w:rPr>
          <w:rFonts w:cs="Arial"/>
        </w:rPr>
        <w:t>er Versand erfolgt im Format TRA</w:t>
      </w:r>
      <w:r w:rsidR="00D376A0" w:rsidRPr="00FD4743">
        <w:rPr>
          <w:rFonts w:cs="Arial"/>
        </w:rPr>
        <w:t>NOT als Zeitreihe mit Stundenwerten, die jeweils positiv oder negativ sein können.</w:t>
      </w:r>
    </w:p>
    <w:p w14:paraId="59D08731" w14:textId="40C5DD5A" w:rsidR="00E53F0F" w:rsidRDefault="008D0A18" w:rsidP="003C2438">
      <w:pPr>
        <w:spacing w:before="240"/>
        <w:rPr>
          <w:rFonts w:cs="Arial"/>
        </w:rPr>
      </w:pPr>
      <w:r>
        <w:rPr>
          <w:rFonts w:cs="Arial"/>
          <w:b/>
        </w:rPr>
        <w:t>26</w:t>
      </w:r>
      <w:r w:rsidR="00E53F0F" w:rsidRPr="00FD4743">
        <w:rPr>
          <w:rFonts w:cs="Arial"/>
          <w:b/>
        </w:rPr>
        <w:t>. Zeitreihentyp „</w:t>
      </w:r>
      <w:proofErr w:type="spellStart"/>
      <w:r w:rsidR="00E53F0F" w:rsidRPr="00FD4743">
        <w:rPr>
          <w:rFonts w:cs="Arial"/>
          <w:b/>
        </w:rPr>
        <w:t>BKRLMDIFnach</w:t>
      </w:r>
      <w:proofErr w:type="spellEnd"/>
      <w:r w:rsidR="00E53F0F" w:rsidRPr="00FD4743">
        <w:rPr>
          <w:rFonts w:cs="Arial"/>
          <w:b/>
        </w:rPr>
        <w:t>“:</w:t>
      </w:r>
      <w:r w:rsidR="00E53F0F" w:rsidRPr="00FD4743">
        <w:rPr>
          <w:rFonts w:cs="Arial"/>
        </w:rPr>
        <w:t xml:space="preserve"> </w:t>
      </w:r>
      <w:r w:rsidR="00E53F0F">
        <w:rPr>
          <w:rFonts w:cs="Arial"/>
        </w:rPr>
        <w:t xml:space="preserve">Zeitreihe der </w:t>
      </w:r>
      <w:r w:rsidR="00E53F0F" w:rsidRPr="00FD4743">
        <w:rPr>
          <w:rFonts w:cs="Arial"/>
        </w:rPr>
        <w:t>Differenz</w:t>
      </w:r>
      <w:r w:rsidR="00E53F0F">
        <w:rPr>
          <w:rFonts w:cs="Arial"/>
        </w:rPr>
        <w:t>menge</w:t>
      </w:r>
      <w:r w:rsidR="00E53F0F" w:rsidRPr="00FD4743">
        <w:rPr>
          <w:rFonts w:cs="Arial"/>
        </w:rPr>
        <w:t xml:space="preserve"> </w:t>
      </w:r>
      <w:r w:rsidR="00E53F0F">
        <w:rPr>
          <w:rFonts w:cs="Arial"/>
        </w:rPr>
        <w:t>eines</w:t>
      </w:r>
      <w:r w:rsidR="00E53F0F" w:rsidRPr="00FD4743">
        <w:rPr>
          <w:rFonts w:cs="Arial"/>
        </w:rPr>
        <w:t xml:space="preserve"> BK einschließlich der aus UBK übertragenen „</w:t>
      </w:r>
      <w:proofErr w:type="spellStart"/>
      <w:r w:rsidR="00E53F0F" w:rsidRPr="00FD4743">
        <w:rPr>
          <w:rFonts w:cs="Arial"/>
        </w:rPr>
        <w:t>BKRLMDIFüber</w:t>
      </w:r>
      <w:proofErr w:type="spellEnd"/>
      <w:r w:rsidR="00E53F0F" w:rsidRPr="00FD4743">
        <w:rPr>
          <w:rFonts w:cs="Arial"/>
        </w:rPr>
        <w:t>“.</w:t>
      </w:r>
      <w:r w:rsidR="00D376A0" w:rsidRPr="00D376A0">
        <w:rPr>
          <w:rFonts w:cs="Arial"/>
        </w:rPr>
        <w:t xml:space="preserve"> </w:t>
      </w:r>
      <w:r w:rsidR="00D376A0" w:rsidRPr="00FD4743">
        <w:rPr>
          <w:rFonts w:cs="Arial"/>
        </w:rPr>
        <w:t>Der Versand erfolgt im Format IMBNOT als Zeitreihe mit Stundenwerten, die jeweils positiv oder negativ sein können.</w:t>
      </w:r>
    </w:p>
    <w:p w14:paraId="2FDF4D20" w14:textId="01C9A95B" w:rsidR="00E53F0F" w:rsidRPr="001264ED" w:rsidRDefault="008D0A18" w:rsidP="003C2438">
      <w:pPr>
        <w:spacing w:before="240"/>
        <w:rPr>
          <w:rFonts w:cs="Arial"/>
        </w:rPr>
      </w:pPr>
      <w:r>
        <w:rPr>
          <w:rFonts w:cs="Arial"/>
          <w:b/>
        </w:rPr>
        <w:t>27</w:t>
      </w:r>
      <w:r w:rsidR="00DF612D" w:rsidRPr="00FD4743">
        <w:rPr>
          <w:rFonts w:cs="Arial"/>
          <w:b/>
        </w:rPr>
        <w:t xml:space="preserve">. </w:t>
      </w:r>
      <w:r w:rsidR="00E53F0F" w:rsidRPr="00FD4743">
        <w:rPr>
          <w:rFonts w:cs="Arial"/>
          <w:b/>
        </w:rPr>
        <w:t>Zeitreihentyp „BKKUM“:</w:t>
      </w:r>
      <w:r w:rsidR="00E53F0F" w:rsidRPr="00FD4743">
        <w:rPr>
          <w:rFonts w:cs="Arial"/>
        </w:rPr>
        <w:t xml:space="preserve"> Kumulierte Stundensalden des Bilanzkreises. Für jede Stunde innerhalb des </w:t>
      </w:r>
      <w:proofErr w:type="spellStart"/>
      <w:r w:rsidR="00E53F0F" w:rsidRPr="00FD4743">
        <w:rPr>
          <w:rFonts w:cs="Arial"/>
        </w:rPr>
        <w:t>Gastages</w:t>
      </w:r>
      <w:proofErr w:type="spellEnd"/>
      <w:r w:rsidR="00E53F0F" w:rsidRPr="00FD4743">
        <w:rPr>
          <w:rFonts w:cs="Arial"/>
        </w:rPr>
        <w:t xml:space="preserve"> werden die in dieser Stunde bilanzrelevanten Einspeisungen in den </w:t>
      </w:r>
      <w:r w:rsidR="00C567A1">
        <w:rPr>
          <w:rFonts w:cs="Arial"/>
        </w:rPr>
        <w:t>Bilanzkreis</w:t>
      </w:r>
      <w:r w:rsidR="00E53F0F" w:rsidRPr="00FD4743">
        <w:rPr>
          <w:rFonts w:cs="Arial"/>
        </w:rPr>
        <w:t xml:space="preserve"> mit den bilanzrelevanten Ausspeisungen aus dem </w:t>
      </w:r>
      <w:r w:rsidR="00C567A1">
        <w:rPr>
          <w:rFonts w:cs="Arial"/>
        </w:rPr>
        <w:t>Bilanzkreis</w:t>
      </w:r>
      <w:r w:rsidR="00E53F0F" w:rsidRPr="00FD4743">
        <w:rPr>
          <w:rFonts w:cs="Arial"/>
        </w:rPr>
        <w:t xml:space="preserve">, </w:t>
      </w:r>
      <w:r w:rsidR="00D376A0" w:rsidRPr="00FD4743">
        <w:rPr>
          <w:rFonts w:cs="Arial"/>
        </w:rPr>
        <w:t xml:space="preserve">unter Berücksichtigung der RLM-Allokationen </w:t>
      </w:r>
      <w:r w:rsidR="00D376A0">
        <w:rPr>
          <w:rFonts w:cs="Arial"/>
        </w:rPr>
        <w:t>umgewertet mit Bilanzierungsbrennwert</w:t>
      </w:r>
      <w:r w:rsidR="00E53F0F" w:rsidRPr="00FD4743">
        <w:rPr>
          <w:rFonts w:cs="Arial"/>
        </w:rPr>
        <w:t xml:space="preserve">, saldiert. Die stündlichen Salden werden über den </w:t>
      </w:r>
      <w:proofErr w:type="spellStart"/>
      <w:r w:rsidR="00E53F0F" w:rsidRPr="00FD4743">
        <w:rPr>
          <w:rFonts w:cs="Arial"/>
        </w:rPr>
        <w:t>Gastag</w:t>
      </w:r>
      <w:proofErr w:type="spellEnd"/>
      <w:r w:rsidR="00E53F0F" w:rsidRPr="00FD4743">
        <w:rPr>
          <w:rFonts w:cs="Arial"/>
        </w:rPr>
        <w:t xml:space="preserve"> kumuliert.</w:t>
      </w:r>
      <w:r w:rsidR="00D376A0" w:rsidRPr="00D376A0">
        <w:rPr>
          <w:rFonts w:cs="Arial"/>
        </w:rPr>
        <w:t xml:space="preserve"> </w:t>
      </w:r>
      <w:r w:rsidR="00D376A0" w:rsidRPr="00FD4743">
        <w:rPr>
          <w:rFonts w:cs="Arial"/>
        </w:rPr>
        <w:t>Der Versand erfolgt im Format IMBNOT als Zeitreihe mit Stundenwerten, die jeweils positiv oder negativ sein können.</w:t>
      </w:r>
    </w:p>
    <w:p w14:paraId="249E94CD" w14:textId="3072AB80" w:rsidR="00E53F0F" w:rsidRPr="00FD4743" w:rsidRDefault="008D0A18" w:rsidP="003C2438">
      <w:pPr>
        <w:spacing w:before="240"/>
        <w:rPr>
          <w:rFonts w:cs="Arial"/>
        </w:rPr>
      </w:pPr>
      <w:r>
        <w:rPr>
          <w:rFonts w:cs="Arial"/>
          <w:b/>
        </w:rPr>
        <w:t>28</w:t>
      </w:r>
      <w:r w:rsidR="00E53F0F" w:rsidRPr="00FD4743">
        <w:rPr>
          <w:rFonts w:cs="Arial"/>
          <w:b/>
        </w:rPr>
        <w:t>. Zeitreihentyp „</w:t>
      </w:r>
      <w:proofErr w:type="spellStart"/>
      <w:r w:rsidR="00E53F0F" w:rsidRPr="00FD4743">
        <w:rPr>
          <w:rFonts w:cs="Arial"/>
          <w:b/>
        </w:rPr>
        <w:t>BKKUMüber</w:t>
      </w:r>
      <w:proofErr w:type="spellEnd"/>
      <w:r w:rsidR="00E53F0F" w:rsidRPr="00FD4743">
        <w:rPr>
          <w:rFonts w:cs="Arial"/>
          <w:b/>
        </w:rPr>
        <w:t>“:</w:t>
      </w:r>
      <w:r w:rsidR="00E53F0F" w:rsidRPr="00FD4743">
        <w:rPr>
          <w:rFonts w:cs="Arial"/>
        </w:rPr>
        <w:t xml:space="preserve"> Übertragung der kumulierten Stundensalden „BKKUM“ eines UBK</w:t>
      </w:r>
      <w:r w:rsidR="00C567A1">
        <w:rPr>
          <w:rFonts w:cs="Arial"/>
        </w:rPr>
        <w:t>, inkl.</w:t>
      </w:r>
      <w:r w:rsidR="00E53F0F" w:rsidRPr="00FD4743">
        <w:rPr>
          <w:rFonts w:cs="Arial"/>
        </w:rPr>
        <w:t xml:space="preserve"> der aus weiter darunterliegenden UBK bereits übertragenen „</w:t>
      </w:r>
      <w:proofErr w:type="spellStart"/>
      <w:r w:rsidR="00E53F0F" w:rsidRPr="00FD4743">
        <w:rPr>
          <w:rFonts w:cs="Arial"/>
        </w:rPr>
        <w:t>BKKUMüber</w:t>
      </w:r>
      <w:proofErr w:type="spellEnd"/>
      <w:r w:rsidR="00E53F0F" w:rsidRPr="00FD4743">
        <w:rPr>
          <w:rFonts w:cs="Arial"/>
        </w:rPr>
        <w:t xml:space="preserve">“ an einen </w:t>
      </w:r>
      <w:r w:rsidR="00E53F0F">
        <w:rPr>
          <w:rFonts w:cs="Arial"/>
        </w:rPr>
        <w:t>übergeordneten</w:t>
      </w:r>
      <w:r w:rsidR="00E53F0F" w:rsidRPr="00FD4743">
        <w:rPr>
          <w:rFonts w:cs="Arial"/>
        </w:rPr>
        <w:t xml:space="preserve"> BK.</w:t>
      </w:r>
      <w:r w:rsidR="00D376A0" w:rsidRPr="00D376A0">
        <w:rPr>
          <w:rFonts w:cs="Arial"/>
        </w:rPr>
        <w:t xml:space="preserve"> </w:t>
      </w:r>
      <w:r w:rsidR="00D376A0" w:rsidRPr="00FD4743">
        <w:rPr>
          <w:rFonts w:cs="Arial"/>
        </w:rPr>
        <w:t xml:space="preserve">Der Versand erfolgt im Format </w:t>
      </w:r>
      <w:r w:rsidR="00D376A0">
        <w:rPr>
          <w:rFonts w:cs="Arial"/>
        </w:rPr>
        <w:t>TRANOT</w:t>
      </w:r>
      <w:r w:rsidR="00D376A0" w:rsidRPr="00FD4743">
        <w:rPr>
          <w:rFonts w:cs="Arial"/>
        </w:rPr>
        <w:t xml:space="preserve"> als Zeitreihe mit Stundenwerten, die jeweils positiv oder negativ sein können.</w:t>
      </w:r>
    </w:p>
    <w:p w14:paraId="72BF3D95" w14:textId="3A2A241F" w:rsidR="00E53F0F" w:rsidRDefault="008D0A18" w:rsidP="003C2438">
      <w:pPr>
        <w:spacing w:before="240"/>
        <w:rPr>
          <w:rFonts w:cs="Arial"/>
        </w:rPr>
      </w:pPr>
      <w:r>
        <w:rPr>
          <w:rFonts w:cs="Arial"/>
          <w:b/>
        </w:rPr>
        <w:t>29</w:t>
      </w:r>
      <w:r w:rsidR="00E53F0F" w:rsidRPr="00FD4743">
        <w:rPr>
          <w:rFonts w:cs="Arial"/>
          <w:b/>
        </w:rPr>
        <w:t>. Zeitreihentyp „</w:t>
      </w:r>
      <w:proofErr w:type="spellStart"/>
      <w:r w:rsidR="00E53F0F" w:rsidRPr="00FD4743">
        <w:rPr>
          <w:rFonts w:cs="Arial"/>
          <w:b/>
        </w:rPr>
        <w:t>BKKUMnach</w:t>
      </w:r>
      <w:proofErr w:type="spellEnd"/>
      <w:r w:rsidR="00E53F0F" w:rsidRPr="00FD4743">
        <w:rPr>
          <w:rFonts w:cs="Arial"/>
          <w:b/>
        </w:rPr>
        <w:t>“:</w:t>
      </w:r>
      <w:r w:rsidR="00E53F0F" w:rsidRPr="00FD4743">
        <w:rPr>
          <w:rFonts w:cs="Arial"/>
        </w:rPr>
        <w:t xml:space="preserve"> Kumulierte Stundensalden des </w:t>
      </w:r>
      <w:r w:rsidR="00BB17D9">
        <w:rPr>
          <w:rFonts w:cs="Arial"/>
        </w:rPr>
        <w:t>BK</w:t>
      </w:r>
      <w:r w:rsidR="00E53F0F" w:rsidRPr="00FD4743">
        <w:rPr>
          <w:rFonts w:cs="Arial"/>
        </w:rPr>
        <w:t xml:space="preserve"> einschließlich der aus UBK übertragenen „</w:t>
      </w:r>
      <w:proofErr w:type="spellStart"/>
      <w:r w:rsidR="00E53F0F" w:rsidRPr="00FD4743">
        <w:rPr>
          <w:rFonts w:cs="Arial"/>
        </w:rPr>
        <w:t>BKKUMüber</w:t>
      </w:r>
      <w:proofErr w:type="spellEnd"/>
      <w:r w:rsidR="00E53F0F" w:rsidRPr="00FD4743">
        <w:rPr>
          <w:rFonts w:cs="Arial"/>
        </w:rPr>
        <w:t>“.</w:t>
      </w:r>
      <w:r w:rsidR="00E53F0F" w:rsidRPr="00FD4743" w:rsidDel="000165C5">
        <w:rPr>
          <w:rFonts w:cs="Arial"/>
        </w:rPr>
        <w:t xml:space="preserve"> </w:t>
      </w:r>
      <w:r w:rsidR="00D376A0" w:rsidRPr="00FD4743">
        <w:rPr>
          <w:rFonts w:cs="Arial"/>
        </w:rPr>
        <w:t>Der Versand erfolgt im Format IMBNOT als Zeitreihe mit Stundenwerten, die jeweils positiv oder negativ sein können.</w:t>
      </w:r>
    </w:p>
    <w:p w14:paraId="2DAA776A" w14:textId="7DB882D6" w:rsidR="00DF612D" w:rsidRPr="00FD4743" w:rsidRDefault="008D0A18" w:rsidP="003C2438">
      <w:pPr>
        <w:spacing w:before="240"/>
        <w:rPr>
          <w:rFonts w:cs="Arial"/>
        </w:rPr>
      </w:pPr>
      <w:r>
        <w:rPr>
          <w:rFonts w:cs="Arial"/>
          <w:b/>
        </w:rPr>
        <w:lastRenderedPageBreak/>
        <w:t>30</w:t>
      </w:r>
      <w:r w:rsidR="00DF612D" w:rsidRPr="00FD4743">
        <w:rPr>
          <w:rFonts w:cs="Arial"/>
          <w:b/>
        </w:rPr>
        <w:t>. Zeitreihentyp „</w:t>
      </w:r>
      <w:r w:rsidR="006604DD" w:rsidRPr="00FD4743">
        <w:rPr>
          <w:rFonts w:cs="Arial"/>
          <w:b/>
        </w:rPr>
        <w:t>BKTOL</w:t>
      </w:r>
      <w:r w:rsidR="00DF612D" w:rsidRPr="00FD4743">
        <w:rPr>
          <w:rFonts w:cs="Arial"/>
          <w:b/>
        </w:rPr>
        <w:t>“:</w:t>
      </w:r>
      <w:r w:rsidR="00DF612D" w:rsidRPr="00FD4743">
        <w:rPr>
          <w:rFonts w:cs="Arial"/>
        </w:rPr>
        <w:t xml:space="preserve"> </w:t>
      </w:r>
      <w:r w:rsidR="00946643" w:rsidRPr="00FD4743">
        <w:rPr>
          <w:rFonts w:cs="Arial"/>
        </w:rPr>
        <w:t xml:space="preserve">Toleranzzeitreihe für untertägige Verpflichtungen, die auf Basis der stündlichen Allokationsdaten der Kundengruppen </w:t>
      </w:r>
      <w:proofErr w:type="spellStart"/>
      <w:r w:rsidR="00946643" w:rsidRPr="00FD4743">
        <w:rPr>
          <w:rFonts w:cs="Arial"/>
        </w:rPr>
        <w:t>RLMmT</w:t>
      </w:r>
      <w:proofErr w:type="spellEnd"/>
      <w:r w:rsidR="00946643" w:rsidRPr="00FD4743">
        <w:rPr>
          <w:rFonts w:cs="Arial"/>
        </w:rPr>
        <w:t xml:space="preserve"> (Zeitreihe als Tagesband) und </w:t>
      </w:r>
      <w:proofErr w:type="spellStart"/>
      <w:r w:rsidR="00946643" w:rsidRPr="00FD4743">
        <w:rPr>
          <w:rFonts w:cs="Arial"/>
        </w:rPr>
        <w:t>RLMoT</w:t>
      </w:r>
      <w:proofErr w:type="spellEnd"/>
      <w:r w:rsidR="00946643" w:rsidRPr="00FD4743">
        <w:rPr>
          <w:rFonts w:cs="Arial"/>
        </w:rPr>
        <w:t xml:space="preserve"> (strukturierte Zeitreihe) </w:t>
      </w:r>
      <w:r w:rsidR="00D376A0">
        <w:rPr>
          <w:rFonts w:cs="Arial"/>
        </w:rPr>
        <w:t>jeweils</w:t>
      </w:r>
      <w:r w:rsidR="00D376A0" w:rsidRPr="00FD4743">
        <w:rPr>
          <w:rFonts w:cs="Arial"/>
        </w:rPr>
        <w:t xml:space="preserve"> </w:t>
      </w:r>
      <w:r w:rsidR="001104CB">
        <w:rPr>
          <w:rFonts w:cs="Arial"/>
        </w:rPr>
        <w:t>umgewertet mit</w:t>
      </w:r>
      <w:r w:rsidR="007C3166" w:rsidRPr="00FD4743">
        <w:rPr>
          <w:rFonts w:cs="Arial"/>
        </w:rPr>
        <w:t xml:space="preserve"> Bilanzierungsbrennwert</w:t>
      </w:r>
      <w:r w:rsidR="002C4798" w:rsidRPr="00FD4743">
        <w:rPr>
          <w:rFonts w:cs="Arial"/>
        </w:rPr>
        <w:t xml:space="preserve"> </w:t>
      </w:r>
      <w:r w:rsidR="00946643" w:rsidRPr="00FD4743">
        <w:rPr>
          <w:rFonts w:cs="Arial"/>
        </w:rPr>
        <w:t>errechnet wird</w:t>
      </w:r>
      <w:r w:rsidR="00DF612D" w:rsidRPr="00FD4743">
        <w:rPr>
          <w:rFonts w:cs="Arial"/>
        </w:rPr>
        <w:t xml:space="preserve">. </w:t>
      </w:r>
      <w:r w:rsidR="007C3166" w:rsidRPr="00FD4743">
        <w:rPr>
          <w:rFonts w:cs="Arial"/>
        </w:rPr>
        <w:t xml:space="preserve">Der </w:t>
      </w:r>
      <w:r w:rsidR="00DF612D" w:rsidRPr="00FD4743">
        <w:rPr>
          <w:rFonts w:cs="Arial"/>
        </w:rPr>
        <w:t xml:space="preserve">Versand </w:t>
      </w:r>
      <w:r w:rsidR="00946643" w:rsidRPr="00FD4743">
        <w:rPr>
          <w:rFonts w:cs="Arial"/>
        </w:rPr>
        <w:t xml:space="preserve">erfolgt im Format </w:t>
      </w:r>
      <w:r w:rsidR="00DF612D" w:rsidRPr="00FD4743">
        <w:rPr>
          <w:rFonts w:cs="Arial"/>
        </w:rPr>
        <w:t xml:space="preserve">IMBNOT als Zeitreihe mit positiven </w:t>
      </w:r>
      <w:r w:rsidR="00D376A0">
        <w:rPr>
          <w:rFonts w:cs="Arial"/>
        </w:rPr>
        <w:t>Tageswerten</w:t>
      </w:r>
      <w:r w:rsidR="00DF612D" w:rsidRPr="00FD4743">
        <w:rPr>
          <w:rFonts w:cs="Arial"/>
        </w:rPr>
        <w:t>.</w:t>
      </w:r>
    </w:p>
    <w:p w14:paraId="7FB3E1C4" w14:textId="2A805A2F" w:rsidR="00DF612D" w:rsidRPr="00CF74F0" w:rsidRDefault="008D0A18" w:rsidP="003C2438">
      <w:pPr>
        <w:rPr>
          <w:rFonts w:cs="Arial"/>
        </w:rPr>
      </w:pPr>
      <w:r>
        <w:rPr>
          <w:rFonts w:cs="Arial"/>
          <w:b/>
        </w:rPr>
        <w:t>31</w:t>
      </w:r>
      <w:r w:rsidR="00DF612D" w:rsidRPr="00FD4743">
        <w:rPr>
          <w:rFonts w:cs="Arial"/>
          <w:b/>
        </w:rPr>
        <w:t>. Zeitreihentyp „</w:t>
      </w:r>
      <w:proofErr w:type="spellStart"/>
      <w:r w:rsidR="00F519C3" w:rsidRPr="00FD4743">
        <w:rPr>
          <w:rFonts w:cs="Arial"/>
          <w:b/>
        </w:rPr>
        <w:t>BKTOLüber</w:t>
      </w:r>
      <w:proofErr w:type="spellEnd"/>
      <w:r w:rsidR="00DF612D" w:rsidRPr="00FD4743">
        <w:rPr>
          <w:rFonts w:cs="Arial"/>
          <w:b/>
        </w:rPr>
        <w:t>“:</w:t>
      </w:r>
      <w:r w:rsidR="00DF612D" w:rsidRPr="00FD4743">
        <w:rPr>
          <w:rFonts w:cs="Arial"/>
        </w:rPr>
        <w:t xml:space="preserve"> </w:t>
      </w:r>
      <w:r w:rsidR="0067302B" w:rsidRPr="00FD4743">
        <w:rPr>
          <w:rFonts w:cs="Arial"/>
        </w:rPr>
        <w:t>Übertragung der Toleranzzeitreihe „BKTOL“ eines UBK</w:t>
      </w:r>
      <w:r w:rsidR="00170F4D" w:rsidRPr="00170F4D">
        <w:rPr>
          <w:rFonts w:cs="Arial"/>
        </w:rPr>
        <w:t xml:space="preserve"> </w:t>
      </w:r>
      <w:r w:rsidR="00170F4D" w:rsidRPr="00FD4743">
        <w:rPr>
          <w:rFonts w:cs="Arial"/>
        </w:rPr>
        <w:t>einschließlich</w:t>
      </w:r>
      <w:r w:rsidR="0067302B" w:rsidRPr="00FD4743">
        <w:rPr>
          <w:rFonts w:cs="Arial"/>
        </w:rPr>
        <w:t xml:space="preserve"> der aus weiter darunterliegenden UBK bereits übertragenen „</w:t>
      </w:r>
      <w:proofErr w:type="spellStart"/>
      <w:r w:rsidR="00F519C3" w:rsidRPr="00FD4743">
        <w:rPr>
          <w:rFonts w:cs="Arial"/>
        </w:rPr>
        <w:t>BKTOLüber</w:t>
      </w:r>
      <w:proofErr w:type="spellEnd"/>
      <w:r w:rsidR="0067302B" w:rsidRPr="00FD4743">
        <w:rPr>
          <w:rFonts w:cs="Arial"/>
        </w:rPr>
        <w:t xml:space="preserve">“ </w:t>
      </w:r>
      <w:r w:rsidR="000165C5">
        <w:rPr>
          <w:rFonts w:cs="Arial"/>
        </w:rPr>
        <w:t>an</w:t>
      </w:r>
      <w:r w:rsidR="000165C5" w:rsidRPr="00FD4743">
        <w:rPr>
          <w:rFonts w:cs="Arial"/>
        </w:rPr>
        <w:t xml:space="preserve"> </w:t>
      </w:r>
      <w:r w:rsidR="0067302B" w:rsidRPr="00FD4743">
        <w:rPr>
          <w:rFonts w:cs="Arial"/>
        </w:rPr>
        <w:t xml:space="preserve">einen </w:t>
      </w:r>
      <w:r w:rsidR="00AF0B28">
        <w:rPr>
          <w:rFonts w:cs="Arial"/>
        </w:rPr>
        <w:t xml:space="preserve">übergeordneten </w:t>
      </w:r>
      <w:r w:rsidR="0067302B" w:rsidRPr="00FD4743">
        <w:rPr>
          <w:rFonts w:cs="Arial"/>
        </w:rPr>
        <w:t>BK.</w:t>
      </w:r>
      <w:r w:rsidR="00170F4D">
        <w:rPr>
          <w:rFonts w:cs="Arial"/>
        </w:rPr>
        <w:t xml:space="preserve"> </w:t>
      </w:r>
      <w:r w:rsidR="003D0FB5" w:rsidRPr="00FD4743">
        <w:rPr>
          <w:rFonts w:cs="Arial"/>
        </w:rPr>
        <w:t xml:space="preserve">Der </w:t>
      </w:r>
      <w:r w:rsidR="0067302B" w:rsidRPr="00FD4743">
        <w:rPr>
          <w:rFonts w:cs="Arial"/>
        </w:rPr>
        <w:t xml:space="preserve">Versand </w:t>
      </w:r>
      <w:r w:rsidR="003D0FB5" w:rsidRPr="00FD4743">
        <w:rPr>
          <w:rFonts w:cs="Arial"/>
        </w:rPr>
        <w:t xml:space="preserve">erfolgt </w:t>
      </w:r>
      <w:r w:rsidR="0067302B" w:rsidRPr="00FD4743">
        <w:rPr>
          <w:rFonts w:cs="Arial"/>
        </w:rPr>
        <w:t xml:space="preserve">im Format TRANOT als Zeitreihe mit positiven </w:t>
      </w:r>
      <w:r w:rsidR="00D376A0">
        <w:rPr>
          <w:rFonts w:cs="Arial"/>
        </w:rPr>
        <w:t>Tageswerten</w:t>
      </w:r>
      <w:r w:rsidR="0067302B" w:rsidRPr="00FD4743">
        <w:rPr>
          <w:rFonts w:cs="Arial"/>
        </w:rPr>
        <w:t>.</w:t>
      </w:r>
    </w:p>
    <w:p w14:paraId="32E90840" w14:textId="19107C17" w:rsidR="00DF612D" w:rsidRPr="00CF74F0" w:rsidRDefault="008D0A18" w:rsidP="003C2438">
      <w:pPr>
        <w:spacing w:before="240"/>
        <w:rPr>
          <w:rFonts w:cs="Arial"/>
        </w:rPr>
      </w:pPr>
      <w:r>
        <w:rPr>
          <w:rFonts w:cs="Arial"/>
          <w:b/>
        </w:rPr>
        <w:t>32</w:t>
      </w:r>
      <w:r w:rsidR="00DF612D" w:rsidRPr="00FD4743">
        <w:rPr>
          <w:rFonts w:cs="Arial"/>
          <w:b/>
        </w:rPr>
        <w:t>. Zeitreihentyp „</w:t>
      </w:r>
      <w:proofErr w:type="spellStart"/>
      <w:r w:rsidR="006604DD" w:rsidRPr="00FD4743">
        <w:rPr>
          <w:rFonts w:cs="Arial"/>
          <w:b/>
        </w:rPr>
        <w:t>BKTOLnach</w:t>
      </w:r>
      <w:proofErr w:type="spellEnd"/>
      <w:r w:rsidR="00DF612D" w:rsidRPr="00FD4743">
        <w:rPr>
          <w:rFonts w:cs="Arial"/>
          <w:b/>
        </w:rPr>
        <w:t>“:</w:t>
      </w:r>
      <w:r w:rsidR="00DF612D" w:rsidRPr="00FD4743">
        <w:rPr>
          <w:rFonts w:cs="Arial"/>
        </w:rPr>
        <w:t xml:space="preserve"> </w:t>
      </w:r>
      <w:r w:rsidR="0067302B" w:rsidRPr="00FD4743">
        <w:rPr>
          <w:rFonts w:cs="Arial"/>
        </w:rPr>
        <w:t>Gesamttoleranzzeitreihe eines BK</w:t>
      </w:r>
      <w:r w:rsidR="00AF0B28">
        <w:rPr>
          <w:rFonts w:cs="Arial"/>
        </w:rPr>
        <w:t xml:space="preserve"> einschließlich</w:t>
      </w:r>
      <w:r w:rsidR="0067302B" w:rsidRPr="00FD4743">
        <w:rPr>
          <w:rFonts w:cs="Arial"/>
        </w:rPr>
        <w:t xml:space="preserve"> aus UBK übertragenen „</w:t>
      </w:r>
      <w:proofErr w:type="spellStart"/>
      <w:r w:rsidR="00F519C3" w:rsidRPr="00FD4743">
        <w:rPr>
          <w:rFonts w:cs="Arial"/>
        </w:rPr>
        <w:t>BKTOLüber</w:t>
      </w:r>
      <w:proofErr w:type="spellEnd"/>
      <w:r w:rsidR="0067302B" w:rsidRPr="00FD4743">
        <w:rPr>
          <w:rFonts w:cs="Arial"/>
        </w:rPr>
        <w:t xml:space="preserve">“. </w:t>
      </w:r>
      <w:r w:rsidR="003D0FB5" w:rsidRPr="00FD4743">
        <w:rPr>
          <w:rFonts w:cs="Arial"/>
        </w:rPr>
        <w:t xml:space="preserve">Der </w:t>
      </w:r>
      <w:r w:rsidR="0067302B" w:rsidRPr="00FD4743">
        <w:rPr>
          <w:rFonts w:cs="Arial"/>
        </w:rPr>
        <w:t>Versand</w:t>
      </w:r>
      <w:r w:rsidR="003D0FB5" w:rsidRPr="00FD4743">
        <w:rPr>
          <w:rFonts w:cs="Arial"/>
        </w:rPr>
        <w:t xml:space="preserve"> erfolgt</w:t>
      </w:r>
      <w:r w:rsidR="0067302B" w:rsidRPr="00FD4743">
        <w:rPr>
          <w:rFonts w:cs="Arial"/>
        </w:rPr>
        <w:t xml:space="preserve"> im Format IMBNOT als Zeitreihe mit positiven </w:t>
      </w:r>
      <w:r w:rsidR="00D376A0">
        <w:rPr>
          <w:rFonts w:cs="Arial"/>
        </w:rPr>
        <w:t>Tageswerten</w:t>
      </w:r>
      <w:r w:rsidR="0067302B" w:rsidRPr="00FD4743">
        <w:rPr>
          <w:rFonts w:cs="Arial"/>
        </w:rPr>
        <w:t>.</w:t>
      </w:r>
    </w:p>
    <w:p w14:paraId="30EE5665" w14:textId="28754EFB" w:rsidR="00980729" w:rsidRDefault="008D0A18" w:rsidP="003C2438">
      <w:pPr>
        <w:spacing w:before="240"/>
      </w:pPr>
      <w:r>
        <w:rPr>
          <w:rFonts w:cs="Arial"/>
          <w:b/>
        </w:rPr>
        <w:t>33</w:t>
      </w:r>
      <w:r w:rsidR="00DF612D" w:rsidRPr="00FD4743">
        <w:rPr>
          <w:rFonts w:cs="Arial"/>
          <w:b/>
        </w:rPr>
        <w:t>. Zeitreihentyp „</w:t>
      </w:r>
      <w:r w:rsidR="006604DD" w:rsidRPr="00FD4743">
        <w:rPr>
          <w:rFonts w:cs="Arial"/>
          <w:b/>
        </w:rPr>
        <w:t>UETOL</w:t>
      </w:r>
      <w:r w:rsidR="00DF612D" w:rsidRPr="00CF74F0">
        <w:rPr>
          <w:rFonts w:cs="Arial"/>
          <w:b/>
        </w:rPr>
        <w:t>“:</w:t>
      </w:r>
      <w:r w:rsidR="006B2641" w:rsidRPr="006B2641">
        <w:rPr>
          <w:rFonts w:cs="Arial"/>
          <w:b/>
        </w:rPr>
        <w:t xml:space="preserve"> </w:t>
      </w:r>
      <w:r w:rsidR="004869E3" w:rsidRPr="00D853E9">
        <w:rPr>
          <w:rFonts w:cs="Arial"/>
        </w:rPr>
        <w:t>Zeitreihe der jeweiligen stündlichen Überschreitung der Toleranz</w:t>
      </w:r>
      <w:r w:rsidR="004869E3">
        <w:rPr>
          <w:rFonts w:cs="Arial"/>
        </w:rPr>
        <w:t xml:space="preserve"> für untertägige Verpflichtungen</w:t>
      </w:r>
      <w:r w:rsidR="004869E3" w:rsidRPr="00D853E9">
        <w:rPr>
          <w:rFonts w:cs="Arial"/>
        </w:rPr>
        <w:t xml:space="preserve">. </w:t>
      </w:r>
      <w:r w:rsidR="00D376A0">
        <w:rPr>
          <w:rFonts w:cs="Arial"/>
        </w:rPr>
        <w:t xml:space="preserve">Der </w:t>
      </w:r>
      <w:r w:rsidR="00D376A0" w:rsidRPr="00D853E9">
        <w:rPr>
          <w:rFonts w:cs="Arial"/>
        </w:rPr>
        <w:t>Versand</w:t>
      </w:r>
      <w:r w:rsidR="00D376A0">
        <w:rPr>
          <w:rFonts w:cs="Arial"/>
        </w:rPr>
        <w:t xml:space="preserve"> erfolgt</w:t>
      </w:r>
      <w:r w:rsidR="00D376A0" w:rsidRPr="00D853E9">
        <w:rPr>
          <w:rFonts w:cs="Arial"/>
        </w:rPr>
        <w:t xml:space="preserve"> im Format IMBNOT als Zeitreihe mit Stundenwerten, die jeweils positiv oder negativ sein können. </w:t>
      </w:r>
      <w:r w:rsidR="004869E3" w:rsidRPr="00D853E9">
        <w:rPr>
          <w:rFonts w:cs="Arial"/>
        </w:rPr>
        <w:t xml:space="preserve">Hierbei handelt es sich um positive Werte, wenn der </w:t>
      </w:r>
      <w:r w:rsidR="004869E3">
        <w:rPr>
          <w:rFonts w:cs="Arial"/>
        </w:rPr>
        <w:t>stündlich kumulierte</w:t>
      </w:r>
      <w:r w:rsidR="004869E3" w:rsidRPr="00D853E9">
        <w:rPr>
          <w:rFonts w:cs="Arial"/>
        </w:rPr>
        <w:t xml:space="preserve"> Saldo zwischen Einspeisung abzüglich Ausspeisung oberhalb der oberen Toleranzlinie von </w:t>
      </w:r>
      <w:r w:rsidR="004869E3">
        <w:rPr>
          <w:rFonts w:cs="Arial"/>
        </w:rPr>
        <w:t>„</w:t>
      </w:r>
      <w:r w:rsidR="004869E3" w:rsidRPr="00D853E9">
        <w:rPr>
          <w:rFonts w:cs="Arial"/>
        </w:rPr>
        <w:t>BKT</w:t>
      </w:r>
      <w:r w:rsidR="004869E3">
        <w:rPr>
          <w:rFonts w:cs="Arial"/>
        </w:rPr>
        <w:t>OL“</w:t>
      </w:r>
      <w:r w:rsidR="004869E3" w:rsidRPr="00D853E9">
        <w:rPr>
          <w:rFonts w:cs="Arial"/>
        </w:rPr>
        <w:t xml:space="preserve"> liegt und um negative Werte, wenn der </w:t>
      </w:r>
      <w:r w:rsidR="004869E3">
        <w:rPr>
          <w:rFonts w:cs="Arial"/>
        </w:rPr>
        <w:t>stündlich kumulierte</w:t>
      </w:r>
      <w:r w:rsidR="004869E3" w:rsidRPr="00D853E9">
        <w:rPr>
          <w:rFonts w:cs="Arial"/>
        </w:rPr>
        <w:t xml:space="preserve"> Saldo unterhalb der unteren Toleranzlinie von </w:t>
      </w:r>
      <w:r w:rsidR="004869E3">
        <w:rPr>
          <w:rFonts w:cs="Arial"/>
        </w:rPr>
        <w:t>„</w:t>
      </w:r>
      <w:r w:rsidR="004869E3" w:rsidRPr="00D853E9">
        <w:rPr>
          <w:rFonts w:cs="Arial"/>
        </w:rPr>
        <w:t>BKT</w:t>
      </w:r>
      <w:r w:rsidR="004869E3">
        <w:rPr>
          <w:rFonts w:cs="Arial"/>
        </w:rPr>
        <w:t>OL“</w:t>
      </w:r>
      <w:r w:rsidR="004869E3" w:rsidRPr="00D853E9">
        <w:rPr>
          <w:rFonts w:cs="Arial"/>
        </w:rPr>
        <w:t xml:space="preserve"> liegt (</w:t>
      </w:r>
      <w:r w:rsidR="004869E3" w:rsidRPr="00AF0B28">
        <w:rPr>
          <w:rFonts w:cs="Arial"/>
        </w:rPr>
        <w:t>siehe</w:t>
      </w:r>
      <w:r w:rsidR="00C567A1">
        <w:rPr>
          <w:rFonts w:cs="Arial"/>
        </w:rPr>
        <w:t xml:space="preserve"> </w:t>
      </w:r>
      <w:r w:rsidR="0011373C">
        <w:fldChar w:fldCharType="begin"/>
      </w:r>
      <w:r w:rsidR="0011373C">
        <w:instrText xml:space="preserve"> REF _Ref439852180 \h  \* MERGEFORMAT </w:instrText>
      </w:r>
      <w:r w:rsidR="0011373C">
        <w:fldChar w:fldCharType="separate"/>
      </w:r>
      <w:r w:rsidR="00692E23" w:rsidRPr="00692E23">
        <w:rPr>
          <w:noProof/>
        </w:rPr>
        <w:t>Abbildung 28</w:t>
      </w:r>
      <w:r w:rsidR="0011373C">
        <w:fldChar w:fldCharType="end"/>
      </w:r>
      <w:r w:rsidR="00273E2D" w:rsidRPr="00C567A1">
        <w:rPr>
          <w:rFonts w:cs="Arial"/>
        </w:rPr>
        <w:t xml:space="preserve"> </w:t>
      </w:r>
      <w:r w:rsidR="000C024D" w:rsidRPr="00AF0B28">
        <w:rPr>
          <w:rFonts w:cs="Arial"/>
        </w:rPr>
        <w:t xml:space="preserve">in </w:t>
      </w:r>
      <w:r w:rsidR="004B77C7">
        <w:rPr>
          <w:rFonts w:cs="Arial"/>
        </w:rPr>
        <w:t>Kap.</w:t>
      </w:r>
      <w:r w:rsidR="00561FFA">
        <w:rPr>
          <w:rFonts w:cs="Arial"/>
        </w:rPr>
        <w:fldChar w:fldCharType="begin"/>
      </w:r>
      <w:r w:rsidR="00EB609F">
        <w:rPr>
          <w:rFonts w:cs="Arial"/>
        </w:rPr>
        <w:instrText xml:space="preserve"> REF _Ref454808226 \r \h </w:instrText>
      </w:r>
      <w:r w:rsidR="00561FFA">
        <w:rPr>
          <w:rFonts w:cs="Arial"/>
        </w:rPr>
      </w:r>
      <w:r w:rsidR="00561FFA">
        <w:rPr>
          <w:rFonts w:cs="Arial"/>
        </w:rPr>
        <w:fldChar w:fldCharType="separate"/>
      </w:r>
      <w:r w:rsidR="00D400FA">
        <w:rPr>
          <w:rFonts w:cs="Arial"/>
        </w:rPr>
        <w:t>6.2</w:t>
      </w:r>
      <w:r w:rsidR="00561FFA">
        <w:rPr>
          <w:rFonts w:cs="Arial"/>
        </w:rPr>
        <w:fldChar w:fldCharType="end"/>
      </w:r>
      <w:r w:rsidR="000C024D">
        <w:rPr>
          <w:rFonts w:cs="Arial"/>
        </w:rPr>
        <w:t>)</w:t>
      </w:r>
      <w:r w:rsidR="002D423C">
        <w:rPr>
          <w:rFonts w:cs="Arial"/>
        </w:rPr>
        <w:t>.</w:t>
      </w:r>
    </w:p>
    <w:p w14:paraId="42751DAF" w14:textId="3763B7BE" w:rsidR="00E53F0F" w:rsidRDefault="008D0A18" w:rsidP="003C2438">
      <w:pPr>
        <w:spacing w:before="240"/>
        <w:rPr>
          <w:rFonts w:cs="Arial"/>
        </w:rPr>
      </w:pPr>
      <w:r>
        <w:rPr>
          <w:rFonts w:cs="Arial"/>
          <w:b/>
        </w:rPr>
        <w:t>34</w:t>
      </w:r>
      <w:r w:rsidR="00DF612D" w:rsidRPr="00431293">
        <w:rPr>
          <w:rFonts w:cs="Arial"/>
          <w:b/>
        </w:rPr>
        <w:t>. Zeitreihentyp „</w:t>
      </w:r>
      <w:proofErr w:type="spellStart"/>
      <w:r w:rsidR="006604DD" w:rsidRPr="00431293">
        <w:rPr>
          <w:rFonts w:cs="Arial"/>
          <w:b/>
        </w:rPr>
        <w:t>UETOLnach</w:t>
      </w:r>
      <w:proofErr w:type="spellEnd"/>
      <w:r w:rsidR="00DF612D" w:rsidRPr="00431293">
        <w:rPr>
          <w:rFonts w:cs="Arial"/>
          <w:b/>
        </w:rPr>
        <w:t>“:</w:t>
      </w:r>
      <w:r w:rsidR="00DF612D" w:rsidRPr="00431293">
        <w:rPr>
          <w:rFonts w:cs="Arial"/>
        </w:rPr>
        <w:t xml:space="preserve"> </w:t>
      </w:r>
      <w:r w:rsidR="004869E3" w:rsidRPr="003E61FC">
        <w:rPr>
          <w:rFonts w:cs="Arial"/>
        </w:rPr>
        <w:t xml:space="preserve">Zeitreihe der stündlichen Überschreitung der Toleranz, nachdem die Übertragung </w:t>
      </w:r>
      <w:r w:rsidR="00AF0B28">
        <w:rPr>
          <w:rFonts w:cs="Arial"/>
        </w:rPr>
        <w:t>des stündlich kumulierten</w:t>
      </w:r>
      <w:r w:rsidR="00AF0B28" w:rsidRPr="003E61FC">
        <w:rPr>
          <w:rFonts w:cs="Arial"/>
        </w:rPr>
        <w:t xml:space="preserve"> </w:t>
      </w:r>
      <w:r w:rsidR="004869E3" w:rsidRPr="003E61FC">
        <w:rPr>
          <w:rFonts w:cs="Arial"/>
        </w:rPr>
        <w:t>Bilanzkreissald</w:t>
      </w:r>
      <w:r w:rsidR="00AF0B28">
        <w:rPr>
          <w:rFonts w:cs="Arial"/>
        </w:rPr>
        <w:t>os</w:t>
      </w:r>
      <w:r w:rsidR="004869E3" w:rsidRPr="003E61FC">
        <w:rPr>
          <w:rFonts w:cs="Arial"/>
        </w:rPr>
        <w:t xml:space="preserve"> </w:t>
      </w:r>
      <w:r w:rsidR="004869E3">
        <w:rPr>
          <w:rFonts w:cs="Arial"/>
        </w:rPr>
        <w:t>„</w:t>
      </w:r>
      <w:proofErr w:type="spellStart"/>
      <w:r w:rsidR="004869E3">
        <w:rPr>
          <w:rFonts w:cs="Arial"/>
        </w:rPr>
        <w:t>BKKUMüber</w:t>
      </w:r>
      <w:proofErr w:type="spellEnd"/>
      <w:r w:rsidR="004869E3">
        <w:rPr>
          <w:rFonts w:cs="Arial"/>
        </w:rPr>
        <w:t>“</w:t>
      </w:r>
      <w:r w:rsidR="004869E3" w:rsidRPr="003E61FC">
        <w:rPr>
          <w:rFonts w:cs="Arial"/>
        </w:rPr>
        <w:t xml:space="preserve"> und der Toleranzen </w:t>
      </w:r>
      <w:r w:rsidR="004869E3">
        <w:rPr>
          <w:rFonts w:cs="Arial"/>
        </w:rPr>
        <w:t>„</w:t>
      </w:r>
      <w:proofErr w:type="spellStart"/>
      <w:r w:rsidR="00F519C3">
        <w:rPr>
          <w:rFonts w:cs="Arial"/>
        </w:rPr>
        <w:t>BKTOLüber</w:t>
      </w:r>
      <w:proofErr w:type="spellEnd"/>
      <w:r w:rsidR="004869E3">
        <w:rPr>
          <w:rFonts w:cs="Arial"/>
        </w:rPr>
        <w:t>“</w:t>
      </w:r>
      <w:r w:rsidR="004869E3" w:rsidRPr="003E61FC">
        <w:rPr>
          <w:rFonts w:cs="Arial"/>
        </w:rPr>
        <w:t xml:space="preserve"> aus den UBK stattgefunden hat. Damit stellt diese Zeitreihe die summarische Überschreitung der Toleranzen eines BK</w:t>
      </w:r>
      <w:r w:rsidR="004869E3">
        <w:rPr>
          <w:rFonts w:cs="Arial"/>
        </w:rPr>
        <w:t>,</w:t>
      </w:r>
      <w:r w:rsidR="004869E3" w:rsidRPr="003E61FC">
        <w:rPr>
          <w:rFonts w:cs="Arial"/>
        </w:rPr>
        <w:t xml:space="preserve"> inkl. der UBK dar. </w:t>
      </w:r>
      <w:r w:rsidR="00D376A0">
        <w:rPr>
          <w:rFonts w:cs="Arial"/>
        </w:rPr>
        <w:t xml:space="preserve">Der </w:t>
      </w:r>
      <w:r w:rsidR="00D376A0" w:rsidRPr="00D853E9">
        <w:rPr>
          <w:rFonts w:cs="Arial"/>
        </w:rPr>
        <w:t>Versand</w:t>
      </w:r>
      <w:r w:rsidR="00D376A0">
        <w:rPr>
          <w:rFonts w:cs="Arial"/>
        </w:rPr>
        <w:t xml:space="preserve"> erfolgt</w:t>
      </w:r>
      <w:r w:rsidR="00D376A0" w:rsidRPr="00D853E9">
        <w:rPr>
          <w:rFonts w:cs="Arial"/>
        </w:rPr>
        <w:t xml:space="preserve"> im Format IMBNOT als Zeitreihe mit Stundenwerten, die jeweils positiv oder negativ sein können.</w:t>
      </w:r>
      <w:r w:rsidR="00D376A0">
        <w:rPr>
          <w:rFonts w:cs="Arial"/>
        </w:rPr>
        <w:t xml:space="preserve"> </w:t>
      </w:r>
      <w:r w:rsidR="004869E3" w:rsidRPr="003E61FC">
        <w:rPr>
          <w:rFonts w:cs="Arial"/>
        </w:rPr>
        <w:t xml:space="preserve">Hierbei handelt es sich um positive Werte, wenn </w:t>
      </w:r>
      <w:r w:rsidR="004869E3">
        <w:rPr>
          <w:rFonts w:cs="Arial"/>
        </w:rPr>
        <w:t>„</w:t>
      </w:r>
      <w:proofErr w:type="spellStart"/>
      <w:r w:rsidR="004869E3">
        <w:rPr>
          <w:rFonts w:cs="Arial"/>
        </w:rPr>
        <w:t>BKKUMnach</w:t>
      </w:r>
      <w:proofErr w:type="spellEnd"/>
      <w:r w:rsidR="004869E3">
        <w:rPr>
          <w:rFonts w:cs="Arial"/>
        </w:rPr>
        <w:t>“</w:t>
      </w:r>
      <w:r w:rsidR="004869E3" w:rsidRPr="003E61FC">
        <w:rPr>
          <w:rFonts w:cs="Arial"/>
        </w:rPr>
        <w:t xml:space="preserve"> oberhalb der oberen Toleranzlinie </w:t>
      </w:r>
      <w:r w:rsidR="004869E3">
        <w:rPr>
          <w:rFonts w:cs="Arial"/>
        </w:rPr>
        <w:t>„</w:t>
      </w:r>
      <w:proofErr w:type="spellStart"/>
      <w:r w:rsidR="004869E3" w:rsidRPr="003E61FC">
        <w:rPr>
          <w:rFonts w:cs="Arial"/>
        </w:rPr>
        <w:t>BKT</w:t>
      </w:r>
      <w:r w:rsidR="004869E3">
        <w:rPr>
          <w:rFonts w:cs="Arial"/>
        </w:rPr>
        <w:t>OL</w:t>
      </w:r>
      <w:r w:rsidR="004869E3" w:rsidRPr="003E61FC">
        <w:rPr>
          <w:rFonts w:cs="Arial"/>
        </w:rPr>
        <w:t>nach</w:t>
      </w:r>
      <w:proofErr w:type="spellEnd"/>
      <w:r w:rsidR="004869E3">
        <w:rPr>
          <w:rFonts w:cs="Arial"/>
        </w:rPr>
        <w:t>“</w:t>
      </w:r>
      <w:r w:rsidR="004869E3" w:rsidRPr="003E61FC">
        <w:rPr>
          <w:rFonts w:cs="Arial"/>
        </w:rPr>
        <w:t xml:space="preserve"> liegt und um negative Werte, sofern der</w:t>
      </w:r>
      <w:r w:rsidR="004869E3">
        <w:rPr>
          <w:rFonts w:cs="Arial"/>
        </w:rPr>
        <w:t xml:space="preserve"> „</w:t>
      </w:r>
      <w:proofErr w:type="spellStart"/>
      <w:r w:rsidR="004869E3">
        <w:rPr>
          <w:rFonts w:cs="Arial"/>
        </w:rPr>
        <w:t>BKKUMnach</w:t>
      </w:r>
      <w:proofErr w:type="spellEnd"/>
      <w:r w:rsidR="004869E3">
        <w:rPr>
          <w:rFonts w:cs="Arial"/>
        </w:rPr>
        <w:t>“</w:t>
      </w:r>
      <w:r w:rsidR="004869E3" w:rsidRPr="003E61FC">
        <w:rPr>
          <w:rFonts w:cs="Arial"/>
        </w:rPr>
        <w:t xml:space="preserve"> unterhalb der unteren Toleranzlinie </w:t>
      </w:r>
      <w:r w:rsidR="004869E3">
        <w:rPr>
          <w:rFonts w:cs="Arial"/>
        </w:rPr>
        <w:t>„</w:t>
      </w:r>
      <w:proofErr w:type="spellStart"/>
      <w:r w:rsidR="004869E3" w:rsidRPr="003E61FC">
        <w:rPr>
          <w:rFonts w:cs="Arial"/>
        </w:rPr>
        <w:t>BKT</w:t>
      </w:r>
      <w:r w:rsidR="004869E3">
        <w:rPr>
          <w:rFonts w:cs="Arial"/>
        </w:rPr>
        <w:t>OL</w:t>
      </w:r>
      <w:r w:rsidR="004869E3" w:rsidRPr="003E61FC">
        <w:rPr>
          <w:rFonts w:cs="Arial"/>
        </w:rPr>
        <w:t>nach</w:t>
      </w:r>
      <w:proofErr w:type="spellEnd"/>
      <w:r w:rsidR="004869E3">
        <w:rPr>
          <w:rFonts w:cs="Arial"/>
        </w:rPr>
        <w:t>“</w:t>
      </w:r>
      <w:r w:rsidR="004869E3" w:rsidRPr="003E61FC">
        <w:rPr>
          <w:rFonts w:cs="Arial"/>
        </w:rPr>
        <w:t xml:space="preserve"> liegt.</w:t>
      </w:r>
    </w:p>
    <w:p w14:paraId="220096DF" w14:textId="078CD595" w:rsidR="00E53F0F" w:rsidRDefault="008D0A18" w:rsidP="003C2438">
      <w:pPr>
        <w:spacing w:before="240"/>
        <w:rPr>
          <w:rFonts w:cs="Arial"/>
        </w:rPr>
      </w:pPr>
      <w:r>
        <w:rPr>
          <w:rFonts w:cs="Arial"/>
          <w:b/>
        </w:rPr>
        <w:t>35</w:t>
      </w:r>
      <w:r w:rsidR="00E53F0F">
        <w:rPr>
          <w:rFonts w:cs="Arial"/>
          <w:b/>
        </w:rPr>
        <w:t xml:space="preserve">. </w:t>
      </w:r>
      <w:r w:rsidR="00E53F0F" w:rsidRPr="00CF74F0">
        <w:rPr>
          <w:rFonts w:cs="Arial"/>
          <w:b/>
        </w:rPr>
        <w:t>Zeitreihentyp „</w:t>
      </w:r>
      <w:r w:rsidR="00E53F0F">
        <w:rPr>
          <w:rFonts w:cs="Arial"/>
          <w:b/>
        </w:rPr>
        <w:t>BKFLEX</w:t>
      </w:r>
      <w:r w:rsidR="00E53F0F" w:rsidRPr="00CF74F0">
        <w:rPr>
          <w:rFonts w:cs="Arial"/>
          <w:b/>
        </w:rPr>
        <w:t>“:</w:t>
      </w:r>
      <w:r w:rsidR="00E53F0F" w:rsidRPr="00CF74F0">
        <w:rPr>
          <w:rFonts w:cs="Arial"/>
        </w:rPr>
        <w:t xml:space="preserve"> </w:t>
      </w:r>
      <w:r w:rsidR="00E53F0F" w:rsidRPr="00D853E9">
        <w:rPr>
          <w:rFonts w:cs="Arial"/>
        </w:rPr>
        <w:t>Zeitreihe</w:t>
      </w:r>
      <w:r w:rsidR="00E53F0F">
        <w:rPr>
          <w:rFonts w:cs="Arial"/>
        </w:rPr>
        <w:t xml:space="preserve"> der nach Betrag aufsummierten stündlichen Überschreitungen der Toleranz für untertägige Verpflichtungen („UETOL“). </w:t>
      </w:r>
      <w:r w:rsidR="00D376A0">
        <w:rPr>
          <w:rFonts w:cs="Arial"/>
        </w:rPr>
        <w:t xml:space="preserve">Der </w:t>
      </w:r>
      <w:r w:rsidR="00D376A0" w:rsidRPr="00D853E9">
        <w:rPr>
          <w:rFonts w:cs="Arial"/>
        </w:rPr>
        <w:t>Versand</w:t>
      </w:r>
      <w:r w:rsidR="00D376A0">
        <w:rPr>
          <w:rFonts w:cs="Arial"/>
        </w:rPr>
        <w:t xml:space="preserve"> erfolgt</w:t>
      </w:r>
      <w:r w:rsidR="00D376A0" w:rsidRPr="00D853E9">
        <w:rPr>
          <w:rFonts w:cs="Arial"/>
        </w:rPr>
        <w:t xml:space="preserve"> im Format IMBNOT als Zeitreihe mit </w:t>
      </w:r>
      <w:r w:rsidR="00D376A0">
        <w:rPr>
          <w:rFonts w:cs="Arial"/>
        </w:rPr>
        <w:t xml:space="preserve">positiven </w:t>
      </w:r>
      <w:r w:rsidR="00D376A0" w:rsidRPr="00D853E9">
        <w:rPr>
          <w:rFonts w:cs="Arial"/>
        </w:rPr>
        <w:t>Stundenwerten</w:t>
      </w:r>
      <w:r w:rsidR="00D376A0">
        <w:rPr>
          <w:rFonts w:cs="Arial"/>
        </w:rPr>
        <w:t xml:space="preserve">. </w:t>
      </w:r>
      <w:r w:rsidR="00E53F0F">
        <w:rPr>
          <w:rFonts w:cs="Arial"/>
        </w:rPr>
        <w:t>Der sich in der letzten Stunde ergebende Wert stellt die bilanzielle Flexibilitätsmenge dar, für die ein Flexibilitätskostenbeitrag in Euro pro MWh zu entrichten ist (siehe Kap.</w:t>
      </w:r>
      <w:r w:rsidR="00561FFA">
        <w:rPr>
          <w:rFonts w:cs="Arial"/>
        </w:rPr>
        <w:fldChar w:fldCharType="begin"/>
      </w:r>
      <w:r w:rsidR="00EB609F">
        <w:rPr>
          <w:rFonts w:cs="Arial"/>
        </w:rPr>
        <w:instrText xml:space="preserve"> REF _Ref454808247 \r \h </w:instrText>
      </w:r>
      <w:r w:rsidR="00561FFA">
        <w:rPr>
          <w:rFonts w:cs="Arial"/>
        </w:rPr>
      </w:r>
      <w:r w:rsidR="00561FFA">
        <w:rPr>
          <w:rFonts w:cs="Arial"/>
        </w:rPr>
        <w:fldChar w:fldCharType="separate"/>
      </w:r>
      <w:r w:rsidR="00692E23">
        <w:rPr>
          <w:rFonts w:cs="Arial"/>
        </w:rPr>
        <w:t>6.2</w:t>
      </w:r>
      <w:r w:rsidR="00561FFA">
        <w:rPr>
          <w:rFonts w:cs="Arial"/>
        </w:rPr>
        <w:fldChar w:fldCharType="end"/>
      </w:r>
      <w:r w:rsidR="00E53F0F">
        <w:rPr>
          <w:rFonts w:cs="Arial"/>
        </w:rPr>
        <w:t>).</w:t>
      </w:r>
      <w:r w:rsidR="00E53F0F" w:rsidRPr="0004498A">
        <w:rPr>
          <w:rFonts w:cs="Arial"/>
        </w:rPr>
        <w:t xml:space="preserve"> </w:t>
      </w:r>
      <w:r w:rsidR="00E53F0F">
        <w:rPr>
          <w:rFonts w:cs="Arial"/>
        </w:rPr>
        <w:t>Für UBK</w:t>
      </w:r>
      <w:r w:rsidR="00536442">
        <w:rPr>
          <w:rFonts w:cs="Arial"/>
        </w:rPr>
        <w:t>s</w:t>
      </w:r>
      <w:r w:rsidR="00E53F0F">
        <w:rPr>
          <w:rFonts w:cs="Arial"/>
        </w:rPr>
        <w:t xml:space="preserve"> findet keine Abrechnung statt.</w:t>
      </w:r>
    </w:p>
    <w:p w14:paraId="0BA8A9C1" w14:textId="40EA7BA3" w:rsidR="00E53F0F" w:rsidRDefault="008D0A18" w:rsidP="003C2438">
      <w:pPr>
        <w:spacing w:before="240"/>
        <w:rPr>
          <w:rFonts w:cs="Arial"/>
        </w:rPr>
      </w:pPr>
      <w:r>
        <w:rPr>
          <w:rFonts w:cs="Arial"/>
          <w:b/>
        </w:rPr>
        <w:t>36</w:t>
      </w:r>
      <w:r w:rsidR="00E53F0F" w:rsidRPr="00CF74F0">
        <w:rPr>
          <w:rFonts w:cs="Arial"/>
          <w:b/>
        </w:rPr>
        <w:t>.</w:t>
      </w:r>
      <w:r w:rsidR="00E53F0F">
        <w:rPr>
          <w:rFonts w:cs="Arial"/>
          <w:b/>
        </w:rPr>
        <w:t xml:space="preserve"> </w:t>
      </w:r>
      <w:r w:rsidR="00E53F0F" w:rsidRPr="00CF74F0">
        <w:rPr>
          <w:rFonts w:cs="Arial"/>
          <w:b/>
        </w:rPr>
        <w:t>Zeitreihentyp „</w:t>
      </w:r>
      <w:proofErr w:type="spellStart"/>
      <w:r w:rsidR="00E53F0F">
        <w:rPr>
          <w:rFonts w:cs="Arial"/>
          <w:b/>
        </w:rPr>
        <w:t>BKFLEXüber</w:t>
      </w:r>
      <w:proofErr w:type="spellEnd"/>
      <w:r w:rsidR="00E53F0F" w:rsidRPr="00CF74F0">
        <w:rPr>
          <w:rFonts w:cs="Arial"/>
          <w:b/>
        </w:rPr>
        <w:t>“:</w:t>
      </w:r>
      <w:r w:rsidR="00E53F0F">
        <w:rPr>
          <w:rFonts w:cs="Arial"/>
          <w:b/>
        </w:rPr>
        <w:t xml:space="preserve"> </w:t>
      </w:r>
      <w:r w:rsidR="00E53F0F" w:rsidRPr="00CF74F0">
        <w:rPr>
          <w:rFonts w:cs="Arial"/>
        </w:rPr>
        <w:t xml:space="preserve">Übertragung </w:t>
      </w:r>
      <w:r w:rsidR="00E53F0F">
        <w:rPr>
          <w:rFonts w:cs="Arial"/>
        </w:rPr>
        <w:t>der nach Betrag aufsummierten stündlichen Überschreitungen der Toleranz für untertägige Verpflichtungen</w:t>
      </w:r>
      <w:r w:rsidR="00E53F0F" w:rsidRPr="00CF74F0">
        <w:rPr>
          <w:rFonts w:cs="Arial"/>
        </w:rPr>
        <w:t xml:space="preserve"> </w:t>
      </w:r>
      <w:r w:rsidR="00E53F0F">
        <w:rPr>
          <w:rFonts w:cs="Arial"/>
        </w:rPr>
        <w:t>„</w:t>
      </w:r>
      <w:r w:rsidR="00E53F0F" w:rsidRPr="00CF74F0">
        <w:rPr>
          <w:rFonts w:cs="Arial"/>
        </w:rPr>
        <w:t>BK</w:t>
      </w:r>
      <w:r w:rsidR="00E53F0F">
        <w:rPr>
          <w:rFonts w:cs="Arial"/>
        </w:rPr>
        <w:t>FLEX“</w:t>
      </w:r>
      <w:r w:rsidR="00E53F0F" w:rsidRPr="00CF74F0">
        <w:rPr>
          <w:rFonts w:cs="Arial"/>
        </w:rPr>
        <w:t xml:space="preserve"> eines UBK</w:t>
      </w:r>
      <w:r w:rsidR="00536442">
        <w:rPr>
          <w:rFonts w:cs="Arial"/>
        </w:rPr>
        <w:t>, inkl.</w:t>
      </w:r>
      <w:r w:rsidR="00E53F0F" w:rsidRPr="00CF74F0">
        <w:rPr>
          <w:rFonts w:cs="Arial"/>
        </w:rPr>
        <w:t xml:space="preserve"> der aus weiter darunterliegenden UBK bereits übertragenen </w:t>
      </w:r>
      <w:r w:rsidR="00E53F0F">
        <w:rPr>
          <w:rFonts w:cs="Arial"/>
        </w:rPr>
        <w:t>„</w:t>
      </w:r>
      <w:proofErr w:type="spellStart"/>
      <w:r w:rsidR="00E53F0F">
        <w:rPr>
          <w:rFonts w:cs="Arial"/>
        </w:rPr>
        <w:t>BKFLEX</w:t>
      </w:r>
      <w:r w:rsidR="00E53F0F" w:rsidRPr="00CF74F0">
        <w:rPr>
          <w:rFonts w:cs="Arial"/>
        </w:rPr>
        <w:t>über</w:t>
      </w:r>
      <w:proofErr w:type="spellEnd"/>
      <w:r w:rsidR="00E53F0F">
        <w:rPr>
          <w:rFonts w:cs="Arial"/>
        </w:rPr>
        <w:t>“</w:t>
      </w:r>
      <w:r w:rsidR="00E53F0F" w:rsidRPr="00CF74F0">
        <w:rPr>
          <w:rFonts w:cs="Arial"/>
        </w:rPr>
        <w:t xml:space="preserve"> an einen </w:t>
      </w:r>
      <w:r w:rsidR="00E53F0F">
        <w:rPr>
          <w:rFonts w:cs="Arial"/>
        </w:rPr>
        <w:t>übergeordneten BK.</w:t>
      </w:r>
      <w:r w:rsidR="00D376A0" w:rsidRPr="00D376A0">
        <w:rPr>
          <w:rFonts w:cs="Arial"/>
        </w:rPr>
        <w:t xml:space="preserve"> </w:t>
      </w:r>
      <w:r w:rsidR="00D376A0">
        <w:rPr>
          <w:rFonts w:cs="Arial"/>
        </w:rPr>
        <w:t xml:space="preserve">Der </w:t>
      </w:r>
      <w:r w:rsidR="00D376A0" w:rsidRPr="00D853E9">
        <w:rPr>
          <w:rFonts w:cs="Arial"/>
        </w:rPr>
        <w:t>Versand</w:t>
      </w:r>
      <w:r w:rsidR="00D376A0">
        <w:rPr>
          <w:rFonts w:cs="Arial"/>
        </w:rPr>
        <w:t xml:space="preserve"> erfolgt</w:t>
      </w:r>
      <w:r w:rsidR="00D376A0" w:rsidRPr="00D853E9">
        <w:rPr>
          <w:rFonts w:cs="Arial"/>
        </w:rPr>
        <w:t xml:space="preserve"> im Format </w:t>
      </w:r>
      <w:r w:rsidR="00D376A0">
        <w:rPr>
          <w:rFonts w:cs="Arial"/>
        </w:rPr>
        <w:t>TRANOT</w:t>
      </w:r>
      <w:r w:rsidR="00D376A0" w:rsidRPr="00D853E9">
        <w:rPr>
          <w:rFonts w:cs="Arial"/>
        </w:rPr>
        <w:t xml:space="preserve"> als Zeitreihe mit </w:t>
      </w:r>
      <w:r w:rsidR="00D376A0">
        <w:rPr>
          <w:rFonts w:cs="Arial"/>
        </w:rPr>
        <w:t xml:space="preserve">positiven </w:t>
      </w:r>
      <w:r w:rsidR="00D376A0" w:rsidRPr="00D853E9">
        <w:rPr>
          <w:rFonts w:cs="Arial"/>
        </w:rPr>
        <w:t>Stundenwerten</w:t>
      </w:r>
      <w:r w:rsidR="00D376A0">
        <w:rPr>
          <w:rFonts w:cs="Arial"/>
        </w:rPr>
        <w:t>.</w:t>
      </w:r>
    </w:p>
    <w:p w14:paraId="60850231" w14:textId="7E95F321" w:rsidR="00E53F0F" w:rsidRDefault="008D0A18" w:rsidP="003C2438">
      <w:pPr>
        <w:spacing w:before="240"/>
        <w:rPr>
          <w:rFonts w:cs="Arial"/>
        </w:rPr>
      </w:pPr>
      <w:r>
        <w:rPr>
          <w:rFonts w:cs="Arial"/>
          <w:b/>
        </w:rPr>
        <w:lastRenderedPageBreak/>
        <w:t>37</w:t>
      </w:r>
      <w:r w:rsidR="00E53F0F" w:rsidRPr="00CF74F0">
        <w:rPr>
          <w:rFonts w:cs="Arial"/>
          <w:b/>
        </w:rPr>
        <w:t>.</w:t>
      </w:r>
      <w:r w:rsidR="00E53F0F">
        <w:rPr>
          <w:rFonts w:cs="Arial"/>
          <w:b/>
        </w:rPr>
        <w:t xml:space="preserve"> </w:t>
      </w:r>
      <w:r w:rsidR="00E53F0F" w:rsidRPr="00CF74F0">
        <w:rPr>
          <w:rFonts w:cs="Arial"/>
          <w:b/>
        </w:rPr>
        <w:t>Zeitreihentyp „</w:t>
      </w:r>
      <w:proofErr w:type="spellStart"/>
      <w:r w:rsidR="00E53F0F">
        <w:rPr>
          <w:rFonts w:cs="Arial"/>
          <w:b/>
        </w:rPr>
        <w:t>BKFLEXnach</w:t>
      </w:r>
      <w:proofErr w:type="spellEnd"/>
      <w:r w:rsidR="00E53F0F" w:rsidRPr="00CF74F0">
        <w:rPr>
          <w:rFonts w:cs="Arial"/>
          <w:b/>
        </w:rPr>
        <w:t>“:</w:t>
      </w:r>
      <w:r w:rsidR="00E53F0F" w:rsidRPr="00CF74F0">
        <w:rPr>
          <w:rFonts w:cs="Arial"/>
        </w:rPr>
        <w:t xml:space="preserve"> </w:t>
      </w:r>
      <w:r w:rsidR="00E53F0F" w:rsidRPr="00D853E9">
        <w:rPr>
          <w:rFonts w:cs="Arial"/>
        </w:rPr>
        <w:t>Zeitreihe</w:t>
      </w:r>
      <w:r w:rsidR="00E53F0F">
        <w:rPr>
          <w:rFonts w:cs="Arial"/>
        </w:rPr>
        <w:t xml:space="preserve"> der nach Betrag aufsummierten stündlichen Überschreitungen der Toleranz für untertägige Verpflichtungen „BKFLEX“ </w:t>
      </w:r>
      <w:r w:rsidR="00E53F0F" w:rsidRPr="00FD4743">
        <w:rPr>
          <w:rFonts w:cs="Arial"/>
        </w:rPr>
        <w:t>einschließlich der aus UBK übertragenen</w:t>
      </w:r>
      <w:r w:rsidR="00E53F0F">
        <w:rPr>
          <w:rFonts w:cs="Arial"/>
        </w:rPr>
        <w:t xml:space="preserve"> „</w:t>
      </w:r>
      <w:proofErr w:type="spellStart"/>
      <w:r w:rsidR="00E53F0F">
        <w:rPr>
          <w:rFonts w:cs="Arial"/>
        </w:rPr>
        <w:t>BKFLEXüber</w:t>
      </w:r>
      <w:proofErr w:type="spellEnd"/>
      <w:r w:rsidR="00E53F0F">
        <w:rPr>
          <w:rFonts w:cs="Arial"/>
        </w:rPr>
        <w:t xml:space="preserve">“. </w:t>
      </w:r>
      <w:r w:rsidR="00D376A0">
        <w:rPr>
          <w:rFonts w:cs="Arial"/>
        </w:rPr>
        <w:t xml:space="preserve">Der </w:t>
      </w:r>
      <w:r w:rsidR="00D376A0" w:rsidRPr="00D853E9">
        <w:rPr>
          <w:rFonts w:cs="Arial"/>
        </w:rPr>
        <w:t>Versand</w:t>
      </w:r>
      <w:r w:rsidR="00D376A0">
        <w:rPr>
          <w:rFonts w:cs="Arial"/>
        </w:rPr>
        <w:t xml:space="preserve"> erfolgt</w:t>
      </w:r>
      <w:r w:rsidR="00D376A0" w:rsidRPr="00D853E9">
        <w:rPr>
          <w:rFonts w:cs="Arial"/>
        </w:rPr>
        <w:t xml:space="preserve"> im Format IMBNOT als Zeitreihe mit </w:t>
      </w:r>
      <w:r w:rsidR="00D376A0">
        <w:rPr>
          <w:rFonts w:cs="Arial"/>
        </w:rPr>
        <w:t xml:space="preserve">positiven </w:t>
      </w:r>
      <w:r w:rsidR="00D376A0" w:rsidRPr="00D853E9">
        <w:rPr>
          <w:rFonts w:cs="Arial"/>
        </w:rPr>
        <w:t>Stundenwerten</w:t>
      </w:r>
      <w:r w:rsidR="00D376A0">
        <w:rPr>
          <w:rFonts w:cs="Arial"/>
        </w:rPr>
        <w:t xml:space="preserve">. </w:t>
      </w:r>
      <w:r w:rsidR="00E53F0F">
        <w:rPr>
          <w:rFonts w:cs="Arial"/>
        </w:rPr>
        <w:t>Der sich in der letzten Stunde ergebende Wert stellt die bilanzielle Flexibilitätsmenge dar, für die ein Flexibilitätskostenbeitrag in Euro pro MWh zu entrichten ist (siehe Kap.</w:t>
      </w:r>
      <w:r w:rsidR="00561FFA">
        <w:rPr>
          <w:rFonts w:cs="Arial"/>
        </w:rPr>
        <w:fldChar w:fldCharType="begin"/>
      </w:r>
      <w:r w:rsidR="00EB609F">
        <w:rPr>
          <w:rFonts w:cs="Arial"/>
        </w:rPr>
        <w:instrText xml:space="preserve"> REF _Ref454808267 \r \h </w:instrText>
      </w:r>
      <w:r w:rsidR="00561FFA">
        <w:rPr>
          <w:rFonts w:cs="Arial"/>
        </w:rPr>
      </w:r>
      <w:r w:rsidR="00561FFA">
        <w:rPr>
          <w:rFonts w:cs="Arial"/>
        </w:rPr>
        <w:fldChar w:fldCharType="separate"/>
      </w:r>
      <w:r w:rsidR="00692E23">
        <w:rPr>
          <w:rFonts w:cs="Arial"/>
        </w:rPr>
        <w:t>6.2</w:t>
      </w:r>
      <w:r w:rsidR="00561FFA">
        <w:rPr>
          <w:rFonts w:cs="Arial"/>
        </w:rPr>
        <w:fldChar w:fldCharType="end"/>
      </w:r>
      <w:r w:rsidR="00536442">
        <w:rPr>
          <w:rFonts w:cs="Arial"/>
        </w:rPr>
        <w:t>). Für</w:t>
      </w:r>
      <w:r w:rsidR="00D44504">
        <w:rPr>
          <w:rFonts w:cs="Arial"/>
        </w:rPr>
        <w:t xml:space="preserve"> </w:t>
      </w:r>
      <w:r w:rsidR="00E53F0F">
        <w:rPr>
          <w:rFonts w:cs="Arial"/>
        </w:rPr>
        <w:t>UBK</w:t>
      </w:r>
      <w:r w:rsidR="00536442">
        <w:rPr>
          <w:rFonts w:cs="Arial"/>
        </w:rPr>
        <w:t>s</w:t>
      </w:r>
      <w:r w:rsidR="00E53F0F">
        <w:rPr>
          <w:rFonts w:cs="Arial"/>
        </w:rPr>
        <w:t xml:space="preserve"> findet keine Abrechnung statt.</w:t>
      </w:r>
    </w:p>
    <w:p w14:paraId="69B1EAAA" w14:textId="599D2DCD" w:rsidR="00B3089B" w:rsidRDefault="008D0A18" w:rsidP="003C2438">
      <w:pPr>
        <w:spacing w:before="240"/>
        <w:rPr>
          <w:rFonts w:cs="Arial"/>
        </w:rPr>
      </w:pPr>
      <w:r>
        <w:rPr>
          <w:rFonts w:cs="Arial"/>
          <w:b/>
        </w:rPr>
        <w:t>38</w:t>
      </w:r>
      <w:r w:rsidR="004869E3" w:rsidRPr="00FD4743">
        <w:rPr>
          <w:rFonts w:cs="Arial"/>
          <w:b/>
        </w:rPr>
        <w:t>. Zeitreihentyp „</w:t>
      </w:r>
      <w:proofErr w:type="spellStart"/>
      <w:r w:rsidR="004869E3" w:rsidRPr="00FD4743">
        <w:rPr>
          <w:rFonts w:cs="Arial"/>
          <w:b/>
        </w:rPr>
        <w:t>SLPUMLüber</w:t>
      </w:r>
      <w:proofErr w:type="spellEnd"/>
      <w:r w:rsidR="004869E3" w:rsidRPr="00FD4743">
        <w:rPr>
          <w:rFonts w:cs="Arial"/>
          <w:b/>
        </w:rPr>
        <w:t>“:</w:t>
      </w:r>
      <w:r w:rsidR="004869E3" w:rsidRPr="00FD4743">
        <w:rPr>
          <w:rFonts w:cs="Arial"/>
        </w:rPr>
        <w:t xml:space="preserve"> Übertragung der SLP-</w:t>
      </w:r>
      <w:r w:rsidR="00D44504">
        <w:rPr>
          <w:rFonts w:cs="Arial"/>
        </w:rPr>
        <w:t>b</w:t>
      </w:r>
      <w:r w:rsidR="004869E3" w:rsidRPr="00FD4743">
        <w:rPr>
          <w:rFonts w:cs="Arial"/>
        </w:rPr>
        <w:t>ilanzierungsumlagefähigen Ausspeisemenge eines UBK, inkl. der aus weiter darunterliegenden UBK bereits übertragenen „</w:t>
      </w:r>
      <w:proofErr w:type="spellStart"/>
      <w:r w:rsidR="004869E3" w:rsidRPr="00FD4743">
        <w:rPr>
          <w:rFonts w:cs="Arial"/>
        </w:rPr>
        <w:t>SLPUMLüber</w:t>
      </w:r>
      <w:proofErr w:type="spellEnd"/>
      <w:r w:rsidR="004869E3" w:rsidRPr="00FD4743">
        <w:rPr>
          <w:rFonts w:cs="Arial"/>
        </w:rPr>
        <w:t xml:space="preserve">“ auf einen </w:t>
      </w:r>
      <w:r w:rsidR="005F34B9">
        <w:rPr>
          <w:rFonts w:cs="Arial"/>
        </w:rPr>
        <w:t>übergeordneten</w:t>
      </w:r>
      <w:r w:rsidR="005F34B9" w:rsidRPr="00FD4743">
        <w:rPr>
          <w:rFonts w:cs="Arial"/>
        </w:rPr>
        <w:t xml:space="preserve"> </w:t>
      </w:r>
      <w:r w:rsidR="004869E3" w:rsidRPr="00FD4743">
        <w:rPr>
          <w:rFonts w:cs="Arial"/>
        </w:rPr>
        <w:t>BK.</w:t>
      </w:r>
      <w:r w:rsidR="00A137EC" w:rsidRPr="00A137EC">
        <w:rPr>
          <w:rFonts w:cs="Arial"/>
        </w:rPr>
        <w:t xml:space="preserve"> </w:t>
      </w:r>
      <w:r w:rsidR="00AE71CA">
        <w:rPr>
          <w:rFonts w:cs="Arial"/>
        </w:rPr>
        <w:t>SLP-</w:t>
      </w:r>
      <w:proofErr w:type="spellStart"/>
      <w:r w:rsidR="00AE71CA">
        <w:rPr>
          <w:rFonts w:cs="Arial"/>
        </w:rPr>
        <w:t>Umlagenmengen</w:t>
      </w:r>
      <w:proofErr w:type="spellEnd"/>
      <w:r w:rsidR="00AE71CA">
        <w:rPr>
          <w:rFonts w:cs="Arial"/>
        </w:rPr>
        <w:t xml:space="preserve"> aus BK mit direkt zahlenden BKV werden bei der Ermittlung der zu übertragenden Mengen nicht berücksichtigt. </w:t>
      </w:r>
      <w:r w:rsidR="00A137EC">
        <w:rPr>
          <w:rFonts w:cs="Arial"/>
        </w:rPr>
        <w:t xml:space="preserve">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TRANOT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698465EE" w14:textId="7DF2F234" w:rsidR="00A137EC" w:rsidRPr="00FD4743" w:rsidRDefault="008D0A18" w:rsidP="003C2438">
      <w:pPr>
        <w:spacing w:before="240"/>
        <w:rPr>
          <w:rFonts w:cs="Arial"/>
        </w:rPr>
      </w:pPr>
      <w:r>
        <w:rPr>
          <w:rFonts w:cs="Arial"/>
          <w:b/>
        </w:rPr>
        <w:t>39</w:t>
      </w:r>
      <w:r w:rsidR="00A137EC" w:rsidRPr="0019426E">
        <w:rPr>
          <w:rFonts w:cs="Arial"/>
          <w:b/>
        </w:rPr>
        <w:t>. Zeitreihentyp „</w:t>
      </w:r>
      <w:proofErr w:type="spellStart"/>
      <w:r w:rsidR="00A137EC" w:rsidRPr="0019426E">
        <w:rPr>
          <w:rFonts w:cs="Arial"/>
          <w:b/>
        </w:rPr>
        <w:t>SLPUMLnach</w:t>
      </w:r>
      <w:proofErr w:type="spellEnd"/>
      <w:r w:rsidR="00A137EC" w:rsidRPr="0019426E">
        <w:rPr>
          <w:rFonts w:cs="Arial"/>
          <w:b/>
        </w:rPr>
        <w:t>“:</w:t>
      </w:r>
      <w:r w:rsidR="00A137EC">
        <w:rPr>
          <w:rFonts w:cs="Arial"/>
        </w:rPr>
        <w:t xml:space="preserve"> </w:t>
      </w:r>
      <w:r w:rsidR="00A137EC" w:rsidRPr="00D853E9">
        <w:rPr>
          <w:rFonts w:cs="Arial"/>
        </w:rPr>
        <w:t>Zeitreihe</w:t>
      </w:r>
      <w:r w:rsidR="00A137EC">
        <w:rPr>
          <w:rFonts w:cs="Arial"/>
        </w:rPr>
        <w:t xml:space="preserve"> der Summe der SLP-</w:t>
      </w:r>
      <w:r w:rsidR="00D44504">
        <w:rPr>
          <w:rFonts w:cs="Arial"/>
        </w:rPr>
        <w:t>b</w:t>
      </w:r>
      <w:r w:rsidR="00A137EC" w:rsidRPr="00FD4743">
        <w:rPr>
          <w:rFonts w:cs="Arial"/>
        </w:rPr>
        <w:t>ilanzierungsumlage</w:t>
      </w:r>
      <w:r w:rsidR="00273E2D">
        <w:rPr>
          <w:rFonts w:cs="Arial"/>
        </w:rPr>
        <w:t>-</w:t>
      </w:r>
      <w:r w:rsidR="00A137EC" w:rsidRPr="00FD4743">
        <w:rPr>
          <w:rFonts w:cs="Arial"/>
        </w:rPr>
        <w:t>fähigen Ausspeisemenge</w:t>
      </w:r>
      <w:r w:rsidR="00A137EC">
        <w:rPr>
          <w:rFonts w:cs="Arial"/>
        </w:rPr>
        <w:t xml:space="preserve"> eines BK</w:t>
      </w:r>
      <w:r w:rsidR="00536442">
        <w:rPr>
          <w:rFonts w:cs="Arial"/>
        </w:rPr>
        <w:t xml:space="preserve">, inkl. </w:t>
      </w:r>
      <w:r w:rsidR="00A137EC">
        <w:rPr>
          <w:rFonts w:cs="Arial"/>
        </w:rPr>
        <w:t>der aus sämtlichen da</w:t>
      </w:r>
      <w:r w:rsidR="00B90D63">
        <w:rPr>
          <w:rFonts w:cs="Arial"/>
        </w:rPr>
        <w:t>r</w:t>
      </w:r>
      <w:r w:rsidR="00A137EC">
        <w:rPr>
          <w:rFonts w:cs="Arial"/>
        </w:rPr>
        <w:t>unterliegenden UBK übertragenen „</w:t>
      </w:r>
      <w:proofErr w:type="spellStart"/>
      <w:r w:rsidR="00A137EC">
        <w:rPr>
          <w:rFonts w:cs="Arial"/>
        </w:rPr>
        <w:t>SLPUMLüber</w:t>
      </w:r>
      <w:proofErr w:type="spellEnd"/>
      <w:r w:rsidR="00A137EC">
        <w:rPr>
          <w:rFonts w:cs="Arial"/>
        </w:rPr>
        <w:t xml:space="preserve">“. 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IMBNOT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17474410" w14:textId="6C42A1D6" w:rsidR="00033388" w:rsidRDefault="008D0A18" w:rsidP="003C2438">
      <w:pPr>
        <w:spacing w:before="240"/>
        <w:rPr>
          <w:rFonts w:cs="Arial"/>
        </w:rPr>
      </w:pPr>
      <w:r>
        <w:rPr>
          <w:rFonts w:cs="Arial"/>
          <w:b/>
        </w:rPr>
        <w:t>40</w:t>
      </w:r>
      <w:r w:rsidR="004869E3" w:rsidRPr="00FD4743">
        <w:rPr>
          <w:rFonts w:cs="Arial"/>
          <w:b/>
        </w:rPr>
        <w:t>. Zeitreihentyp „</w:t>
      </w:r>
      <w:proofErr w:type="spellStart"/>
      <w:r w:rsidR="004869E3" w:rsidRPr="00FD4743">
        <w:rPr>
          <w:rFonts w:cs="Arial"/>
          <w:b/>
        </w:rPr>
        <w:t>RLMUMLüber</w:t>
      </w:r>
      <w:proofErr w:type="spellEnd"/>
      <w:r w:rsidR="004869E3" w:rsidRPr="00FD4743">
        <w:rPr>
          <w:rFonts w:cs="Arial"/>
          <w:b/>
        </w:rPr>
        <w:t>“:</w:t>
      </w:r>
      <w:r w:rsidR="004869E3" w:rsidRPr="00FD4743">
        <w:rPr>
          <w:rFonts w:cs="Arial"/>
        </w:rPr>
        <w:t xml:space="preserve"> Übertragung der RLM-</w:t>
      </w:r>
      <w:r w:rsidR="00D44504">
        <w:rPr>
          <w:rFonts w:cs="Arial"/>
        </w:rPr>
        <w:t>b</w:t>
      </w:r>
      <w:r w:rsidR="004869E3" w:rsidRPr="00FD4743">
        <w:rPr>
          <w:rFonts w:cs="Arial"/>
        </w:rPr>
        <w:t>ilanzierungsumlagefähigen Ausspeisemenge eines UBK</w:t>
      </w:r>
      <w:r w:rsidR="00431293">
        <w:rPr>
          <w:rFonts w:cs="Arial"/>
        </w:rPr>
        <w:t xml:space="preserve"> </w:t>
      </w:r>
      <w:r w:rsidR="008F7314">
        <w:rPr>
          <w:rFonts w:cs="Arial"/>
        </w:rPr>
        <w:t>umgewertet mit</w:t>
      </w:r>
      <w:r w:rsidR="00431293">
        <w:rPr>
          <w:rFonts w:cs="Arial"/>
        </w:rPr>
        <w:t xml:space="preserve"> Abrechnungsbrennwert und</w:t>
      </w:r>
      <w:r w:rsidR="004869E3" w:rsidRPr="00FD4743">
        <w:rPr>
          <w:rFonts w:cs="Arial"/>
        </w:rPr>
        <w:t xml:space="preserve"> </w:t>
      </w:r>
      <w:r w:rsidR="00536442">
        <w:rPr>
          <w:rFonts w:cs="Arial"/>
        </w:rPr>
        <w:t xml:space="preserve">inkl. </w:t>
      </w:r>
      <w:r w:rsidR="004869E3" w:rsidRPr="00FD4743">
        <w:rPr>
          <w:rFonts w:cs="Arial"/>
        </w:rPr>
        <w:t>der aus weiter darunterliegenden UBK bereits übertragenen „</w:t>
      </w:r>
      <w:proofErr w:type="spellStart"/>
      <w:r w:rsidR="004869E3" w:rsidRPr="00FD4743">
        <w:rPr>
          <w:rFonts w:cs="Arial"/>
        </w:rPr>
        <w:t>RLMUMLüber</w:t>
      </w:r>
      <w:proofErr w:type="spellEnd"/>
      <w:r w:rsidR="004869E3" w:rsidRPr="00FD4743">
        <w:rPr>
          <w:rFonts w:cs="Arial"/>
        </w:rPr>
        <w:t xml:space="preserve">“ auf einen </w:t>
      </w:r>
      <w:r w:rsidR="005F34B9">
        <w:rPr>
          <w:rFonts w:cs="Arial"/>
        </w:rPr>
        <w:t>übergeordneten</w:t>
      </w:r>
      <w:r w:rsidR="005F34B9" w:rsidRPr="00FD4743">
        <w:rPr>
          <w:rFonts w:cs="Arial"/>
        </w:rPr>
        <w:t xml:space="preserve"> </w:t>
      </w:r>
      <w:r w:rsidR="004869E3" w:rsidRPr="00FD4743">
        <w:rPr>
          <w:rFonts w:cs="Arial"/>
        </w:rPr>
        <w:t>BK.</w:t>
      </w:r>
      <w:r w:rsidR="00A137EC" w:rsidRPr="00A137EC">
        <w:rPr>
          <w:rFonts w:cs="Arial"/>
        </w:rPr>
        <w:t xml:space="preserve"> </w:t>
      </w:r>
      <w:r w:rsidR="00AE71CA">
        <w:rPr>
          <w:rFonts w:cs="Arial"/>
        </w:rPr>
        <w:t>RLM-</w:t>
      </w:r>
      <w:proofErr w:type="spellStart"/>
      <w:r w:rsidR="00AE71CA">
        <w:rPr>
          <w:rFonts w:cs="Arial"/>
        </w:rPr>
        <w:t>Umlagenmengen</w:t>
      </w:r>
      <w:proofErr w:type="spellEnd"/>
      <w:r w:rsidR="00AE71CA">
        <w:rPr>
          <w:rFonts w:cs="Arial"/>
        </w:rPr>
        <w:t xml:space="preserve"> aus BK</w:t>
      </w:r>
      <w:r w:rsidR="00AE4DA5">
        <w:rPr>
          <w:rFonts w:cs="Arial"/>
        </w:rPr>
        <w:t xml:space="preserve"> mit direkt zahlenden BKV werden bei der Ermittlung der </w:t>
      </w:r>
      <w:proofErr w:type="spellStart"/>
      <w:r w:rsidR="00AE4DA5">
        <w:rPr>
          <w:rFonts w:cs="Arial"/>
        </w:rPr>
        <w:t>zuübertragenden</w:t>
      </w:r>
      <w:proofErr w:type="spellEnd"/>
      <w:r w:rsidR="00AE4DA5">
        <w:rPr>
          <w:rFonts w:cs="Arial"/>
        </w:rPr>
        <w:t xml:space="preserve"> Mengen nicht berücksichtigt. </w:t>
      </w:r>
      <w:r w:rsidR="00A137EC">
        <w:rPr>
          <w:rFonts w:cs="Arial"/>
        </w:rPr>
        <w:t xml:space="preserve">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TRANOT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240AE32B" w14:textId="53476CC7" w:rsidR="00A137EC" w:rsidRDefault="008D0A18" w:rsidP="003C2438">
      <w:pPr>
        <w:spacing w:before="240"/>
        <w:rPr>
          <w:rFonts w:cs="Arial"/>
        </w:rPr>
      </w:pPr>
      <w:r>
        <w:rPr>
          <w:rFonts w:cs="Arial"/>
          <w:b/>
        </w:rPr>
        <w:t>41</w:t>
      </w:r>
      <w:r w:rsidR="00A137EC">
        <w:rPr>
          <w:rFonts w:cs="Arial"/>
          <w:b/>
        </w:rPr>
        <w:t>. Zeitreihentyp „</w:t>
      </w:r>
      <w:proofErr w:type="spellStart"/>
      <w:r w:rsidR="00A137EC">
        <w:rPr>
          <w:rFonts w:cs="Arial"/>
          <w:b/>
        </w:rPr>
        <w:t>RLM</w:t>
      </w:r>
      <w:r w:rsidR="00A137EC" w:rsidRPr="00F32592">
        <w:rPr>
          <w:rFonts w:cs="Arial"/>
          <w:b/>
        </w:rPr>
        <w:t>UMLnach</w:t>
      </w:r>
      <w:proofErr w:type="spellEnd"/>
      <w:r w:rsidR="00A137EC" w:rsidRPr="00F32592">
        <w:rPr>
          <w:rFonts w:cs="Arial"/>
          <w:b/>
        </w:rPr>
        <w:t>“:</w:t>
      </w:r>
      <w:r w:rsidR="00A137EC">
        <w:rPr>
          <w:rFonts w:cs="Arial"/>
        </w:rPr>
        <w:t xml:space="preserve"> </w:t>
      </w:r>
      <w:r w:rsidR="00A137EC" w:rsidRPr="00D853E9">
        <w:rPr>
          <w:rFonts w:cs="Arial"/>
        </w:rPr>
        <w:t>Zeitreihe</w:t>
      </w:r>
      <w:r w:rsidR="00A137EC">
        <w:rPr>
          <w:rFonts w:cs="Arial"/>
        </w:rPr>
        <w:t xml:space="preserve"> der Summe der RLM-</w:t>
      </w:r>
      <w:r w:rsidR="00D44504">
        <w:rPr>
          <w:rFonts w:cs="Arial"/>
        </w:rPr>
        <w:t>b</w:t>
      </w:r>
      <w:r w:rsidR="00A137EC" w:rsidRPr="00FD4743">
        <w:rPr>
          <w:rFonts w:cs="Arial"/>
        </w:rPr>
        <w:t>ilanzierungsumlage</w:t>
      </w:r>
      <w:r w:rsidR="00273E2D">
        <w:rPr>
          <w:rFonts w:cs="Arial"/>
        </w:rPr>
        <w:t>-</w:t>
      </w:r>
      <w:r w:rsidR="00A137EC" w:rsidRPr="00FD4743">
        <w:rPr>
          <w:rFonts w:cs="Arial"/>
        </w:rPr>
        <w:t>fähigen Ausspeisemenge</w:t>
      </w:r>
      <w:r w:rsidR="00A137EC">
        <w:rPr>
          <w:rFonts w:cs="Arial"/>
        </w:rPr>
        <w:t xml:space="preserve"> eines BK</w:t>
      </w:r>
      <w:r w:rsidR="00536442">
        <w:rPr>
          <w:rFonts w:cs="Arial"/>
        </w:rPr>
        <w:t xml:space="preserve">, inkl. </w:t>
      </w:r>
      <w:r w:rsidR="00A137EC">
        <w:rPr>
          <w:rFonts w:cs="Arial"/>
        </w:rPr>
        <w:t>der aus sämtlichen da</w:t>
      </w:r>
      <w:r w:rsidR="00042757">
        <w:rPr>
          <w:rFonts w:cs="Arial"/>
        </w:rPr>
        <w:t>r</w:t>
      </w:r>
      <w:r w:rsidR="00A137EC">
        <w:rPr>
          <w:rFonts w:cs="Arial"/>
        </w:rPr>
        <w:t>unterliegenden UBK übertragenen „</w:t>
      </w:r>
      <w:proofErr w:type="spellStart"/>
      <w:r w:rsidR="00A137EC">
        <w:rPr>
          <w:rFonts w:cs="Arial"/>
        </w:rPr>
        <w:t>RLMUMLüber</w:t>
      </w:r>
      <w:proofErr w:type="spellEnd"/>
      <w:r w:rsidR="00A137EC">
        <w:rPr>
          <w:rFonts w:cs="Arial"/>
        </w:rPr>
        <w:t>“.</w:t>
      </w:r>
      <w:r w:rsidR="00A137EC" w:rsidRPr="00394F04">
        <w:rPr>
          <w:rFonts w:cs="Arial"/>
        </w:rPr>
        <w:t xml:space="preserve"> </w:t>
      </w:r>
      <w:r w:rsidR="00A137EC">
        <w:rPr>
          <w:rFonts w:cs="Arial"/>
        </w:rPr>
        <w:t xml:space="preserve">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IMBNOT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50B9BBCA" w14:textId="7624E6A1" w:rsidR="00A137EC" w:rsidRDefault="008D0A18" w:rsidP="003C2438">
      <w:pPr>
        <w:spacing w:before="240"/>
        <w:rPr>
          <w:rFonts w:cs="Arial"/>
        </w:rPr>
      </w:pPr>
      <w:r>
        <w:rPr>
          <w:rFonts w:cs="Arial"/>
          <w:b/>
        </w:rPr>
        <w:t>42</w:t>
      </w:r>
      <w:r w:rsidR="00A137EC" w:rsidRPr="00FD4743">
        <w:rPr>
          <w:rFonts w:cs="Arial"/>
          <w:b/>
        </w:rPr>
        <w:t xml:space="preserve">. </w:t>
      </w:r>
      <w:r w:rsidR="00A137EC" w:rsidRPr="00FD4743">
        <w:rPr>
          <w:b/>
          <w:bCs/>
        </w:rPr>
        <w:t>Zeitreihentyp „</w:t>
      </w:r>
      <w:proofErr w:type="spellStart"/>
      <w:r w:rsidR="00A137EC" w:rsidRPr="00FD4743">
        <w:rPr>
          <w:b/>
          <w:bCs/>
        </w:rPr>
        <w:t>KONV</w:t>
      </w:r>
      <w:r w:rsidR="00A137EC">
        <w:rPr>
          <w:b/>
          <w:bCs/>
        </w:rPr>
        <w:t>UML</w:t>
      </w:r>
      <w:r w:rsidR="00A137EC" w:rsidRPr="00FD4743">
        <w:rPr>
          <w:b/>
          <w:bCs/>
        </w:rPr>
        <w:t>über</w:t>
      </w:r>
      <w:proofErr w:type="spellEnd"/>
      <w:r w:rsidR="00A137EC" w:rsidRPr="00FD4743">
        <w:rPr>
          <w:b/>
          <w:bCs/>
        </w:rPr>
        <w:t xml:space="preserve">“: </w:t>
      </w:r>
      <w:r w:rsidR="00A137EC">
        <w:rPr>
          <w:rFonts w:cs="Arial"/>
        </w:rPr>
        <w:t>Übertragung</w:t>
      </w:r>
      <w:r w:rsidR="00A137EC" w:rsidRPr="00FD4743">
        <w:rPr>
          <w:rFonts w:cs="Arial"/>
        </w:rPr>
        <w:t xml:space="preserve"> der konvertierungsumlagepflichtigen Mengen</w:t>
      </w:r>
      <w:r w:rsidR="00536442">
        <w:rPr>
          <w:rFonts w:cs="Arial"/>
        </w:rPr>
        <w:t xml:space="preserve">, inkl. </w:t>
      </w:r>
      <w:r w:rsidR="00A137EC" w:rsidRPr="00FD4743">
        <w:rPr>
          <w:rFonts w:cs="Arial"/>
        </w:rPr>
        <w:t>der aus weiter darunterliegenden UBK bereits übertragenen „</w:t>
      </w:r>
      <w:proofErr w:type="spellStart"/>
      <w:r w:rsidR="00A137EC">
        <w:rPr>
          <w:rFonts w:cs="Arial"/>
        </w:rPr>
        <w:t>KONVUML</w:t>
      </w:r>
      <w:r w:rsidR="00A137EC" w:rsidRPr="00FD4743">
        <w:rPr>
          <w:rFonts w:cs="Arial"/>
        </w:rPr>
        <w:t>über</w:t>
      </w:r>
      <w:proofErr w:type="spellEnd"/>
      <w:r w:rsidR="00A137EC" w:rsidRPr="00FD4743">
        <w:rPr>
          <w:rFonts w:cs="Arial"/>
        </w:rPr>
        <w:t xml:space="preserve">“ </w:t>
      </w:r>
      <w:r w:rsidR="00A137EC">
        <w:rPr>
          <w:rFonts w:cs="Arial"/>
        </w:rPr>
        <w:t>an</w:t>
      </w:r>
      <w:r w:rsidR="00A137EC" w:rsidRPr="00FD4743">
        <w:rPr>
          <w:rFonts w:cs="Arial"/>
        </w:rPr>
        <w:t xml:space="preserve"> einen </w:t>
      </w:r>
      <w:r w:rsidR="00A137EC">
        <w:rPr>
          <w:rFonts w:cs="Arial"/>
        </w:rPr>
        <w:t xml:space="preserve">übergeordneten </w:t>
      </w:r>
      <w:r w:rsidR="00A137EC" w:rsidRPr="00FD4743">
        <w:rPr>
          <w:rFonts w:cs="Arial"/>
        </w:rPr>
        <w:t>BK.</w:t>
      </w:r>
      <w:r w:rsidR="00A137EC" w:rsidRPr="00394F04">
        <w:rPr>
          <w:rFonts w:cs="Arial"/>
        </w:rPr>
        <w:t xml:space="preserve"> </w:t>
      </w:r>
      <w:r w:rsidR="00AE4DA5">
        <w:rPr>
          <w:rFonts w:cs="Arial"/>
        </w:rPr>
        <w:t xml:space="preserve">Konvertierungsumlagepflichtige Mengen aus BK mit direkt zahlenden BKV werden bei der Ermittlung der zu übertragenden Mengen nicht berücksichtigt. </w:t>
      </w:r>
      <w:r w:rsidR="00A137EC">
        <w:rPr>
          <w:rFonts w:cs="Arial"/>
        </w:rPr>
        <w:t xml:space="preserve">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TRANOT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0066260E" w14:textId="00B0B49D" w:rsidR="00A137EC" w:rsidRDefault="008D0A18" w:rsidP="003C2438">
      <w:pPr>
        <w:spacing w:before="240"/>
        <w:rPr>
          <w:rFonts w:cs="Arial"/>
        </w:rPr>
      </w:pPr>
      <w:r>
        <w:rPr>
          <w:rFonts w:cs="Arial"/>
          <w:b/>
        </w:rPr>
        <w:t>43</w:t>
      </w:r>
      <w:r w:rsidR="00A137EC" w:rsidRPr="00F32592">
        <w:rPr>
          <w:rFonts w:cs="Arial"/>
          <w:b/>
        </w:rPr>
        <w:t>. Zeitreihentyp „</w:t>
      </w:r>
      <w:proofErr w:type="spellStart"/>
      <w:r w:rsidR="00A137EC">
        <w:rPr>
          <w:rFonts w:cs="Arial"/>
          <w:b/>
        </w:rPr>
        <w:t>KONV</w:t>
      </w:r>
      <w:r w:rsidR="00A137EC" w:rsidRPr="00F32592">
        <w:rPr>
          <w:rFonts w:cs="Arial"/>
          <w:b/>
        </w:rPr>
        <w:t>UMLnach</w:t>
      </w:r>
      <w:proofErr w:type="spellEnd"/>
      <w:r w:rsidR="00A137EC" w:rsidRPr="00F32592">
        <w:rPr>
          <w:rFonts w:cs="Arial"/>
          <w:b/>
        </w:rPr>
        <w:t>“:</w:t>
      </w:r>
      <w:r w:rsidR="00A137EC">
        <w:rPr>
          <w:rFonts w:cs="Arial"/>
        </w:rPr>
        <w:t xml:space="preserve"> </w:t>
      </w:r>
      <w:r w:rsidR="00A137EC" w:rsidRPr="00D853E9">
        <w:rPr>
          <w:rFonts w:cs="Arial"/>
        </w:rPr>
        <w:t>Zeitreihe</w:t>
      </w:r>
      <w:r w:rsidR="00A137EC">
        <w:rPr>
          <w:rFonts w:cs="Arial"/>
        </w:rPr>
        <w:t xml:space="preserve"> der Summe der </w:t>
      </w:r>
      <w:r w:rsidR="00A137EC" w:rsidRPr="00FD4743">
        <w:rPr>
          <w:rFonts w:cs="Arial"/>
        </w:rPr>
        <w:t>konvertierungsumlagepflichtigen Mengen</w:t>
      </w:r>
      <w:r w:rsidR="00A137EC">
        <w:rPr>
          <w:rFonts w:cs="Arial"/>
        </w:rPr>
        <w:t xml:space="preserve"> eines BK</w:t>
      </w:r>
      <w:r w:rsidR="00536442">
        <w:rPr>
          <w:rFonts w:cs="Arial"/>
        </w:rPr>
        <w:t xml:space="preserve">, inkl. </w:t>
      </w:r>
      <w:r w:rsidR="00A137EC">
        <w:rPr>
          <w:rFonts w:cs="Arial"/>
        </w:rPr>
        <w:t>der aus sämtlichen da</w:t>
      </w:r>
      <w:r w:rsidR="00B90D63">
        <w:rPr>
          <w:rFonts w:cs="Arial"/>
        </w:rPr>
        <w:t>r</w:t>
      </w:r>
      <w:r w:rsidR="00A137EC">
        <w:rPr>
          <w:rFonts w:cs="Arial"/>
        </w:rPr>
        <w:t>unterliegenden UBK übertragenen „</w:t>
      </w:r>
      <w:proofErr w:type="spellStart"/>
      <w:r w:rsidR="00A137EC">
        <w:rPr>
          <w:rFonts w:cs="Arial"/>
        </w:rPr>
        <w:t>KONVUMLüber</w:t>
      </w:r>
      <w:proofErr w:type="spellEnd"/>
      <w:r w:rsidR="00A137EC">
        <w:rPr>
          <w:rFonts w:cs="Arial"/>
        </w:rPr>
        <w:t>“.</w:t>
      </w:r>
      <w:r w:rsidR="00A137EC" w:rsidRPr="00394F04">
        <w:rPr>
          <w:rFonts w:cs="Arial"/>
        </w:rPr>
        <w:t xml:space="preserve"> </w:t>
      </w:r>
      <w:r w:rsidR="00A137EC">
        <w:rPr>
          <w:rFonts w:cs="Arial"/>
        </w:rPr>
        <w:t xml:space="preserve">Der </w:t>
      </w:r>
      <w:r w:rsidR="00A137EC" w:rsidRPr="00D853E9">
        <w:rPr>
          <w:rFonts w:cs="Arial"/>
        </w:rPr>
        <w:t>Versand</w:t>
      </w:r>
      <w:r w:rsidR="00A137EC">
        <w:rPr>
          <w:rFonts w:cs="Arial"/>
        </w:rPr>
        <w:t xml:space="preserve"> erfolgt</w:t>
      </w:r>
      <w:r w:rsidR="00A137EC" w:rsidRPr="00D853E9">
        <w:rPr>
          <w:rFonts w:cs="Arial"/>
        </w:rPr>
        <w:t xml:space="preserve"> im Format </w:t>
      </w:r>
      <w:r w:rsidR="00A137EC">
        <w:rPr>
          <w:rFonts w:cs="Arial"/>
        </w:rPr>
        <w:t>IMBNOT</w:t>
      </w:r>
      <w:r w:rsidR="00A137EC" w:rsidRPr="00D853E9">
        <w:rPr>
          <w:rFonts w:cs="Arial"/>
        </w:rPr>
        <w:t xml:space="preserve"> als Zeitreihe mit </w:t>
      </w:r>
      <w:r w:rsidR="00A137EC">
        <w:rPr>
          <w:rFonts w:cs="Arial"/>
        </w:rPr>
        <w:t xml:space="preserve">positiven </w:t>
      </w:r>
      <w:r w:rsidR="00A137EC" w:rsidRPr="00D853E9">
        <w:rPr>
          <w:rFonts w:cs="Arial"/>
        </w:rPr>
        <w:t>Stundenwerten</w:t>
      </w:r>
      <w:r w:rsidR="00A137EC">
        <w:rPr>
          <w:rFonts w:cs="Arial"/>
        </w:rPr>
        <w:t>.</w:t>
      </w:r>
    </w:p>
    <w:p w14:paraId="69CE8940" w14:textId="160DA3E9" w:rsidR="00A137EC" w:rsidRPr="00FD4743" w:rsidRDefault="008D0A18" w:rsidP="003C2438">
      <w:pPr>
        <w:spacing w:before="240"/>
        <w:rPr>
          <w:rFonts w:cs="Arial"/>
        </w:rPr>
      </w:pPr>
      <w:r>
        <w:rPr>
          <w:rFonts w:cs="Arial"/>
          <w:b/>
        </w:rPr>
        <w:lastRenderedPageBreak/>
        <w:t>44</w:t>
      </w:r>
      <w:r w:rsidR="00A137EC" w:rsidRPr="00FD4743">
        <w:rPr>
          <w:rFonts w:cs="Arial"/>
          <w:b/>
        </w:rPr>
        <w:t>. Zeitreihentyp „KONVHL“:</w:t>
      </w:r>
      <w:r w:rsidR="00A137EC" w:rsidRPr="00FD4743">
        <w:rPr>
          <w:rFonts w:cs="Arial"/>
        </w:rPr>
        <w:t xml:space="preserve"> Übermittlung der zu konvertierenden Mengen von H- nach L-Gas, unter Berücksichtigung der RLM-Allokationen </w:t>
      </w:r>
      <w:r w:rsidR="00A137EC">
        <w:rPr>
          <w:rFonts w:cs="Arial"/>
        </w:rPr>
        <w:t xml:space="preserve">umgewertet </w:t>
      </w:r>
      <w:r w:rsidR="00A137EC" w:rsidRPr="00FD4743">
        <w:rPr>
          <w:rFonts w:cs="Arial"/>
        </w:rPr>
        <w:t>mit Abrechnungsbrennwert. Der Versand erfolgt im Format IMBNOT als positiver Tageswert. Diesen ZRT erhalten RBK</w:t>
      </w:r>
      <w:r w:rsidR="00AF5747">
        <w:rPr>
          <w:rFonts w:cs="Arial"/>
        </w:rPr>
        <w:t>.</w:t>
      </w:r>
    </w:p>
    <w:p w14:paraId="337455DC" w14:textId="2455CFF4" w:rsidR="00E157A6" w:rsidRDefault="008D0A18" w:rsidP="00BE7A26">
      <w:pPr>
        <w:spacing w:before="240"/>
        <w:rPr>
          <w:rFonts w:cs="Arial"/>
        </w:rPr>
      </w:pPr>
      <w:r>
        <w:rPr>
          <w:rFonts w:cs="Arial"/>
          <w:b/>
        </w:rPr>
        <w:t>45</w:t>
      </w:r>
      <w:r w:rsidR="00A137EC" w:rsidRPr="00FD4743">
        <w:rPr>
          <w:rFonts w:cs="Arial"/>
          <w:b/>
        </w:rPr>
        <w:t>. Zeitreihentyp „KONVLH“:</w:t>
      </w:r>
      <w:r w:rsidR="00E157A6" w:rsidRPr="00E157A6">
        <w:rPr>
          <w:rFonts w:cs="Arial"/>
          <w:b/>
        </w:rPr>
        <w:t xml:space="preserve"> </w:t>
      </w:r>
      <w:r w:rsidR="00E157A6" w:rsidRPr="00E157A6">
        <w:rPr>
          <w:rFonts w:cs="Arial"/>
        </w:rPr>
        <w:t>Übermittlung der zu konvertierenden Mengen von L- nach H-Gas, unter Berücksichtigung</w:t>
      </w:r>
      <w:r w:rsidR="00A137EC" w:rsidRPr="00FD4743">
        <w:rPr>
          <w:rFonts w:cs="Arial"/>
        </w:rPr>
        <w:t xml:space="preserve"> der RLM-Allokationen </w:t>
      </w:r>
      <w:r w:rsidR="00A137EC">
        <w:rPr>
          <w:rFonts w:cs="Arial"/>
        </w:rPr>
        <w:t xml:space="preserve">umgewertet </w:t>
      </w:r>
      <w:r w:rsidR="00A137EC" w:rsidRPr="00FD4743">
        <w:rPr>
          <w:rFonts w:cs="Arial"/>
        </w:rPr>
        <w:t>mit Abrechnungsbrennwert. Der Versand erfolgt im Format IMBNOT als positiver Tageswert.</w:t>
      </w:r>
      <w:r w:rsidR="00A137EC">
        <w:rPr>
          <w:rFonts w:cs="Arial"/>
        </w:rPr>
        <w:t xml:space="preserve"> </w:t>
      </w:r>
      <w:r w:rsidR="00A137EC" w:rsidRPr="00FD4743">
        <w:rPr>
          <w:rFonts w:cs="Arial"/>
        </w:rPr>
        <w:t>Diesen ZRT erhalten RBK</w:t>
      </w:r>
      <w:r w:rsidR="00AF5747">
        <w:rPr>
          <w:rFonts w:cs="Arial"/>
        </w:rPr>
        <w:t>.</w:t>
      </w:r>
    </w:p>
    <w:p w14:paraId="2F8BB003" w14:textId="221856AF" w:rsidR="00031D18" w:rsidRDefault="00031D18" w:rsidP="00031D18">
      <w:pPr>
        <w:spacing w:before="240"/>
        <w:rPr>
          <w:rFonts w:cs="Arial"/>
        </w:rPr>
      </w:pPr>
      <w:r>
        <w:rPr>
          <w:rFonts w:cs="Arial"/>
          <w:b/>
          <w:bCs/>
        </w:rPr>
        <w:t>4</w:t>
      </w:r>
      <w:r w:rsidR="008D0A18">
        <w:rPr>
          <w:rFonts w:cs="Arial"/>
          <w:b/>
          <w:bCs/>
        </w:rPr>
        <w:t>6</w:t>
      </w:r>
      <w:r w:rsidRPr="00F43455">
        <w:rPr>
          <w:rFonts w:cs="Arial"/>
          <w:b/>
          <w:bCs/>
        </w:rPr>
        <w:t>. Zeitreihentyp „“</w:t>
      </w:r>
      <w:proofErr w:type="spellStart"/>
      <w:r w:rsidRPr="00F43455">
        <w:rPr>
          <w:rFonts w:cs="Arial"/>
          <w:b/>
          <w:bCs/>
        </w:rPr>
        <w:t>SPUML</w:t>
      </w:r>
      <w:r>
        <w:rPr>
          <w:rFonts w:cs="Arial"/>
          <w:b/>
          <w:bCs/>
        </w:rPr>
        <w:t>nach</w:t>
      </w:r>
      <w:proofErr w:type="spellEnd"/>
      <w:r w:rsidRPr="00F43455">
        <w:rPr>
          <w:rFonts w:cs="Arial"/>
          <w:b/>
          <w:bCs/>
        </w:rPr>
        <w:t>“:</w:t>
      </w:r>
      <w:r>
        <w:rPr>
          <w:rFonts w:cs="Arial"/>
        </w:rPr>
        <w:t xml:space="preserve"> Zeitreihe der Summe der speicherumlagepflichtigen Mengen eines BK inkl</w:t>
      </w:r>
      <w:r w:rsidR="00FA6825">
        <w:rPr>
          <w:rFonts w:cs="Arial"/>
        </w:rPr>
        <w:t>usiv</w:t>
      </w:r>
      <w:r>
        <w:rPr>
          <w:rFonts w:cs="Arial"/>
        </w:rPr>
        <w:t xml:space="preserve"> </w:t>
      </w:r>
      <w:r w:rsidRPr="00FD4743">
        <w:rPr>
          <w:rFonts w:cs="Arial"/>
        </w:rPr>
        <w:t>der aus weiter darunterliegenden UBK bereits übertragenen „</w:t>
      </w:r>
      <w:proofErr w:type="spellStart"/>
      <w:r>
        <w:rPr>
          <w:rFonts w:cs="Arial"/>
        </w:rPr>
        <w:t>SPUMLüber</w:t>
      </w:r>
      <w:proofErr w:type="spellEnd"/>
      <w:r w:rsidRPr="00FD4743">
        <w:rPr>
          <w:rFonts w:cs="Arial"/>
        </w:rPr>
        <w:t xml:space="preserve">“ </w:t>
      </w:r>
      <w:r>
        <w:rPr>
          <w:rFonts w:cs="Arial"/>
        </w:rPr>
        <w:t>an</w:t>
      </w:r>
      <w:r w:rsidRPr="00FD4743">
        <w:rPr>
          <w:rFonts w:cs="Arial"/>
        </w:rPr>
        <w:t xml:space="preserve"> einen </w:t>
      </w:r>
      <w:r>
        <w:rPr>
          <w:rFonts w:cs="Arial"/>
        </w:rPr>
        <w:t xml:space="preserve">übergeordneten </w:t>
      </w:r>
      <w:r w:rsidRPr="00FD4743">
        <w:rPr>
          <w:rFonts w:cs="Arial"/>
        </w:rPr>
        <w:t>BK.</w:t>
      </w:r>
      <w:r w:rsidRPr="00394F04">
        <w:rPr>
          <w:rFonts w:cs="Arial"/>
        </w:rPr>
        <w:t xml:space="preserve"> </w:t>
      </w:r>
      <w:r>
        <w:rPr>
          <w:rFonts w:cs="Arial"/>
        </w:rPr>
        <w:t xml:space="preserve">Speicherumlagepflichtige Mengen aus BK mit direkt zahlenden BKV werden bei der Ermittlung der zu übertragenden Mengen nicht berücksichtigt. Der </w:t>
      </w:r>
      <w:r w:rsidRPr="00D853E9">
        <w:rPr>
          <w:rFonts w:cs="Arial"/>
        </w:rPr>
        <w:t>Versand</w:t>
      </w:r>
      <w:r>
        <w:rPr>
          <w:rFonts w:cs="Arial"/>
        </w:rPr>
        <w:t xml:space="preserve"> erfolgt</w:t>
      </w:r>
      <w:r w:rsidRPr="00D853E9">
        <w:rPr>
          <w:rFonts w:cs="Arial"/>
        </w:rPr>
        <w:t xml:space="preserve"> im Format </w:t>
      </w:r>
      <w:r w:rsidRPr="00686CDD">
        <w:rPr>
          <w:rFonts w:cs="Arial"/>
        </w:rPr>
        <w:t>IMBNOT</w:t>
      </w:r>
      <w:r w:rsidRPr="00D853E9">
        <w:rPr>
          <w:rFonts w:cs="Arial"/>
        </w:rPr>
        <w:t xml:space="preserve"> als Zeitreihe mit </w:t>
      </w:r>
      <w:r>
        <w:rPr>
          <w:rFonts w:cs="Arial"/>
        </w:rPr>
        <w:t xml:space="preserve">positiven </w:t>
      </w:r>
      <w:r w:rsidRPr="00D853E9">
        <w:rPr>
          <w:rFonts w:cs="Arial"/>
        </w:rPr>
        <w:t>Stundenwerten</w:t>
      </w:r>
      <w:r>
        <w:rPr>
          <w:rFonts w:cs="Arial"/>
        </w:rPr>
        <w:t>.</w:t>
      </w:r>
    </w:p>
    <w:p w14:paraId="1CEC215C" w14:textId="651B5C4F" w:rsidR="00031D18" w:rsidRDefault="00031D18" w:rsidP="00031D18">
      <w:pPr>
        <w:spacing w:before="240"/>
        <w:rPr>
          <w:rFonts w:cs="Arial"/>
        </w:rPr>
      </w:pPr>
      <w:r>
        <w:rPr>
          <w:rFonts w:cs="Arial"/>
          <w:b/>
          <w:bCs/>
        </w:rPr>
        <w:t>4</w:t>
      </w:r>
      <w:r w:rsidR="008D0A18">
        <w:rPr>
          <w:rFonts w:cs="Arial"/>
          <w:b/>
          <w:bCs/>
        </w:rPr>
        <w:t>7</w:t>
      </w:r>
      <w:r w:rsidRPr="00BB2D76">
        <w:rPr>
          <w:rFonts w:cs="Arial"/>
          <w:b/>
          <w:bCs/>
        </w:rPr>
        <w:t>. Zeitreihentyp „“</w:t>
      </w:r>
      <w:proofErr w:type="spellStart"/>
      <w:r w:rsidRPr="00BB2D76">
        <w:rPr>
          <w:rFonts w:cs="Arial"/>
          <w:b/>
          <w:bCs/>
        </w:rPr>
        <w:t>SPUML</w:t>
      </w:r>
      <w:r>
        <w:rPr>
          <w:rFonts w:cs="Arial"/>
          <w:b/>
          <w:bCs/>
        </w:rPr>
        <w:t>über</w:t>
      </w:r>
      <w:proofErr w:type="spellEnd"/>
      <w:r w:rsidRPr="00BB2D76">
        <w:rPr>
          <w:rFonts w:cs="Arial"/>
          <w:b/>
          <w:bCs/>
        </w:rPr>
        <w:t>“:</w:t>
      </w:r>
      <w:r>
        <w:rPr>
          <w:rFonts w:cs="Arial"/>
        </w:rPr>
        <w:t xml:space="preserve"> Übertragung der speicherumlagepflichtigen Mengen eines UBK inkl</w:t>
      </w:r>
      <w:r w:rsidR="00FA6825">
        <w:rPr>
          <w:rFonts w:cs="Arial"/>
        </w:rPr>
        <w:t>usive</w:t>
      </w:r>
      <w:r>
        <w:rPr>
          <w:rFonts w:cs="Arial"/>
        </w:rPr>
        <w:t xml:space="preserve"> </w:t>
      </w:r>
      <w:r w:rsidRPr="00FD4743">
        <w:rPr>
          <w:rFonts w:cs="Arial"/>
        </w:rPr>
        <w:t>der aus weiter darunterliegenden UBK bereits übertragenen „</w:t>
      </w:r>
      <w:proofErr w:type="spellStart"/>
      <w:r>
        <w:rPr>
          <w:rFonts w:cs="Arial"/>
        </w:rPr>
        <w:t>SPUMLüber</w:t>
      </w:r>
      <w:proofErr w:type="spellEnd"/>
      <w:r w:rsidRPr="00FD4743">
        <w:rPr>
          <w:rFonts w:cs="Arial"/>
        </w:rPr>
        <w:t xml:space="preserve">“ </w:t>
      </w:r>
      <w:r>
        <w:rPr>
          <w:rFonts w:cs="Arial"/>
        </w:rPr>
        <w:t>an</w:t>
      </w:r>
      <w:r w:rsidRPr="00FD4743">
        <w:rPr>
          <w:rFonts w:cs="Arial"/>
        </w:rPr>
        <w:t xml:space="preserve"> einen </w:t>
      </w:r>
      <w:r>
        <w:rPr>
          <w:rFonts w:cs="Arial"/>
        </w:rPr>
        <w:t xml:space="preserve">übergeordneten </w:t>
      </w:r>
      <w:r w:rsidRPr="00FD4743">
        <w:rPr>
          <w:rFonts w:cs="Arial"/>
        </w:rPr>
        <w:t>BK.</w:t>
      </w:r>
      <w:r w:rsidRPr="00394F04">
        <w:rPr>
          <w:rFonts w:cs="Arial"/>
        </w:rPr>
        <w:t xml:space="preserve"> </w:t>
      </w:r>
      <w:r>
        <w:rPr>
          <w:rFonts w:cs="Arial"/>
        </w:rPr>
        <w:t xml:space="preserve">Speicherumlagepflichtige Mengen aus BK mit direkt zahlenden BKV werden bei der Ermittlung der zu übertragenden Mengen nicht berücksichtigt. Der </w:t>
      </w:r>
      <w:r w:rsidRPr="00D853E9">
        <w:rPr>
          <w:rFonts w:cs="Arial"/>
        </w:rPr>
        <w:t>Versand</w:t>
      </w:r>
      <w:r>
        <w:rPr>
          <w:rFonts w:cs="Arial"/>
        </w:rPr>
        <w:t xml:space="preserve"> erfolgt</w:t>
      </w:r>
      <w:r w:rsidRPr="00D853E9">
        <w:rPr>
          <w:rFonts w:cs="Arial"/>
        </w:rPr>
        <w:t xml:space="preserve"> im </w:t>
      </w:r>
      <w:r w:rsidRPr="00686CDD">
        <w:rPr>
          <w:rFonts w:cs="Arial"/>
        </w:rPr>
        <w:t>Format TRANOT</w:t>
      </w:r>
      <w:r w:rsidRPr="00D853E9">
        <w:rPr>
          <w:rFonts w:cs="Arial"/>
        </w:rPr>
        <w:t xml:space="preserve"> als Zeitreihe mit </w:t>
      </w:r>
      <w:r>
        <w:rPr>
          <w:rFonts w:cs="Arial"/>
        </w:rPr>
        <w:t xml:space="preserve">positiven </w:t>
      </w:r>
      <w:r w:rsidRPr="00D853E9">
        <w:rPr>
          <w:rFonts w:cs="Arial"/>
        </w:rPr>
        <w:t>Stundenwerten</w:t>
      </w:r>
      <w:r>
        <w:rPr>
          <w:rFonts w:cs="Arial"/>
        </w:rPr>
        <w:t>.</w:t>
      </w:r>
    </w:p>
    <w:p w14:paraId="29C877BA" w14:textId="0379078D" w:rsidR="00031D18" w:rsidRDefault="00031D18" w:rsidP="00031D18">
      <w:pPr>
        <w:spacing w:before="240"/>
        <w:rPr>
          <w:rFonts w:cs="Arial"/>
        </w:rPr>
      </w:pPr>
      <w:r>
        <w:rPr>
          <w:rFonts w:cs="Arial"/>
        </w:rPr>
        <w:t>Die ZRT „</w:t>
      </w:r>
      <w:proofErr w:type="spellStart"/>
      <w:r>
        <w:rPr>
          <w:rFonts w:cs="Arial"/>
        </w:rPr>
        <w:t>SPUMLnach</w:t>
      </w:r>
      <w:proofErr w:type="spellEnd"/>
      <w:r>
        <w:rPr>
          <w:rFonts w:cs="Arial"/>
        </w:rPr>
        <w:t>“ (Nr. 4</w:t>
      </w:r>
      <w:r w:rsidR="008D0A18">
        <w:rPr>
          <w:rFonts w:cs="Arial"/>
        </w:rPr>
        <w:t>6</w:t>
      </w:r>
      <w:r>
        <w:rPr>
          <w:rFonts w:cs="Arial"/>
        </w:rPr>
        <w:t>) und „</w:t>
      </w:r>
      <w:proofErr w:type="spellStart"/>
      <w:r>
        <w:rPr>
          <w:rFonts w:cs="Arial"/>
        </w:rPr>
        <w:t>SPUMLüber</w:t>
      </w:r>
      <w:proofErr w:type="spellEnd"/>
      <w:r>
        <w:rPr>
          <w:rFonts w:cs="Arial"/>
        </w:rPr>
        <w:t>“ (Nr. 4</w:t>
      </w:r>
      <w:r w:rsidR="008D0A18">
        <w:rPr>
          <w:rFonts w:cs="Arial"/>
        </w:rPr>
        <w:t>7</w:t>
      </w:r>
      <w:r>
        <w:rPr>
          <w:rFonts w:cs="Arial"/>
        </w:rPr>
        <w:t xml:space="preserve">) sind, </w:t>
      </w:r>
      <w:r>
        <w:t>s</w:t>
      </w:r>
      <w:r w:rsidRPr="005014AB">
        <w:rPr>
          <w:rFonts w:cs="Arial"/>
        </w:rPr>
        <w:t xml:space="preserve">oweit </w:t>
      </w:r>
      <w:r>
        <w:rPr>
          <w:rFonts w:cs="Arial"/>
        </w:rPr>
        <w:t xml:space="preserve">diese </w:t>
      </w:r>
      <w:r w:rsidRPr="005014AB">
        <w:rPr>
          <w:rFonts w:cs="Arial"/>
        </w:rPr>
        <w:t xml:space="preserve">zuvor Gegenstand einer durch die Bundesnetzagentur begleiteten Konsultation </w:t>
      </w:r>
      <w:r>
        <w:rPr>
          <w:rFonts w:cs="Arial"/>
        </w:rPr>
        <w:t xml:space="preserve">zum elektronischen Datenaustausch </w:t>
      </w:r>
      <w:r w:rsidRPr="005014AB">
        <w:rPr>
          <w:rFonts w:cs="Arial"/>
        </w:rPr>
        <w:t>waren und im Anschluss durch die Bundesnetzagentur veröffentlicht worden sind</w:t>
      </w:r>
      <w:r>
        <w:rPr>
          <w:rFonts w:cs="Arial"/>
        </w:rPr>
        <w:t>, ab dem vorgegebenen Zeitpunkt anzuwenden</w:t>
      </w:r>
      <w:r w:rsidRPr="005014AB">
        <w:rPr>
          <w:rFonts w:cs="Arial"/>
        </w:rPr>
        <w:t>.</w:t>
      </w:r>
    </w:p>
    <w:p w14:paraId="09843256" w14:textId="77777777" w:rsidR="00031D18" w:rsidRDefault="00031D18" w:rsidP="00BE7A26">
      <w:pPr>
        <w:spacing w:before="240"/>
        <w:rPr>
          <w:rFonts w:cs="Arial"/>
        </w:rPr>
      </w:pPr>
    </w:p>
    <w:p w14:paraId="110EB995" w14:textId="77777777" w:rsidR="00E157A6" w:rsidRPr="00E157A6" w:rsidRDefault="00E157A6" w:rsidP="00C20542">
      <w:pPr>
        <w:pStyle w:val="berschrift3"/>
        <w:spacing w:before="480"/>
        <w:ind w:left="969" w:hanging="1009"/>
        <w:rPr>
          <w:b w:val="0"/>
        </w:rPr>
      </w:pPr>
      <w:bookmarkStart w:id="261" w:name="_Toc111118455"/>
      <w:r w:rsidRPr="00E157A6">
        <w:t>Biogas-Zeitreihentypen</w:t>
      </w:r>
      <w:bookmarkEnd w:id="261"/>
    </w:p>
    <w:p w14:paraId="7CF248BD" w14:textId="64393EB1" w:rsidR="003D0044" w:rsidRDefault="003D0044" w:rsidP="003C2438">
      <w:pPr>
        <w:spacing w:before="240"/>
        <w:rPr>
          <w:rFonts w:cs="Arial"/>
        </w:rPr>
      </w:pPr>
      <w:r w:rsidRPr="00FD4743">
        <w:rPr>
          <w:rFonts w:cs="Arial"/>
        </w:rPr>
        <w:t xml:space="preserve">Die </w:t>
      </w:r>
      <w:r w:rsidRPr="00FD4743">
        <w:rPr>
          <w:rFonts w:cs="Arial"/>
          <w:b/>
        </w:rPr>
        <w:t xml:space="preserve">Zeitreihentypen </w:t>
      </w:r>
      <w:r w:rsidR="00686CDD">
        <w:rPr>
          <w:rFonts w:cs="Arial"/>
          <w:b/>
        </w:rPr>
        <w:t>4</w:t>
      </w:r>
      <w:r w:rsidR="008D0A18">
        <w:rPr>
          <w:rFonts w:cs="Arial"/>
          <w:b/>
        </w:rPr>
        <w:t>8</w:t>
      </w:r>
      <w:r w:rsidR="00536442">
        <w:rPr>
          <w:rFonts w:cs="Arial"/>
          <w:b/>
        </w:rPr>
        <w:t xml:space="preserve"> </w:t>
      </w:r>
      <w:r w:rsidR="004637D5">
        <w:rPr>
          <w:rFonts w:cs="Arial"/>
          <w:b/>
        </w:rPr>
        <w:t>-</w:t>
      </w:r>
      <w:r w:rsidR="00536442">
        <w:rPr>
          <w:rFonts w:cs="Arial"/>
          <w:b/>
        </w:rPr>
        <w:t xml:space="preserve"> </w:t>
      </w:r>
      <w:r w:rsidR="00686CDD">
        <w:rPr>
          <w:rFonts w:cs="Arial"/>
          <w:b/>
        </w:rPr>
        <w:t>5</w:t>
      </w:r>
      <w:r w:rsidR="008D0A18">
        <w:rPr>
          <w:rFonts w:cs="Arial"/>
          <w:b/>
        </w:rPr>
        <w:t>4</w:t>
      </w:r>
      <w:r w:rsidRPr="00FD4743">
        <w:rPr>
          <w:rFonts w:cs="Arial"/>
          <w:b/>
        </w:rPr>
        <w:t xml:space="preserve"> </w:t>
      </w:r>
      <w:r w:rsidRPr="00FD4743">
        <w:rPr>
          <w:rFonts w:cs="Arial"/>
        </w:rPr>
        <w:t>werden im Datenformat IMBNOT</w:t>
      </w:r>
      <w:r>
        <w:rPr>
          <w:rFonts w:cs="Arial"/>
        </w:rPr>
        <w:t xml:space="preserve"> ausschließlich an Biogas-RBK übersendet.</w:t>
      </w:r>
    </w:p>
    <w:p w14:paraId="75DD8307" w14:textId="0326E6F8" w:rsidR="00310DAE" w:rsidRPr="001264ED" w:rsidRDefault="00686CDD" w:rsidP="003C2438">
      <w:pPr>
        <w:spacing w:before="240"/>
        <w:rPr>
          <w:rFonts w:cs="Arial"/>
        </w:rPr>
      </w:pPr>
      <w:r>
        <w:rPr>
          <w:rFonts w:cs="Arial"/>
          <w:b/>
        </w:rPr>
        <w:t>4</w:t>
      </w:r>
      <w:r w:rsidR="008D0A18">
        <w:rPr>
          <w:rFonts w:cs="Arial"/>
          <w:b/>
        </w:rPr>
        <w:t>8</w:t>
      </w:r>
      <w:r w:rsidR="00310DAE" w:rsidRPr="003E61FC">
        <w:rPr>
          <w:rFonts w:cs="Arial"/>
          <w:b/>
        </w:rPr>
        <w:t>.</w:t>
      </w:r>
      <w:r w:rsidR="00310DAE">
        <w:rPr>
          <w:rFonts w:cs="Arial"/>
          <w:b/>
        </w:rPr>
        <w:t xml:space="preserve"> </w:t>
      </w:r>
      <w:r w:rsidR="00310DAE" w:rsidRPr="003E61FC">
        <w:rPr>
          <w:rFonts w:cs="Arial"/>
          <w:b/>
        </w:rPr>
        <w:t>Zeitreihentyp „</w:t>
      </w:r>
      <w:r w:rsidR="00310DAE">
        <w:rPr>
          <w:rFonts w:cs="Arial"/>
          <w:b/>
        </w:rPr>
        <w:t>BIOFLEX</w:t>
      </w:r>
      <w:r w:rsidR="00310DAE" w:rsidRPr="003E61FC">
        <w:rPr>
          <w:rFonts w:cs="Arial"/>
          <w:b/>
        </w:rPr>
        <w:t>“:</w:t>
      </w:r>
      <w:r w:rsidR="00310DAE" w:rsidRPr="003E61FC">
        <w:rPr>
          <w:rFonts w:cs="Arial"/>
        </w:rPr>
        <w:t xml:space="preserve"> </w:t>
      </w:r>
      <w:r w:rsidR="00310DAE">
        <w:rPr>
          <w:rFonts w:cs="Arial"/>
        </w:rPr>
        <w:t xml:space="preserve">Wert der absoluten </w:t>
      </w:r>
      <w:r w:rsidR="00310DAE" w:rsidRPr="00310DAE">
        <w:rPr>
          <w:rFonts w:cs="Arial"/>
        </w:rPr>
        <w:t>Flexibilität bei der Bilanzierung von Biogasbilanzkreisen</w:t>
      </w:r>
      <w:r w:rsidR="009E539C">
        <w:rPr>
          <w:rFonts w:cs="Arial"/>
        </w:rPr>
        <w:t xml:space="preserve"> (siehe </w:t>
      </w:r>
      <w:r w:rsidR="004B77C7">
        <w:rPr>
          <w:rFonts w:cs="Arial"/>
        </w:rPr>
        <w:t xml:space="preserve">Kap. </w:t>
      </w:r>
      <w:r w:rsidR="0011373C">
        <w:fldChar w:fldCharType="begin"/>
      </w:r>
      <w:r w:rsidR="0011373C">
        <w:instrText xml:space="preserve"> REF _Ref411947269 \r \h  \* MERGEFORMAT </w:instrText>
      </w:r>
      <w:r w:rsidR="0011373C">
        <w:fldChar w:fldCharType="separate"/>
      </w:r>
      <w:r w:rsidR="00692E23" w:rsidRPr="00692E23">
        <w:rPr>
          <w:rFonts w:cs="Arial"/>
        </w:rPr>
        <w:t>6.3.4</w:t>
      </w:r>
      <w:r w:rsidR="0011373C">
        <w:fldChar w:fldCharType="end"/>
      </w:r>
      <w:r w:rsidR="00310DAE">
        <w:rPr>
          <w:rFonts w:cs="Arial"/>
        </w:rPr>
        <w:t>)</w:t>
      </w:r>
      <w:r w:rsidR="00431293">
        <w:rPr>
          <w:rFonts w:cs="Arial"/>
        </w:rPr>
        <w:t xml:space="preserve">, </w:t>
      </w:r>
      <w:r w:rsidR="00342485">
        <w:rPr>
          <w:rFonts w:cs="Arial"/>
        </w:rPr>
        <w:t>umgewertet mit</w:t>
      </w:r>
      <w:r w:rsidR="00431293">
        <w:rPr>
          <w:rFonts w:cs="Arial"/>
        </w:rPr>
        <w:t xml:space="preserve"> Abrechnungsbrennwert</w:t>
      </w:r>
      <w:r w:rsidR="00310DAE">
        <w:rPr>
          <w:rFonts w:cs="Arial"/>
        </w:rPr>
        <w:t>.</w:t>
      </w:r>
      <w:r w:rsidR="00E91A74">
        <w:rPr>
          <w:rFonts w:cs="Arial"/>
        </w:rPr>
        <w:t xml:space="preserve"> </w:t>
      </w:r>
      <w:r w:rsidR="00B158E5" w:rsidRPr="00B158E5">
        <w:rPr>
          <w:rFonts w:cs="Arial"/>
          <w:color w:val="000000"/>
        </w:rPr>
        <w:t>Der Versand er</w:t>
      </w:r>
      <w:r w:rsidR="00161B02" w:rsidRPr="00161B02">
        <w:rPr>
          <w:rFonts w:cs="Arial"/>
          <w:color w:val="000000"/>
        </w:rPr>
        <w:t xml:space="preserve">folgt als positive </w:t>
      </w:r>
      <w:r w:rsidR="00B158E5" w:rsidRPr="00B158E5">
        <w:rPr>
          <w:rFonts w:cs="Arial"/>
          <w:color w:val="000000"/>
        </w:rPr>
        <w:t>Bilanzierungsperiodenzeitreihe in kWh.</w:t>
      </w:r>
    </w:p>
    <w:p w14:paraId="4DF893DC" w14:textId="06776355" w:rsidR="001E7A3C" w:rsidRPr="001264ED" w:rsidRDefault="00686CDD" w:rsidP="003C2438">
      <w:pPr>
        <w:spacing w:before="240"/>
        <w:rPr>
          <w:rFonts w:cs="Arial"/>
        </w:rPr>
      </w:pPr>
      <w:r>
        <w:rPr>
          <w:rFonts w:cs="Arial"/>
          <w:b/>
        </w:rPr>
        <w:t>4</w:t>
      </w:r>
      <w:r w:rsidR="008D0A18">
        <w:rPr>
          <w:rFonts w:cs="Arial"/>
          <w:b/>
        </w:rPr>
        <w:t>9</w:t>
      </w:r>
      <w:r w:rsidR="00310DAE" w:rsidRPr="003E61FC">
        <w:rPr>
          <w:rFonts w:cs="Arial"/>
          <w:b/>
        </w:rPr>
        <w:t>.</w:t>
      </w:r>
      <w:r w:rsidR="00310DAE">
        <w:rPr>
          <w:rFonts w:cs="Arial"/>
          <w:b/>
        </w:rPr>
        <w:t xml:space="preserve"> </w:t>
      </w:r>
      <w:r w:rsidR="00310DAE" w:rsidRPr="003E61FC">
        <w:rPr>
          <w:rFonts w:cs="Arial"/>
          <w:b/>
        </w:rPr>
        <w:t>Zeitreihentyp „</w:t>
      </w:r>
      <w:r w:rsidR="00310DAE">
        <w:rPr>
          <w:rFonts w:cs="Arial"/>
          <w:b/>
        </w:rPr>
        <w:t>BIOFLEXMAX</w:t>
      </w:r>
      <w:r w:rsidR="00310DAE" w:rsidRPr="003E61FC">
        <w:rPr>
          <w:rFonts w:cs="Arial"/>
          <w:b/>
        </w:rPr>
        <w:t>“:</w:t>
      </w:r>
      <w:r w:rsidR="00310DAE" w:rsidRPr="003E61FC">
        <w:rPr>
          <w:rFonts w:cs="Arial"/>
        </w:rPr>
        <w:t xml:space="preserve"> </w:t>
      </w:r>
      <w:r w:rsidR="00310DAE">
        <w:rPr>
          <w:rFonts w:cs="Arial"/>
        </w:rPr>
        <w:t xml:space="preserve">Wert der </w:t>
      </w:r>
      <w:r w:rsidR="001E7A3C">
        <w:rPr>
          <w:rFonts w:cs="Arial"/>
        </w:rPr>
        <w:t>maximalen Inanspruchnahme des</w:t>
      </w:r>
      <w:r w:rsidR="00310DAE">
        <w:rPr>
          <w:rFonts w:cs="Arial"/>
        </w:rPr>
        <w:t xml:space="preserve"> </w:t>
      </w:r>
      <w:r w:rsidR="00310DAE" w:rsidRPr="00310DAE">
        <w:rPr>
          <w:rFonts w:cs="Arial"/>
        </w:rPr>
        <w:t>Flexibilität</w:t>
      </w:r>
      <w:r w:rsidR="001E7A3C">
        <w:rPr>
          <w:rFonts w:cs="Arial"/>
        </w:rPr>
        <w:t>srahmens</w:t>
      </w:r>
      <w:r w:rsidR="00310DAE" w:rsidRPr="00310DAE">
        <w:rPr>
          <w:rFonts w:cs="Arial"/>
        </w:rPr>
        <w:t xml:space="preserve"> bei der Bilanzierung von Biogasbilanzkreisen</w:t>
      </w:r>
      <w:r w:rsidR="009E539C">
        <w:rPr>
          <w:rFonts w:cs="Arial"/>
        </w:rPr>
        <w:t xml:space="preserve"> (siehe </w:t>
      </w:r>
      <w:r w:rsidR="004B77C7">
        <w:rPr>
          <w:rFonts w:cs="Arial"/>
        </w:rPr>
        <w:t xml:space="preserve">Kap. </w:t>
      </w:r>
      <w:r w:rsidR="0011373C">
        <w:fldChar w:fldCharType="begin"/>
      </w:r>
      <w:r w:rsidR="0011373C">
        <w:instrText xml:space="preserve"> REF _Ref411947592 \r \h  \* MERGEFORMAT </w:instrText>
      </w:r>
      <w:r w:rsidR="0011373C">
        <w:fldChar w:fldCharType="separate"/>
      </w:r>
      <w:r w:rsidR="00692E23" w:rsidRPr="00692E23">
        <w:rPr>
          <w:rFonts w:cs="Arial"/>
        </w:rPr>
        <w:t>9.3</w:t>
      </w:r>
      <w:r w:rsidR="0011373C">
        <w:fldChar w:fldCharType="end"/>
      </w:r>
      <w:r w:rsidR="00310DAE">
        <w:rPr>
          <w:rFonts w:cs="Arial"/>
        </w:rPr>
        <w:t>)</w:t>
      </w:r>
      <w:r w:rsidR="0046355F">
        <w:rPr>
          <w:rFonts w:cs="Arial"/>
        </w:rPr>
        <w:t xml:space="preserve">, </w:t>
      </w:r>
      <w:r w:rsidR="00342485">
        <w:rPr>
          <w:rFonts w:cs="Arial"/>
        </w:rPr>
        <w:t xml:space="preserve">umgewertet mit </w:t>
      </w:r>
      <w:r w:rsidR="0046355F">
        <w:rPr>
          <w:rFonts w:cs="Arial"/>
        </w:rPr>
        <w:t>Abrechnungsbrennwert</w:t>
      </w:r>
      <w:r w:rsidR="00310DAE">
        <w:rPr>
          <w:rFonts w:cs="Arial"/>
        </w:rPr>
        <w:t>.</w:t>
      </w:r>
      <w:r w:rsidR="00161B02">
        <w:rPr>
          <w:rFonts w:cs="Arial"/>
        </w:rPr>
        <w:t xml:space="preserve"> </w:t>
      </w:r>
      <w:r w:rsidR="00161B02" w:rsidRPr="00FC0C60">
        <w:rPr>
          <w:rFonts w:cs="Arial"/>
          <w:color w:val="000000"/>
        </w:rPr>
        <w:t>Der Versand er</w:t>
      </w:r>
      <w:r w:rsidR="00161B02" w:rsidRPr="00161B02">
        <w:rPr>
          <w:rFonts w:cs="Arial"/>
          <w:color w:val="000000"/>
        </w:rPr>
        <w:t>folgt al</w:t>
      </w:r>
      <w:r w:rsidR="00161B02" w:rsidRPr="00FC0C60">
        <w:rPr>
          <w:rFonts w:cs="Arial"/>
          <w:color w:val="000000"/>
        </w:rPr>
        <w:t>s positive Bilanzierungsperiodenzeitreihe in kWh.</w:t>
      </w:r>
    </w:p>
    <w:p w14:paraId="544D438D" w14:textId="2D2A5FF1" w:rsidR="00310DAE" w:rsidRPr="001264ED" w:rsidRDefault="008D0A18" w:rsidP="003C2438">
      <w:pPr>
        <w:spacing w:before="240"/>
        <w:rPr>
          <w:rFonts w:cs="Arial"/>
        </w:rPr>
      </w:pPr>
      <w:r>
        <w:rPr>
          <w:rFonts w:cs="Arial"/>
          <w:b/>
        </w:rPr>
        <w:lastRenderedPageBreak/>
        <w:t>50</w:t>
      </w:r>
      <w:r w:rsidR="001E7A3C" w:rsidRPr="003E61FC">
        <w:rPr>
          <w:rFonts w:cs="Arial"/>
          <w:b/>
        </w:rPr>
        <w:t>.</w:t>
      </w:r>
      <w:r w:rsidR="001E7A3C">
        <w:rPr>
          <w:rFonts w:cs="Arial"/>
          <w:b/>
        </w:rPr>
        <w:t xml:space="preserve"> </w:t>
      </w:r>
      <w:r w:rsidR="001E7A3C" w:rsidRPr="003E61FC">
        <w:rPr>
          <w:rFonts w:cs="Arial"/>
          <w:b/>
        </w:rPr>
        <w:t>Zeitreihentyp „</w:t>
      </w:r>
      <w:r w:rsidR="001E7A3C">
        <w:rPr>
          <w:rFonts w:cs="Arial"/>
          <w:b/>
        </w:rPr>
        <w:t>BIOFLEXSALD</w:t>
      </w:r>
      <w:r w:rsidR="001E7A3C" w:rsidRPr="003E61FC">
        <w:rPr>
          <w:rFonts w:cs="Arial"/>
          <w:b/>
        </w:rPr>
        <w:t>“:</w:t>
      </w:r>
      <w:r w:rsidR="001E7A3C" w:rsidRPr="003E61FC">
        <w:rPr>
          <w:rFonts w:cs="Arial"/>
        </w:rPr>
        <w:t xml:space="preserve"> </w:t>
      </w:r>
      <w:r w:rsidR="001E7A3C">
        <w:rPr>
          <w:rFonts w:cs="Arial"/>
        </w:rPr>
        <w:t xml:space="preserve">Täglicher Wert der Über- bzw. Unterschreitung des </w:t>
      </w:r>
      <w:r w:rsidR="001E7A3C" w:rsidRPr="00310DAE">
        <w:rPr>
          <w:rFonts w:cs="Arial"/>
        </w:rPr>
        <w:t>Flexibilität</w:t>
      </w:r>
      <w:r w:rsidR="001E7A3C">
        <w:rPr>
          <w:rFonts w:cs="Arial"/>
        </w:rPr>
        <w:t>srahmens</w:t>
      </w:r>
      <w:r w:rsidR="001E7A3C" w:rsidRPr="00310DAE">
        <w:rPr>
          <w:rFonts w:cs="Arial"/>
        </w:rPr>
        <w:t xml:space="preserve"> bei der Bilanzierung von Biogasbilanzkreisen</w:t>
      </w:r>
      <w:r w:rsidR="00342485">
        <w:rPr>
          <w:rFonts w:cs="Arial"/>
        </w:rPr>
        <w:t>,</w:t>
      </w:r>
      <w:r w:rsidR="009E539C">
        <w:rPr>
          <w:rFonts w:cs="Arial"/>
        </w:rPr>
        <w:t xml:space="preserve"> </w:t>
      </w:r>
      <w:r w:rsidR="00342485">
        <w:rPr>
          <w:rFonts w:cs="Arial"/>
        </w:rPr>
        <w:t>umgewertet mit</w:t>
      </w:r>
      <w:r w:rsidR="002E4262">
        <w:rPr>
          <w:rFonts w:cs="Arial"/>
        </w:rPr>
        <w:t xml:space="preserve"> Abrechnungsbrennwert </w:t>
      </w:r>
      <w:r w:rsidR="009E539C">
        <w:rPr>
          <w:rFonts w:cs="Arial"/>
        </w:rPr>
        <w:t xml:space="preserve">(siehe </w:t>
      </w:r>
      <w:r w:rsidR="004B77C7">
        <w:rPr>
          <w:rFonts w:cs="Arial"/>
        </w:rPr>
        <w:t xml:space="preserve">Kap. </w:t>
      </w:r>
      <w:r w:rsidR="0011373C">
        <w:fldChar w:fldCharType="begin"/>
      </w:r>
      <w:r w:rsidR="0011373C">
        <w:instrText xml:space="preserve"> REF _Ref411949092 \r \h  \* MERGEFORMAT </w:instrText>
      </w:r>
      <w:r w:rsidR="0011373C">
        <w:fldChar w:fldCharType="separate"/>
      </w:r>
      <w:r w:rsidR="00692E23" w:rsidRPr="00692E23">
        <w:rPr>
          <w:rFonts w:cs="Arial"/>
        </w:rPr>
        <w:t>9.3.2</w:t>
      </w:r>
      <w:r w:rsidR="0011373C">
        <w:fldChar w:fldCharType="end"/>
      </w:r>
      <w:r w:rsidR="001E7A3C">
        <w:rPr>
          <w:rFonts w:cs="Arial"/>
        </w:rPr>
        <w:t>).</w:t>
      </w:r>
      <w:r w:rsidR="00E91A74" w:rsidRPr="00E91A74">
        <w:rPr>
          <w:rFonts w:cs="Arial"/>
        </w:rPr>
        <w:t xml:space="preserve"> </w:t>
      </w:r>
      <w:r w:rsidR="00B158E5" w:rsidRPr="00B158E5">
        <w:rPr>
          <w:rFonts w:cs="Arial"/>
          <w:color w:val="000000"/>
        </w:rPr>
        <w:t>Der Versand erfolgt als positive</w:t>
      </w:r>
      <w:r w:rsidR="00F54D29">
        <w:rPr>
          <w:rFonts w:cs="Arial"/>
          <w:color w:val="000000"/>
        </w:rPr>
        <w:t xml:space="preserve"> </w:t>
      </w:r>
      <w:r w:rsidR="00F54D29">
        <w:t>(Überschreitung positiver Flexibilitätsrahmen) und negative (Unterschreitung negativer Flexibilitätsrahmen)</w:t>
      </w:r>
      <w:r w:rsidR="00B158E5" w:rsidRPr="00B158E5">
        <w:rPr>
          <w:rFonts w:cs="Arial"/>
          <w:color w:val="000000"/>
        </w:rPr>
        <w:t xml:space="preserve"> </w:t>
      </w:r>
      <w:r w:rsidR="00A5643F" w:rsidRPr="00B158E5">
        <w:rPr>
          <w:rFonts w:cs="Arial"/>
          <w:color w:val="000000"/>
        </w:rPr>
        <w:t>Tage</w:t>
      </w:r>
      <w:r w:rsidR="00A5643F">
        <w:rPr>
          <w:rFonts w:cs="Arial"/>
          <w:color w:val="000000"/>
        </w:rPr>
        <w:t>s</w:t>
      </w:r>
      <w:r w:rsidR="00A5643F" w:rsidRPr="00B158E5">
        <w:rPr>
          <w:rFonts w:cs="Arial"/>
          <w:color w:val="000000"/>
        </w:rPr>
        <w:t>summenzeitreihe</w:t>
      </w:r>
      <w:r w:rsidR="00B158E5" w:rsidRPr="00B158E5">
        <w:rPr>
          <w:rFonts w:cs="Arial"/>
          <w:color w:val="000000"/>
        </w:rPr>
        <w:t xml:space="preserve"> in kWh.</w:t>
      </w:r>
    </w:p>
    <w:p w14:paraId="33254FE4" w14:textId="4DAF6387" w:rsidR="00310DAE" w:rsidRPr="001264ED" w:rsidRDefault="00686CDD" w:rsidP="003C2438">
      <w:pPr>
        <w:spacing w:before="240"/>
        <w:rPr>
          <w:rFonts w:cs="Arial"/>
        </w:rPr>
      </w:pPr>
      <w:r>
        <w:rPr>
          <w:rFonts w:cs="Arial"/>
          <w:b/>
        </w:rPr>
        <w:t>5</w:t>
      </w:r>
      <w:r w:rsidR="008D0A18">
        <w:rPr>
          <w:rFonts w:cs="Arial"/>
          <w:b/>
        </w:rPr>
        <w:t>1</w:t>
      </w:r>
      <w:r w:rsidR="00310DAE" w:rsidRPr="003E61FC">
        <w:rPr>
          <w:rFonts w:cs="Arial"/>
          <w:b/>
        </w:rPr>
        <w:t>.</w:t>
      </w:r>
      <w:r w:rsidR="00310DAE">
        <w:rPr>
          <w:rFonts w:cs="Arial"/>
          <w:b/>
        </w:rPr>
        <w:t xml:space="preserve"> </w:t>
      </w:r>
      <w:r w:rsidR="00310DAE" w:rsidRPr="003E61FC">
        <w:rPr>
          <w:rFonts w:cs="Arial"/>
          <w:b/>
        </w:rPr>
        <w:t>Zeitreihentyp „</w:t>
      </w:r>
      <w:r w:rsidR="00310DAE">
        <w:rPr>
          <w:rFonts w:cs="Arial"/>
          <w:b/>
        </w:rPr>
        <w:t>BIOABRSALD</w:t>
      </w:r>
      <w:r w:rsidR="00310DAE" w:rsidRPr="003E61FC">
        <w:rPr>
          <w:rFonts w:cs="Arial"/>
          <w:b/>
        </w:rPr>
        <w:t>“:</w:t>
      </w:r>
      <w:r w:rsidR="00310DAE" w:rsidRPr="003E61FC">
        <w:rPr>
          <w:rFonts w:cs="Arial"/>
        </w:rPr>
        <w:t xml:space="preserve"> </w:t>
      </w:r>
      <w:r w:rsidR="009E539C">
        <w:rPr>
          <w:rFonts w:cs="Arial"/>
        </w:rPr>
        <w:t>Endgültiger abrechnungsrelevanter Biogasbilanzkreissaldo</w:t>
      </w:r>
      <w:r w:rsidR="001E7A3C" w:rsidRPr="00310DAE">
        <w:rPr>
          <w:rFonts w:cs="Arial"/>
        </w:rPr>
        <w:t xml:space="preserve"> </w:t>
      </w:r>
      <w:r w:rsidR="009E539C" w:rsidRPr="00310DAE">
        <w:rPr>
          <w:rFonts w:cs="Arial"/>
        </w:rPr>
        <w:t>bei der Bilanzierung von Biogasbilanzkreisen</w:t>
      </w:r>
      <w:r w:rsidR="009E539C">
        <w:rPr>
          <w:rFonts w:cs="Arial"/>
        </w:rPr>
        <w:t xml:space="preserve"> </w:t>
      </w:r>
      <w:r w:rsidR="008F7314">
        <w:rPr>
          <w:rFonts w:cs="Arial"/>
        </w:rPr>
        <w:t>umgewertet mit</w:t>
      </w:r>
      <w:r w:rsidR="0046355F">
        <w:rPr>
          <w:rFonts w:cs="Arial"/>
        </w:rPr>
        <w:t xml:space="preserve"> Abrechnungsbrennwert und </w:t>
      </w:r>
      <w:r w:rsidR="009E539C">
        <w:rPr>
          <w:rFonts w:cs="Arial"/>
        </w:rPr>
        <w:t xml:space="preserve">unter Einbeziehung eines evtl. Übertrags aus der Vorperiode und eines evtl. Übertrags in die Folgeperiode </w:t>
      </w:r>
      <w:r w:rsidR="001E7A3C">
        <w:rPr>
          <w:rFonts w:cs="Arial"/>
        </w:rPr>
        <w:t>(sie</w:t>
      </w:r>
      <w:r w:rsidR="009E539C">
        <w:rPr>
          <w:rFonts w:cs="Arial"/>
        </w:rPr>
        <w:t xml:space="preserve">he </w:t>
      </w:r>
      <w:r w:rsidR="004B77C7">
        <w:rPr>
          <w:rFonts w:cs="Arial"/>
        </w:rPr>
        <w:t xml:space="preserve">Kap. </w:t>
      </w:r>
      <w:r w:rsidR="0011373C">
        <w:fldChar w:fldCharType="begin"/>
      </w:r>
      <w:r w:rsidR="0011373C">
        <w:instrText xml:space="preserve"> REF _Ref411949057 \r \h  \* MERGEFORMAT </w:instrText>
      </w:r>
      <w:r w:rsidR="0011373C">
        <w:fldChar w:fldCharType="separate"/>
      </w:r>
      <w:r w:rsidR="00692E23" w:rsidRPr="00692E23">
        <w:rPr>
          <w:rFonts w:cs="Arial"/>
        </w:rPr>
        <w:t>9.3.3</w:t>
      </w:r>
      <w:r w:rsidR="0011373C">
        <w:fldChar w:fldCharType="end"/>
      </w:r>
      <w:r w:rsidR="001E7A3C">
        <w:rPr>
          <w:rFonts w:cs="Arial"/>
        </w:rPr>
        <w:t>).</w:t>
      </w:r>
      <w:r w:rsidR="00161B02">
        <w:rPr>
          <w:rFonts w:cs="Arial"/>
        </w:rPr>
        <w:t xml:space="preserve"> </w:t>
      </w:r>
      <w:r w:rsidR="00161B02" w:rsidRPr="00161B02">
        <w:rPr>
          <w:rFonts w:cs="Arial"/>
        </w:rPr>
        <w:t xml:space="preserve">Der Versand erfolgt als positive </w:t>
      </w:r>
      <w:r w:rsidR="00F54D29">
        <w:rPr>
          <w:rFonts w:cs="Arial"/>
        </w:rPr>
        <w:t>oder</w:t>
      </w:r>
      <w:r w:rsidR="00161B02" w:rsidRPr="00161B02">
        <w:rPr>
          <w:rFonts w:cs="Arial"/>
        </w:rPr>
        <w:t xml:space="preserve"> negative Bilanzierungsperiodenzeitreihe in kWh.</w:t>
      </w:r>
    </w:p>
    <w:p w14:paraId="3976A53C" w14:textId="5C8A0B78" w:rsidR="0067302B" w:rsidRDefault="00686CDD" w:rsidP="003C2438">
      <w:pPr>
        <w:spacing w:before="240"/>
        <w:rPr>
          <w:rFonts w:cs="Arial"/>
        </w:rPr>
      </w:pPr>
      <w:r>
        <w:rPr>
          <w:rFonts w:cs="Arial"/>
          <w:b/>
        </w:rPr>
        <w:t>5</w:t>
      </w:r>
      <w:r w:rsidR="008D0A18">
        <w:rPr>
          <w:rFonts w:cs="Arial"/>
          <w:b/>
        </w:rPr>
        <w:t>2</w:t>
      </w:r>
      <w:r w:rsidR="009E539C" w:rsidRPr="003E61FC">
        <w:rPr>
          <w:rFonts w:cs="Arial"/>
          <w:b/>
        </w:rPr>
        <w:t>.</w:t>
      </w:r>
      <w:r w:rsidR="009E539C">
        <w:rPr>
          <w:rFonts w:cs="Arial"/>
          <w:b/>
        </w:rPr>
        <w:t xml:space="preserve"> </w:t>
      </w:r>
      <w:r w:rsidR="009E539C" w:rsidRPr="003E61FC">
        <w:rPr>
          <w:rFonts w:cs="Arial"/>
          <w:b/>
        </w:rPr>
        <w:t>Zeitreihentyp „</w:t>
      </w:r>
      <w:r w:rsidR="009E539C">
        <w:rPr>
          <w:rFonts w:cs="Arial"/>
          <w:b/>
        </w:rPr>
        <w:t>BIOUEBERTR</w:t>
      </w:r>
      <w:r w:rsidR="009E539C" w:rsidRPr="003E61FC">
        <w:rPr>
          <w:rFonts w:cs="Arial"/>
          <w:b/>
        </w:rPr>
        <w:t>“:</w:t>
      </w:r>
      <w:r w:rsidR="009E539C" w:rsidRPr="003E61FC">
        <w:rPr>
          <w:rFonts w:cs="Arial"/>
        </w:rPr>
        <w:t xml:space="preserve"> </w:t>
      </w:r>
      <w:r w:rsidR="009E539C">
        <w:rPr>
          <w:rFonts w:cs="Arial"/>
        </w:rPr>
        <w:t xml:space="preserve">Übertrag eines positiven </w:t>
      </w:r>
      <w:r w:rsidR="005F34B9">
        <w:rPr>
          <w:rFonts w:cs="Arial"/>
        </w:rPr>
        <w:t>Biogasbilanzkreissaldos</w:t>
      </w:r>
      <w:r w:rsidR="005F34B9" w:rsidRPr="00310DAE">
        <w:rPr>
          <w:rFonts w:cs="Arial"/>
        </w:rPr>
        <w:t xml:space="preserve"> </w:t>
      </w:r>
      <w:r w:rsidR="009E539C">
        <w:rPr>
          <w:rFonts w:cs="Arial"/>
        </w:rPr>
        <w:t xml:space="preserve">in die Folgeperiode (siehe </w:t>
      </w:r>
      <w:r w:rsidR="004B77C7">
        <w:rPr>
          <w:rFonts w:cs="Arial"/>
        </w:rPr>
        <w:t xml:space="preserve">Kap. </w:t>
      </w:r>
      <w:r w:rsidR="0011373C">
        <w:fldChar w:fldCharType="begin"/>
      </w:r>
      <w:r w:rsidR="0011373C">
        <w:instrText xml:space="preserve"> REF _Ref411949077 \r \h  \* MERGEFORMAT </w:instrText>
      </w:r>
      <w:r w:rsidR="0011373C">
        <w:fldChar w:fldCharType="separate"/>
      </w:r>
      <w:r w:rsidR="00692E23" w:rsidRPr="00692E23">
        <w:rPr>
          <w:rFonts w:cs="Arial"/>
        </w:rPr>
        <w:t>9.3.3</w:t>
      </w:r>
      <w:r w:rsidR="0011373C">
        <w:fldChar w:fldCharType="end"/>
      </w:r>
      <w:r w:rsidR="009E539C">
        <w:rPr>
          <w:rFonts w:cs="Arial"/>
        </w:rPr>
        <w:t>)</w:t>
      </w:r>
      <w:r w:rsidR="0046355F">
        <w:rPr>
          <w:rFonts w:cs="Arial"/>
        </w:rPr>
        <w:t xml:space="preserve">, </w:t>
      </w:r>
      <w:r w:rsidR="008F7314">
        <w:rPr>
          <w:rFonts w:cs="Arial"/>
        </w:rPr>
        <w:t>umgewertet mit</w:t>
      </w:r>
      <w:r w:rsidR="0046355F">
        <w:rPr>
          <w:rFonts w:cs="Arial"/>
        </w:rPr>
        <w:t xml:space="preserve"> Abrechnungsbrennwert</w:t>
      </w:r>
      <w:r w:rsidR="009E539C">
        <w:rPr>
          <w:rFonts w:cs="Arial"/>
        </w:rPr>
        <w:t>.</w:t>
      </w:r>
      <w:r w:rsidR="00161B02">
        <w:rPr>
          <w:rFonts w:cs="Arial"/>
        </w:rPr>
        <w:t xml:space="preserve"> </w:t>
      </w:r>
      <w:r w:rsidR="00161B02" w:rsidRPr="00FC0C60">
        <w:rPr>
          <w:rFonts w:cs="Arial"/>
          <w:color w:val="000000"/>
        </w:rPr>
        <w:t>Der Versand er</w:t>
      </w:r>
      <w:r w:rsidR="00161B02" w:rsidRPr="00161B02">
        <w:rPr>
          <w:rFonts w:cs="Arial"/>
          <w:color w:val="000000"/>
        </w:rPr>
        <w:t>folgt al</w:t>
      </w:r>
      <w:r w:rsidR="00161B02" w:rsidRPr="00FC0C60">
        <w:rPr>
          <w:rFonts w:cs="Arial"/>
          <w:color w:val="000000"/>
        </w:rPr>
        <w:t>s positive Bilanzierungsperiodenzeitreihe in kWh.</w:t>
      </w:r>
    </w:p>
    <w:p w14:paraId="17ADCC9C" w14:textId="36E6DF73" w:rsidR="00A46DAD" w:rsidRPr="003E61FC" w:rsidRDefault="00686CDD" w:rsidP="003C2438">
      <w:pPr>
        <w:spacing w:before="240"/>
        <w:rPr>
          <w:rFonts w:cs="Arial"/>
        </w:rPr>
      </w:pPr>
      <w:r>
        <w:rPr>
          <w:rFonts w:cs="Arial"/>
          <w:b/>
        </w:rPr>
        <w:t>5</w:t>
      </w:r>
      <w:r w:rsidR="008D0A18">
        <w:rPr>
          <w:rFonts w:cs="Arial"/>
          <w:b/>
        </w:rPr>
        <w:t>3</w:t>
      </w:r>
      <w:r w:rsidR="00A46DAD" w:rsidRPr="003E61FC">
        <w:rPr>
          <w:rFonts w:cs="Arial"/>
          <w:b/>
        </w:rPr>
        <w:t>.</w:t>
      </w:r>
      <w:r w:rsidR="00A46DAD">
        <w:rPr>
          <w:rFonts w:cs="Arial"/>
          <w:b/>
        </w:rPr>
        <w:t xml:space="preserve"> </w:t>
      </w:r>
      <w:r w:rsidR="00A46DAD" w:rsidRPr="003E61FC">
        <w:rPr>
          <w:rFonts w:cs="Arial"/>
          <w:b/>
        </w:rPr>
        <w:t>Zeitreihentyp „</w:t>
      </w:r>
      <w:r w:rsidR="00A46DAD">
        <w:rPr>
          <w:rFonts w:cs="Arial"/>
          <w:b/>
        </w:rPr>
        <w:t>BIOKONVHL</w:t>
      </w:r>
      <w:r w:rsidR="00A46DAD" w:rsidRPr="003E61FC">
        <w:rPr>
          <w:rFonts w:cs="Arial"/>
          <w:b/>
        </w:rPr>
        <w:t>“:</w:t>
      </w:r>
      <w:r w:rsidR="00A46DAD" w:rsidRPr="003E61FC">
        <w:rPr>
          <w:rFonts w:cs="Arial"/>
        </w:rPr>
        <w:t xml:space="preserve"> Übermittlung der </w:t>
      </w:r>
      <w:r w:rsidR="00A46DAD">
        <w:rPr>
          <w:rFonts w:cs="Arial"/>
        </w:rPr>
        <w:t xml:space="preserve">sich am Ende der Biogasbilanzierungsperiode </w:t>
      </w:r>
      <w:r w:rsidR="0046355F">
        <w:rPr>
          <w:rFonts w:cs="Arial"/>
        </w:rPr>
        <w:t xml:space="preserve">unter Anwendung des Abrechnungsbrennwertes </w:t>
      </w:r>
      <w:r w:rsidR="00A46DAD">
        <w:rPr>
          <w:rFonts w:cs="Arial"/>
        </w:rPr>
        <w:t xml:space="preserve">ergebenden </w:t>
      </w:r>
      <w:r w:rsidR="00A46DAD" w:rsidRPr="003E61FC">
        <w:rPr>
          <w:rFonts w:cs="Arial"/>
        </w:rPr>
        <w:t xml:space="preserve">zu konvertierenden </w:t>
      </w:r>
      <w:r w:rsidR="00A46DAD">
        <w:rPr>
          <w:rFonts w:cs="Arial"/>
        </w:rPr>
        <w:t>M</w:t>
      </w:r>
      <w:r w:rsidR="00A46DAD" w:rsidRPr="003E61FC">
        <w:rPr>
          <w:rFonts w:cs="Arial"/>
        </w:rPr>
        <w:t>engen von H</w:t>
      </w:r>
      <w:r w:rsidR="00A46DAD">
        <w:rPr>
          <w:rFonts w:cs="Arial"/>
        </w:rPr>
        <w:t>-</w:t>
      </w:r>
      <w:r w:rsidR="00A46DAD" w:rsidRPr="003E61FC">
        <w:rPr>
          <w:rFonts w:cs="Arial"/>
        </w:rPr>
        <w:t xml:space="preserve"> nach L-Gas</w:t>
      </w:r>
      <w:r w:rsidR="00A46DAD">
        <w:rPr>
          <w:rFonts w:cs="Arial"/>
        </w:rPr>
        <w:t xml:space="preserve"> (siehe </w:t>
      </w:r>
      <w:r w:rsidR="004B77C7">
        <w:rPr>
          <w:rFonts w:cs="Arial"/>
        </w:rPr>
        <w:t>Kap.</w:t>
      </w:r>
      <w:r w:rsidR="00561FFA">
        <w:fldChar w:fldCharType="begin"/>
      </w:r>
      <w:r w:rsidR="00AD3A54">
        <w:instrText xml:space="preserve"> REF _Ref449516798 \r \h </w:instrText>
      </w:r>
      <w:r w:rsidR="00561FFA">
        <w:fldChar w:fldCharType="separate"/>
      </w:r>
      <w:r w:rsidR="007B29A0">
        <w:t>0</w:t>
      </w:r>
      <w:r w:rsidR="00561FFA">
        <w:fldChar w:fldCharType="end"/>
      </w:r>
      <w:r w:rsidR="00A46DAD">
        <w:rPr>
          <w:rFonts w:cs="Arial"/>
        </w:rPr>
        <w:t>)</w:t>
      </w:r>
      <w:r w:rsidR="00161B02">
        <w:rPr>
          <w:rFonts w:cs="Arial"/>
        </w:rPr>
        <w:t xml:space="preserve">. </w:t>
      </w:r>
      <w:r w:rsidR="00161B02" w:rsidRPr="00FC0C60">
        <w:rPr>
          <w:rFonts w:cs="Arial"/>
          <w:color w:val="000000"/>
        </w:rPr>
        <w:t>Der Versand er</w:t>
      </w:r>
      <w:r w:rsidR="00161B02" w:rsidRPr="00161B02">
        <w:rPr>
          <w:rFonts w:cs="Arial"/>
          <w:color w:val="000000"/>
        </w:rPr>
        <w:t>folgt al</w:t>
      </w:r>
      <w:r w:rsidR="00161B02" w:rsidRPr="00FC0C60">
        <w:rPr>
          <w:rFonts w:cs="Arial"/>
          <w:color w:val="000000"/>
        </w:rPr>
        <w:t>s positive Bilanzierungsperiodenzeitreihe in kWh.</w:t>
      </w:r>
    </w:p>
    <w:p w14:paraId="018F4009" w14:textId="521704FC" w:rsidR="00FD4743" w:rsidRDefault="00686CDD" w:rsidP="003C2438">
      <w:pPr>
        <w:spacing w:before="240"/>
        <w:rPr>
          <w:rFonts w:cs="Arial"/>
        </w:rPr>
      </w:pPr>
      <w:r>
        <w:rPr>
          <w:rFonts w:cs="Arial"/>
          <w:b/>
        </w:rPr>
        <w:t>5</w:t>
      </w:r>
      <w:r w:rsidR="008D0A18">
        <w:rPr>
          <w:rFonts w:cs="Arial"/>
          <w:b/>
        </w:rPr>
        <w:t>4</w:t>
      </w:r>
      <w:r w:rsidR="00A46DAD" w:rsidRPr="003E61FC">
        <w:rPr>
          <w:rFonts w:cs="Arial"/>
          <w:b/>
        </w:rPr>
        <w:t>.</w:t>
      </w:r>
      <w:r w:rsidR="00A46DAD">
        <w:rPr>
          <w:rFonts w:cs="Arial"/>
          <w:b/>
        </w:rPr>
        <w:t xml:space="preserve"> </w:t>
      </w:r>
      <w:r w:rsidR="00A46DAD" w:rsidRPr="003E61FC">
        <w:rPr>
          <w:rFonts w:cs="Arial"/>
          <w:b/>
        </w:rPr>
        <w:t>Zeitreihentyp „</w:t>
      </w:r>
      <w:r w:rsidR="00A46DAD">
        <w:rPr>
          <w:rFonts w:cs="Arial"/>
          <w:b/>
        </w:rPr>
        <w:t>BIOKONVLH</w:t>
      </w:r>
      <w:r w:rsidR="00A46DAD" w:rsidRPr="003E61FC">
        <w:rPr>
          <w:rFonts w:cs="Arial"/>
          <w:b/>
        </w:rPr>
        <w:t>“:</w:t>
      </w:r>
      <w:r w:rsidR="00A46DAD" w:rsidRPr="003E61FC">
        <w:rPr>
          <w:rFonts w:cs="Arial"/>
        </w:rPr>
        <w:t xml:space="preserve"> Übermittlung der </w:t>
      </w:r>
      <w:r w:rsidR="00A46DAD">
        <w:rPr>
          <w:rFonts w:cs="Arial"/>
        </w:rPr>
        <w:t xml:space="preserve">sich am Ende der Biogasbilanzierungsperiode </w:t>
      </w:r>
      <w:r w:rsidR="0046355F">
        <w:rPr>
          <w:rFonts w:cs="Arial"/>
        </w:rPr>
        <w:t xml:space="preserve">unter Anwendung des Abrechnungsbrennwertes </w:t>
      </w:r>
      <w:r w:rsidR="00A46DAD">
        <w:rPr>
          <w:rFonts w:cs="Arial"/>
        </w:rPr>
        <w:t xml:space="preserve">ergebenden </w:t>
      </w:r>
      <w:r w:rsidR="00A46DAD" w:rsidRPr="003E61FC">
        <w:rPr>
          <w:rFonts w:cs="Arial"/>
        </w:rPr>
        <w:t xml:space="preserve">zu konvertierenden </w:t>
      </w:r>
      <w:r w:rsidR="00A46DAD">
        <w:rPr>
          <w:rFonts w:cs="Arial"/>
        </w:rPr>
        <w:t>M</w:t>
      </w:r>
      <w:r w:rsidR="00A46DAD" w:rsidRPr="003E61FC">
        <w:rPr>
          <w:rFonts w:cs="Arial"/>
        </w:rPr>
        <w:t xml:space="preserve">engen von </w:t>
      </w:r>
      <w:r w:rsidR="00A46DAD">
        <w:rPr>
          <w:rFonts w:cs="Arial"/>
        </w:rPr>
        <w:t>L-</w:t>
      </w:r>
      <w:r w:rsidR="00A46DAD" w:rsidRPr="003E61FC">
        <w:rPr>
          <w:rFonts w:cs="Arial"/>
        </w:rPr>
        <w:t xml:space="preserve"> nach </w:t>
      </w:r>
      <w:r w:rsidR="00A46DAD">
        <w:rPr>
          <w:rFonts w:cs="Arial"/>
        </w:rPr>
        <w:t>H</w:t>
      </w:r>
      <w:r w:rsidR="00A46DAD" w:rsidRPr="003E61FC">
        <w:rPr>
          <w:rFonts w:cs="Arial"/>
        </w:rPr>
        <w:t>-Gas</w:t>
      </w:r>
      <w:r w:rsidR="00A46DAD">
        <w:rPr>
          <w:rFonts w:cs="Arial"/>
        </w:rPr>
        <w:t xml:space="preserve"> (siehe </w:t>
      </w:r>
      <w:r w:rsidR="004B77C7">
        <w:rPr>
          <w:rFonts w:cs="Arial"/>
        </w:rPr>
        <w:t xml:space="preserve">Kap. </w:t>
      </w:r>
      <w:r w:rsidR="00561FFA">
        <w:rPr>
          <w:rFonts w:cs="Arial"/>
        </w:rPr>
        <w:fldChar w:fldCharType="begin"/>
      </w:r>
      <w:r w:rsidR="00AD3A54">
        <w:rPr>
          <w:rFonts w:cs="Arial"/>
        </w:rPr>
        <w:instrText xml:space="preserve"> REF _Ref449516810 \r \h </w:instrText>
      </w:r>
      <w:r w:rsidR="00561FFA">
        <w:rPr>
          <w:rFonts w:cs="Arial"/>
        </w:rPr>
      </w:r>
      <w:r w:rsidR="00561FFA">
        <w:rPr>
          <w:rFonts w:cs="Arial"/>
        </w:rPr>
        <w:fldChar w:fldCharType="separate"/>
      </w:r>
      <w:r w:rsidR="00692E23">
        <w:rPr>
          <w:rFonts w:cs="Arial"/>
        </w:rPr>
        <w:t>0</w:t>
      </w:r>
      <w:r w:rsidR="00561FFA">
        <w:rPr>
          <w:rFonts w:cs="Arial"/>
        </w:rPr>
        <w:fldChar w:fldCharType="end"/>
      </w:r>
      <w:r w:rsidR="00A46DAD">
        <w:rPr>
          <w:rFonts w:cs="Arial"/>
        </w:rPr>
        <w:t>)</w:t>
      </w:r>
      <w:r w:rsidR="00A46DAD" w:rsidRPr="003E61FC">
        <w:rPr>
          <w:rFonts w:cs="Arial"/>
        </w:rPr>
        <w:t>.</w:t>
      </w:r>
      <w:r w:rsidR="00161B02">
        <w:rPr>
          <w:rFonts w:cs="Arial"/>
        </w:rPr>
        <w:t xml:space="preserve"> </w:t>
      </w:r>
      <w:r w:rsidR="00161B02" w:rsidRPr="00FC0C60">
        <w:rPr>
          <w:rFonts w:cs="Arial"/>
          <w:color w:val="000000"/>
        </w:rPr>
        <w:t>Der Versand er</w:t>
      </w:r>
      <w:r w:rsidR="00161B02" w:rsidRPr="00161B02">
        <w:rPr>
          <w:rFonts w:cs="Arial"/>
          <w:color w:val="000000"/>
        </w:rPr>
        <w:t>folgt al</w:t>
      </w:r>
      <w:r w:rsidR="00161B02" w:rsidRPr="00FC0C60">
        <w:rPr>
          <w:rFonts w:cs="Arial"/>
          <w:color w:val="000000"/>
        </w:rPr>
        <w:t>s positive Bilanzierungsperiodenzeitreihe in kWh.</w:t>
      </w:r>
    </w:p>
    <w:p w14:paraId="6F98580F" w14:textId="77777777" w:rsidR="00BD1EC4" w:rsidRDefault="00F54D29" w:rsidP="003C2438">
      <w:pPr>
        <w:pStyle w:val="berschrift3"/>
        <w:spacing w:before="480"/>
        <w:ind w:left="969" w:hanging="1009"/>
      </w:pPr>
      <w:bookmarkStart w:id="262" w:name="_Toc111118456"/>
      <w:r>
        <w:lastRenderedPageBreak/>
        <w:t>Tabellarische Darstellungen Zeitreihentypen</w:t>
      </w:r>
      <w:bookmarkEnd w:id="262"/>
    </w:p>
    <w:tbl>
      <w:tblPr>
        <w:tblW w:w="8231" w:type="dxa"/>
        <w:jc w:val="center"/>
        <w:tblCellMar>
          <w:left w:w="70" w:type="dxa"/>
          <w:right w:w="70" w:type="dxa"/>
        </w:tblCellMar>
        <w:tblLook w:val="04A0" w:firstRow="1" w:lastRow="0" w:firstColumn="1" w:lastColumn="0" w:noHBand="0" w:noVBand="1"/>
      </w:tblPr>
      <w:tblGrid>
        <w:gridCol w:w="960"/>
        <w:gridCol w:w="2178"/>
        <w:gridCol w:w="446"/>
        <w:gridCol w:w="446"/>
        <w:gridCol w:w="446"/>
        <w:gridCol w:w="446"/>
        <w:gridCol w:w="446"/>
        <w:gridCol w:w="446"/>
        <w:gridCol w:w="446"/>
        <w:gridCol w:w="446"/>
        <w:gridCol w:w="1525"/>
      </w:tblGrid>
      <w:tr w:rsidR="00977844" w:rsidRPr="00557F5D" w14:paraId="1A5F8C5E" w14:textId="77777777" w:rsidTr="00977844">
        <w:trPr>
          <w:trHeight w:val="227"/>
          <w:jc w:val="center"/>
        </w:trPr>
        <w:tc>
          <w:tcPr>
            <w:tcW w:w="960"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center"/>
            <w:hideMark/>
          </w:tcPr>
          <w:bookmarkEnd w:id="250"/>
          <w:bookmarkEnd w:id="259"/>
          <w:p w14:paraId="42771988" w14:textId="77777777" w:rsidR="00977844" w:rsidRDefault="00977844" w:rsidP="003C2438">
            <w:pPr>
              <w:keepNext/>
              <w:keepLines/>
              <w:spacing w:after="0"/>
              <w:jc w:val="center"/>
              <w:rPr>
                <w:rFonts w:cs="Arial"/>
              </w:rPr>
            </w:pPr>
            <w:r w:rsidRPr="00557F5D">
              <w:rPr>
                <w:rFonts w:cs="Arial"/>
              </w:rPr>
              <w:t>Nr.</w:t>
            </w:r>
          </w:p>
        </w:tc>
        <w:tc>
          <w:tcPr>
            <w:tcW w:w="2178"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center"/>
            <w:hideMark/>
          </w:tcPr>
          <w:p w14:paraId="6E1B52F1" w14:textId="77777777" w:rsidR="00977844" w:rsidRDefault="00977844" w:rsidP="003C2438">
            <w:pPr>
              <w:keepNext/>
              <w:keepLines/>
              <w:spacing w:after="0"/>
              <w:jc w:val="center"/>
              <w:rPr>
                <w:rFonts w:cs="Arial"/>
              </w:rPr>
            </w:pPr>
            <w:r w:rsidRPr="00557F5D">
              <w:rPr>
                <w:rFonts w:cs="Arial"/>
              </w:rPr>
              <w:t>Abkürzung</w:t>
            </w:r>
          </w:p>
        </w:tc>
        <w:tc>
          <w:tcPr>
            <w:tcW w:w="2676" w:type="dxa"/>
            <w:gridSpan w:val="6"/>
            <w:tcBorders>
              <w:top w:val="single" w:sz="8" w:space="0" w:color="auto"/>
              <w:left w:val="nil"/>
              <w:bottom w:val="single" w:sz="4" w:space="0" w:color="auto"/>
              <w:right w:val="single" w:sz="4" w:space="0" w:color="000000"/>
            </w:tcBorders>
            <w:shd w:val="clear" w:color="000000" w:fill="FFFFFF"/>
            <w:vAlign w:val="bottom"/>
          </w:tcPr>
          <w:p w14:paraId="657AD4DD" w14:textId="77777777" w:rsidR="00977844" w:rsidRDefault="00977844" w:rsidP="003C2438">
            <w:pPr>
              <w:keepNext/>
              <w:keepLines/>
              <w:spacing w:after="0"/>
              <w:jc w:val="center"/>
              <w:rPr>
                <w:rFonts w:cs="Arial"/>
              </w:rPr>
            </w:pPr>
            <w:r w:rsidRPr="00557F5D">
              <w:rPr>
                <w:rFonts w:cs="Arial"/>
              </w:rPr>
              <w:t>Versand am</w:t>
            </w:r>
          </w:p>
        </w:tc>
        <w:tc>
          <w:tcPr>
            <w:tcW w:w="446"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center"/>
            <w:hideMark/>
          </w:tcPr>
          <w:p w14:paraId="0F6CF58E" w14:textId="77777777" w:rsidR="00977844" w:rsidRPr="00037AD6" w:rsidRDefault="00977844" w:rsidP="003C2438">
            <w:pPr>
              <w:keepNext/>
              <w:keepLines/>
              <w:spacing w:after="0"/>
              <w:rPr>
                <w:rFonts w:cs="Arial"/>
              </w:rPr>
            </w:pPr>
            <w:r w:rsidRPr="00037AD6">
              <w:t>Deklarationspflichtig</w:t>
            </w:r>
          </w:p>
        </w:tc>
        <w:tc>
          <w:tcPr>
            <w:tcW w:w="446"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center"/>
            <w:hideMark/>
          </w:tcPr>
          <w:p w14:paraId="62150BDF" w14:textId="77777777" w:rsidR="00977844" w:rsidRPr="00557F5D" w:rsidRDefault="00977844" w:rsidP="003C2438">
            <w:pPr>
              <w:keepNext/>
              <w:keepLines/>
              <w:spacing w:after="0"/>
              <w:rPr>
                <w:rFonts w:cs="Arial"/>
              </w:rPr>
            </w:pPr>
            <w:r w:rsidRPr="00557F5D">
              <w:rPr>
                <w:rFonts w:cs="Arial"/>
              </w:rPr>
              <w:t>Meldepflichtig</w:t>
            </w:r>
          </w:p>
        </w:tc>
        <w:tc>
          <w:tcPr>
            <w:tcW w:w="1525" w:type="dxa"/>
            <w:vMerge w:val="restart"/>
            <w:tcBorders>
              <w:top w:val="single" w:sz="8" w:space="0" w:color="auto"/>
              <w:left w:val="single" w:sz="4" w:space="0" w:color="auto"/>
              <w:bottom w:val="single" w:sz="4" w:space="0" w:color="000000"/>
              <w:right w:val="single" w:sz="8" w:space="0" w:color="auto"/>
            </w:tcBorders>
            <w:shd w:val="clear" w:color="000000" w:fill="FFFFFF"/>
            <w:noWrap/>
            <w:textDirection w:val="btLr"/>
            <w:vAlign w:val="center"/>
            <w:hideMark/>
          </w:tcPr>
          <w:p w14:paraId="5C754832" w14:textId="77777777" w:rsidR="00977844" w:rsidRDefault="00977844" w:rsidP="003C2438">
            <w:pPr>
              <w:keepNext/>
              <w:keepLines/>
              <w:spacing w:after="0"/>
              <w:jc w:val="center"/>
              <w:rPr>
                <w:rFonts w:cs="Arial"/>
              </w:rPr>
            </w:pPr>
            <w:r w:rsidRPr="00557F5D">
              <w:rPr>
                <w:rFonts w:cs="Arial"/>
              </w:rPr>
              <w:t>Formattyp</w:t>
            </w:r>
          </w:p>
        </w:tc>
      </w:tr>
      <w:tr w:rsidR="00977844" w:rsidRPr="00557F5D" w14:paraId="535C3DA3" w14:textId="77777777" w:rsidTr="00977844">
        <w:trPr>
          <w:trHeight w:val="3293"/>
          <w:jc w:val="center"/>
        </w:trPr>
        <w:tc>
          <w:tcPr>
            <w:tcW w:w="960" w:type="dxa"/>
            <w:vMerge/>
            <w:tcBorders>
              <w:top w:val="single" w:sz="8" w:space="0" w:color="auto"/>
              <w:left w:val="single" w:sz="8" w:space="0" w:color="auto"/>
              <w:bottom w:val="single" w:sz="4" w:space="0" w:color="000000"/>
              <w:right w:val="single" w:sz="4" w:space="0" w:color="auto"/>
            </w:tcBorders>
            <w:vAlign w:val="center"/>
            <w:hideMark/>
          </w:tcPr>
          <w:p w14:paraId="5E98C2B2" w14:textId="77777777" w:rsidR="00977844" w:rsidRPr="00557F5D" w:rsidRDefault="00977844" w:rsidP="003C2438">
            <w:pPr>
              <w:keepNext/>
              <w:keepLines/>
              <w:spacing w:after="0"/>
              <w:rPr>
                <w:rFonts w:cs="Arial"/>
              </w:rPr>
            </w:pPr>
          </w:p>
        </w:tc>
        <w:tc>
          <w:tcPr>
            <w:tcW w:w="2178" w:type="dxa"/>
            <w:vMerge/>
            <w:tcBorders>
              <w:top w:val="single" w:sz="8" w:space="0" w:color="auto"/>
              <w:left w:val="single" w:sz="4" w:space="0" w:color="auto"/>
              <w:bottom w:val="single" w:sz="4" w:space="0" w:color="000000"/>
              <w:right w:val="single" w:sz="4" w:space="0" w:color="auto"/>
            </w:tcBorders>
            <w:vAlign w:val="center"/>
            <w:hideMark/>
          </w:tcPr>
          <w:p w14:paraId="25720A9F" w14:textId="77777777" w:rsidR="00977844" w:rsidRPr="00557F5D" w:rsidRDefault="00977844" w:rsidP="003C2438">
            <w:pPr>
              <w:keepNext/>
              <w:keepLines/>
              <w:spacing w:after="0"/>
              <w:rPr>
                <w:rFonts w:cs="Arial"/>
              </w:rPr>
            </w:pPr>
          </w:p>
        </w:tc>
        <w:tc>
          <w:tcPr>
            <w:tcW w:w="446" w:type="dxa"/>
            <w:tcBorders>
              <w:top w:val="nil"/>
              <w:left w:val="nil"/>
              <w:bottom w:val="single" w:sz="4" w:space="0" w:color="auto"/>
              <w:right w:val="single" w:sz="4" w:space="0" w:color="auto"/>
            </w:tcBorders>
            <w:shd w:val="clear" w:color="000000" w:fill="FFFFFF"/>
            <w:textDirection w:val="btLr"/>
            <w:vAlign w:val="center"/>
            <w:hideMark/>
          </w:tcPr>
          <w:p w14:paraId="230E3514" w14:textId="77777777" w:rsidR="00977844" w:rsidRPr="00557F5D" w:rsidRDefault="00977844" w:rsidP="003C2438">
            <w:pPr>
              <w:keepNext/>
              <w:keepLines/>
              <w:spacing w:after="0"/>
              <w:rPr>
                <w:rFonts w:cs="Arial"/>
              </w:rPr>
            </w:pPr>
            <w:r w:rsidRPr="00557F5D">
              <w:rPr>
                <w:rFonts w:cs="Arial"/>
              </w:rPr>
              <w:t>D (</w:t>
            </w:r>
            <w:r>
              <w:rPr>
                <w:rFonts w:cs="Arial"/>
              </w:rPr>
              <w:t>0</w:t>
            </w:r>
            <w:r w:rsidRPr="00557F5D">
              <w:rPr>
                <w:rFonts w:cs="Arial"/>
              </w:rPr>
              <w:t>6:00-12:00) bis 1</w:t>
            </w:r>
            <w:r>
              <w:rPr>
                <w:rFonts w:cs="Arial"/>
              </w:rPr>
              <w:t>5</w:t>
            </w:r>
            <w:r w:rsidRPr="00557F5D">
              <w:rPr>
                <w:rFonts w:cs="Arial"/>
              </w:rPr>
              <w:t>:00 Uhr</w:t>
            </w:r>
          </w:p>
        </w:tc>
        <w:tc>
          <w:tcPr>
            <w:tcW w:w="446" w:type="dxa"/>
            <w:tcBorders>
              <w:top w:val="single" w:sz="4" w:space="0" w:color="auto"/>
              <w:left w:val="nil"/>
              <w:bottom w:val="single" w:sz="4" w:space="0" w:color="auto"/>
              <w:right w:val="single" w:sz="4" w:space="0" w:color="auto"/>
            </w:tcBorders>
            <w:shd w:val="clear" w:color="000000" w:fill="FFFFFF"/>
            <w:textDirection w:val="btLr"/>
            <w:vAlign w:val="center"/>
          </w:tcPr>
          <w:p w14:paraId="73170665" w14:textId="77777777" w:rsidR="00977844" w:rsidRPr="00557F5D" w:rsidRDefault="00977844" w:rsidP="003C2438">
            <w:pPr>
              <w:keepNext/>
              <w:keepLines/>
              <w:spacing w:after="0"/>
              <w:rPr>
                <w:rFonts w:cs="Arial"/>
              </w:rPr>
            </w:pPr>
            <w:r>
              <w:rPr>
                <w:rFonts w:cs="Arial"/>
              </w:rPr>
              <w:t>D (06:00-15:00) bis 18:00 Uhr</w:t>
            </w:r>
          </w:p>
        </w:tc>
        <w:tc>
          <w:tcPr>
            <w:tcW w:w="446"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555D517E" w14:textId="77777777" w:rsidR="00977844" w:rsidRPr="00557F5D" w:rsidRDefault="00977844" w:rsidP="003C2438">
            <w:pPr>
              <w:keepNext/>
              <w:keepLines/>
              <w:spacing w:after="0"/>
              <w:rPr>
                <w:rFonts w:cs="Arial"/>
              </w:rPr>
            </w:pPr>
            <w:r w:rsidRPr="00557F5D">
              <w:rPr>
                <w:rFonts w:cs="Arial"/>
              </w:rPr>
              <w:t>D-1 KT</w:t>
            </w:r>
          </w:p>
        </w:tc>
        <w:tc>
          <w:tcPr>
            <w:tcW w:w="446" w:type="dxa"/>
            <w:tcBorders>
              <w:top w:val="nil"/>
              <w:left w:val="nil"/>
              <w:bottom w:val="single" w:sz="4" w:space="0" w:color="auto"/>
              <w:right w:val="single" w:sz="4" w:space="0" w:color="auto"/>
            </w:tcBorders>
            <w:shd w:val="clear" w:color="000000" w:fill="FFFFFF"/>
            <w:textDirection w:val="btLr"/>
            <w:vAlign w:val="center"/>
            <w:hideMark/>
          </w:tcPr>
          <w:p w14:paraId="780C31E7" w14:textId="77777777" w:rsidR="00977844" w:rsidRPr="00557F5D" w:rsidRDefault="00977844" w:rsidP="003C2438">
            <w:pPr>
              <w:keepNext/>
              <w:keepLines/>
              <w:spacing w:after="0"/>
              <w:rPr>
                <w:rFonts w:cs="Arial"/>
              </w:rPr>
            </w:pPr>
            <w:r w:rsidRPr="00557F5D">
              <w:rPr>
                <w:rFonts w:cs="Arial"/>
              </w:rPr>
              <w:t>D+1 KT</w:t>
            </w:r>
          </w:p>
        </w:tc>
        <w:tc>
          <w:tcPr>
            <w:tcW w:w="446" w:type="dxa"/>
            <w:tcBorders>
              <w:top w:val="nil"/>
              <w:left w:val="nil"/>
              <w:bottom w:val="single" w:sz="4" w:space="0" w:color="auto"/>
              <w:right w:val="single" w:sz="4" w:space="0" w:color="auto"/>
            </w:tcBorders>
            <w:shd w:val="clear" w:color="000000" w:fill="FFFFFF"/>
            <w:textDirection w:val="btLr"/>
            <w:vAlign w:val="center"/>
            <w:hideMark/>
          </w:tcPr>
          <w:p w14:paraId="06E350AD" w14:textId="77777777" w:rsidR="00977844" w:rsidRPr="00557F5D" w:rsidRDefault="00977844" w:rsidP="003C2438">
            <w:pPr>
              <w:keepNext/>
              <w:keepLines/>
              <w:spacing w:after="0"/>
              <w:rPr>
                <w:rFonts w:cs="Arial"/>
              </w:rPr>
            </w:pPr>
            <w:r w:rsidRPr="00557F5D">
              <w:rPr>
                <w:rFonts w:cs="Arial"/>
              </w:rPr>
              <w:t>M+12 WT</w:t>
            </w:r>
          </w:p>
        </w:tc>
        <w:tc>
          <w:tcPr>
            <w:tcW w:w="446" w:type="dxa"/>
            <w:tcBorders>
              <w:top w:val="nil"/>
              <w:left w:val="nil"/>
              <w:bottom w:val="single" w:sz="4" w:space="0" w:color="auto"/>
              <w:right w:val="single" w:sz="4" w:space="0" w:color="auto"/>
            </w:tcBorders>
            <w:shd w:val="clear" w:color="000000" w:fill="FFFFFF"/>
            <w:textDirection w:val="btLr"/>
            <w:vAlign w:val="center"/>
            <w:hideMark/>
          </w:tcPr>
          <w:p w14:paraId="599AA3BC" w14:textId="77777777" w:rsidR="00977844" w:rsidRPr="00557F5D" w:rsidRDefault="00977844" w:rsidP="003C2438">
            <w:pPr>
              <w:keepNext/>
              <w:keepLines/>
              <w:spacing w:after="0"/>
              <w:rPr>
                <w:rFonts w:cs="Arial"/>
              </w:rPr>
            </w:pPr>
            <w:r w:rsidRPr="00557F5D">
              <w:rPr>
                <w:rFonts w:cs="Arial"/>
              </w:rPr>
              <w:t>M+21 WT</w:t>
            </w:r>
          </w:p>
        </w:tc>
        <w:tc>
          <w:tcPr>
            <w:tcW w:w="446" w:type="dxa"/>
            <w:vMerge/>
            <w:tcBorders>
              <w:top w:val="single" w:sz="8" w:space="0" w:color="auto"/>
              <w:left w:val="single" w:sz="4" w:space="0" w:color="auto"/>
              <w:bottom w:val="single" w:sz="4" w:space="0" w:color="000000"/>
              <w:right w:val="single" w:sz="4" w:space="0" w:color="auto"/>
            </w:tcBorders>
            <w:vAlign w:val="center"/>
            <w:hideMark/>
          </w:tcPr>
          <w:p w14:paraId="332DC769" w14:textId="77777777" w:rsidR="00977844" w:rsidRPr="00037AD6" w:rsidRDefault="00977844" w:rsidP="003C2438">
            <w:pPr>
              <w:keepNext/>
              <w:keepLines/>
              <w:spacing w:after="0"/>
              <w:rPr>
                <w:rFonts w:cs="Arial"/>
              </w:rPr>
            </w:pPr>
          </w:p>
        </w:tc>
        <w:tc>
          <w:tcPr>
            <w:tcW w:w="446" w:type="dxa"/>
            <w:vMerge/>
            <w:tcBorders>
              <w:top w:val="single" w:sz="8" w:space="0" w:color="auto"/>
              <w:left w:val="single" w:sz="4" w:space="0" w:color="auto"/>
              <w:bottom w:val="single" w:sz="4" w:space="0" w:color="000000"/>
              <w:right w:val="single" w:sz="4" w:space="0" w:color="auto"/>
            </w:tcBorders>
            <w:vAlign w:val="center"/>
            <w:hideMark/>
          </w:tcPr>
          <w:p w14:paraId="7E47E327" w14:textId="77777777" w:rsidR="00977844" w:rsidRPr="00557F5D" w:rsidRDefault="00977844" w:rsidP="003C2438">
            <w:pPr>
              <w:keepNext/>
              <w:keepLines/>
              <w:spacing w:after="0"/>
              <w:rPr>
                <w:rFonts w:cs="Arial"/>
              </w:rPr>
            </w:pPr>
          </w:p>
        </w:tc>
        <w:tc>
          <w:tcPr>
            <w:tcW w:w="1525" w:type="dxa"/>
            <w:vMerge/>
            <w:tcBorders>
              <w:top w:val="single" w:sz="8" w:space="0" w:color="auto"/>
              <w:left w:val="single" w:sz="4" w:space="0" w:color="auto"/>
              <w:bottom w:val="single" w:sz="4" w:space="0" w:color="000000"/>
              <w:right w:val="single" w:sz="8" w:space="0" w:color="auto"/>
            </w:tcBorders>
            <w:vAlign w:val="center"/>
            <w:hideMark/>
          </w:tcPr>
          <w:p w14:paraId="26E25178" w14:textId="77777777" w:rsidR="00977844" w:rsidRPr="00557F5D" w:rsidRDefault="00977844" w:rsidP="003C2438">
            <w:pPr>
              <w:keepNext/>
              <w:keepLines/>
              <w:spacing w:after="0"/>
              <w:rPr>
                <w:rFonts w:cs="Arial"/>
              </w:rPr>
            </w:pPr>
          </w:p>
        </w:tc>
      </w:tr>
      <w:tr w:rsidR="00977844" w:rsidRPr="00557F5D" w14:paraId="1C09991E"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14B57647" w14:textId="77777777" w:rsidR="00977844" w:rsidRDefault="00977844" w:rsidP="003C2438">
            <w:pPr>
              <w:keepNext/>
              <w:keepLines/>
              <w:spacing w:after="0"/>
              <w:jc w:val="center"/>
              <w:rPr>
                <w:rFonts w:cs="Arial"/>
              </w:rPr>
            </w:pPr>
            <w:r w:rsidRPr="00557F5D">
              <w:rPr>
                <w:rFonts w:cs="Arial"/>
              </w:rPr>
              <w:t>1</w:t>
            </w:r>
          </w:p>
        </w:tc>
        <w:tc>
          <w:tcPr>
            <w:tcW w:w="2178" w:type="dxa"/>
            <w:tcBorders>
              <w:top w:val="nil"/>
              <w:left w:val="nil"/>
              <w:bottom w:val="single" w:sz="4" w:space="0" w:color="auto"/>
              <w:right w:val="nil"/>
            </w:tcBorders>
            <w:shd w:val="clear" w:color="000000" w:fill="FFFFFF"/>
            <w:vAlign w:val="center"/>
            <w:hideMark/>
          </w:tcPr>
          <w:p w14:paraId="10873007" w14:textId="77777777" w:rsidR="00977844" w:rsidRPr="00557F5D" w:rsidRDefault="00977844" w:rsidP="003C2438">
            <w:pPr>
              <w:keepNext/>
              <w:keepLines/>
              <w:spacing w:after="0"/>
              <w:rPr>
                <w:rFonts w:cs="Arial"/>
              </w:rPr>
            </w:pPr>
            <w:proofErr w:type="spellStart"/>
            <w:r w:rsidRPr="00557F5D">
              <w:rPr>
                <w:rFonts w:cs="Arial"/>
              </w:rPr>
              <w:t>Entryso</w:t>
            </w:r>
            <w:proofErr w:type="spellEnd"/>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2D4A32CB"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128B5CB5"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07703FC2"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784AAB32"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6396A66E"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257BC12C"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1E9BA6F9" w14:textId="77777777" w:rsidR="00977844" w:rsidRPr="00037AD6"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54616616"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37964CB5"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54275A67"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3743D3D0" w14:textId="77777777" w:rsidR="00977844" w:rsidRDefault="00977844" w:rsidP="003C2438">
            <w:pPr>
              <w:keepNext/>
              <w:keepLines/>
              <w:spacing w:after="0"/>
              <w:jc w:val="center"/>
              <w:rPr>
                <w:rFonts w:cs="Arial"/>
              </w:rPr>
            </w:pPr>
            <w:r w:rsidRPr="00557F5D">
              <w:rPr>
                <w:rFonts w:cs="Arial"/>
              </w:rPr>
              <w:t>2</w:t>
            </w:r>
          </w:p>
        </w:tc>
        <w:tc>
          <w:tcPr>
            <w:tcW w:w="2178" w:type="dxa"/>
            <w:tcBorders>
              <w:top w:val="nil"/>
              <w:left w:val="nil"/>
              <w:bottom w:val="single" w:sz="4" w:space="0" w:color="auto"/>
              <w:right w:val="nil"/>
            </w:tcBorders>
            <w:shd w:val="clear" w:color="000000" w:fill="FFFFFF"/>
            <w:vAlign w:val="center"/>
            <w:hideMark/>
          </w:tcPr>
          <w:p w14:paraId="4021AA14" w14:textId="77777777" w:rsidR="00977844" w:rsidRPr="00557F5D" w:rsidRDefault="00977844" w:rsidP="003C2438">
            <w:pPr>
              <w:keepNext/>
              <w:keepLines/>
              <w:spacing w:after="0"/>
              <w:rPr>
                <w:rFonts w:cs="Arial"/>
              </w:rPr>
            </w:pPr>
            <w:r w:rsidRPr="00557F5D">
              <w:rPr>
                <w:rFonts w:cs="Arial"/>
              </w:rPr>
              <w:t>Entry NKP</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6686A119"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55DF2222"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6C2D5B53"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23156B5A"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07C41A44"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9304985"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223E4579"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49FBE83B" w14:textId="77777777" w:rsidR="00977844" w:rsidRPr="00557F5D" w:rsidRDefault="00977844" w:rsidP="003C2438">
            <w:pPr>
              <w:keepNext/>
              <w:keepLines/>
              <w:spacing w:after="0"/>
              <w:jc w:val="center"/>
              <w:rPr>
                <w:rFonts w:cs="Arial"/>
              </w:rPr>
            </w:pPr>
            <w:r w:rsidRPr="00557F5D">
              <w:rPr>
                <w:rFonts w:cs="Arial"/>
              </w:rPr>
              <w:t>x</w:t>
            </w:r>
          </w:p>
        </w:tc>
        <w:tc>
          <w:tcPr>
            <w:tcW w:w="1525" w:type="dxa"/>
            <w:tcBorders>
              <w:top w:val="nil"/>
              <w:left w:val="nil"/>
              <w:bottom w:val="single" w:sz="4" w:space="0" w:color="auto"/>
              <w:right w:val="single" w:sz="8" w:space="0" w:color="auto"/>
            </w:tcBorders>
            <w:shd w:val="clear" w:color="000000" w:fill="FFFFFF"/>
            <w:noWrap/>
            <w:vAlign w:val="center"/>
            <w:hideMark/>
          </w:tcPr>
          <w:p w14:paraId="6008FEE4"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583A787B"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04C3F8A3" w14:textId="77777777" w:rsidR="00977844" w:rsidRDefault="00977844" w:rsidP="003C2438">
            <w:pPr>
              <w:keepNext/>
              <w:keepLines/>
              <w:spacing w:after="0"/>
              <w:jc w:val="center"/>
              <w:rPr>
                <w:rFonts w:cs="Arial"/>
              </w:rPr>
            </w:pPr>
            <w:r w:rsidRPr="00557F5D">
              <w:rPr>
                <w:rFonts w:cs="Arial"/>
              </w:rPr>
              <w:t>4</w:t>
            </w:r>
          </w:p>
        </w:tc>
        <w:tc>
          <w:tcPr>
            <w:tcW w:w="2178" w:type="dxa"/>
            <w:tcBorders>
              <w:top w:val="nil"/>
              <w:left w:val="nil"/>
              <w:bottom w:val="single" w:sz="4" w:space="0" w:color="auto"/>
              <w:right w:val="nil"/>
            </w:tcBorders>
            <w:shd w:val="clear" w:color="000000" w:fill="FFFFFF"/>
            <w:vAlign w:val="center"/>
            <w:hideMark/>
          </w:tcPr>
          <w:p w14:paraId="6D26492C" w14:textId="77777777" w:rsidR="00977844" w:rsidRPr="00557F5D" w:rsidRDefault="00977844" w:rsidP="003C2438">
            <w:pPr>
              <w:keepNext/>
              <w:keepLines/>
              <w:spacing w:after="0"/>
              <w:rPr>
                <w:rFonts w:cs="Arial"/>
              </w:rPr>
            </w:pPr>
            <w:r w:rsidRPr="00557F5D">
              <w:rPr>
                <w:rFonts w:cs="Arial"/>
              </w:rPr>
              <w:t>Entry Biogas</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70D21385"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4643BCF1"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2FB44B7C"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32C09709"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216EF695"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38F68274"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25D8027B"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6AE3EDB1"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4522844E"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1772A5DA"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562CDFD9" w14:textId="77777777" w:rsidR="00977844" w:rsidRDefault="00977844" w:rsidP="003C2438">
            <w:pPr>
              <w:keepNext/>
              <w:keepLines/>
              <w:spacing w:after="0"/>
              <w:jc w:val="center"/>
              <w:rPr>
                <w:rFonts w:cs="Arial"/>
              </w:rPr>
            </w:pPr>
            <w:r w:rsidRPr="00557F5D">
              <w:rPr>
                <w:rFonts w:cs="Arial"/>
              </w:rPr>
              <w:t>5</w:t>
            </w:r>
          </w:p>
        </w:tc>
        <w:tc>
          <w:tcPr>
            <w:tcW w:w="2178" w:type="dxa"/>
            <w:tcBorders>
              <w:top w:val="nil"/>
              <w:left w:val="nil"/>
              <w:bottom w:val="single" w:sz="4" w:space="0" w:color="auto"/>
              <w:right w:val="nil"/>
            </w:tcBorders>
            <w:shd w:val="clear" w:color="000000" w:fill="FFFFFF"/>
            <w:vAlign w:val="center"/>
            <w:hideMark/>
          </w:tcPr>
          <w:p w14:paraId="12946785" w14:textId="77777777" w:rsidR="00977844" w:rsidRPr="00557F5D" w:rsidRDefault="00977844" w:rsidP="003C2438">
            <w:pPr>
              <w:keepNext/>
              <w:keepLines/>
              <w:spacing w:after="0"/>
              <w:rPr>
                <w:rFonts w:cs="Arial"/>
              </w:rPr>
            </w:pPr>
            <w:r w:rsidRPr="00557F5D">
              <w:rPr>
                <w:rFonts w:cs="Arial"/>
              </w:rPr>
              <w:t>Entry Wasserstoff</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62540B11"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4D397C64"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3165F3C7"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2F45DEE7"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268513F1"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5A5ADE17"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4DF55D5"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6EC72D2"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37FD9CBC"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79931B4D"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24514F99" w14:textId="77777777" w:rsidR="00977844" w:rsidRDefault="00977844" w:rsidP="003C2438">
            <w:pPr>
              <w:keepNext/>
              <w:keepLines/>
              <w:spacing w:after="0"/>
              <w:jc w:val="center"/>
              <w:rPr>
                <w:rFonts w:cs="Arial"/>
              </w:rPr>
            </w:pPr>
            <w:r w:rsidRPr="00557F5D">
              <w:rPr>
                <w:rFonts w:cs="Arial"/>
              </w:rPr>
              <w:t>6</w:t>
            </w:r>
          </w:p>
        </w:tc>
        <w:tc>
          <w:tcPr>
            <w:tcW w:w="2178" w:type="dxa"/>
            <w:tcBorders>
              <w:top w:val="nil"/>
              <w:left w:val="nil"/>
              <w:bottom w:val="single" w:sz="4" w:space="0" w:color="auto"/>
              <w:right w:val="nil"/>
            </w:tcBorders>
            <w:shd w:val="clear" w:color="000000" w:fill="FFFFFF"/>
            <w:vAlign w:val="center"/>
            <w:hideMark/>
          </w:tcPr>
          <w:p w14:paraId="5E676B49" w14:textId="77777777" w:rsidR="00977844" w:rsidRPr="00557F5D" w:rsidRDefault="00977844" w:rsidP="003C2438">
            <w:pPr>
              <w:keepNext/>
              <w:keepLines/>
              <w:spacing w:after="0"/>
              <w:rPr>
                <w:rFonts w:cs="Arial"/>
              </w:rPr>
            </w:pPr>
            <w:r w:rsidRPr="00557F5D">
              <w:rPr>
                <w:rFonts w:cs="Arial"/>
              </w:rPr>
              <w:t>Entry Flüssiggas</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408BAD08"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4979D9C2"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62A3B6C0"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3DA6C455"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41C6CFE3"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03221D99"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6A88F31"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B89FA62" w14:textId="77777777" w:rsidR="00977844" w:rsidRPr="00557F5D" w:rsidRDefault="00977844" w:rsidP="003C2438">
            <w:pPr>
              <w:keepNext/>
              <w:keepLines/>
              <w:spacing w:after="0"/>
              <w:jc w:val="center"/>
              <w:rPr>
                <w:rFonts w:cs="Arial"/>
              </w:rPr>
            </w:pPr>
            <w:r w:rsidRPr="00557F5D">
              <w:rPr>
                <w:rFonts w:cs="Arial"/>
              </w:rPr>
              <w:t>x</w:t>
            </w:r>
          </w:p>
        </w:tc>
        <w:tc>
          <w:tcPr>
            <w:tcW w:w="1525" w:type="dxa"/>
            <w:tcBorders>
              <w:top w:val="nil"/>
              <w:left w:val="nil"/>
              <w:bottom w:val="single" w:sz="4" w:space="0" w:color="auto"/>
              <w:right w:val="single" w:sz="8" w:space="0" w:color="auto"/>
            </w:tcBorders>
            <w:shd w:val="clear" w:color="000000" w:fill="FFFFFF"/>
            <w:noWrap/>
            <w:vAlign w:val="center"/>
            <w:hideMark/>
          </w:tcPr>
          <w:p w14:paraId="47574231"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5D697297"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tcPr>
          <w:p w14:paraId="1B8B6072" w14:textId="77777777" w:rsidR="00977844" w:rsidRDefault="00977844" w:rsidP="003C2438">
            <w:pPr>
              <w:keepNext/>
              <w:keepLines/>
              <w:spacing w:after="0"/>
              <w:jc w:val="center"/>
              <w:rPr>
                <w:rFonts w:cs="Arial"/>
              </w:rPr>
            </w:pPr>
            <w:r>
              <w:rPr>
                <w:rFonts w:cs="Arial"/>
              </w:rPr>
              <w:t>7</w:t>
            </w:r>
          </w:p>
        </w:tc>
        <w:tc>
          <w:tcPr>
            <w:tcW w:w="2178" w:type="dxa"/>
            <w:tcBorders>
              <w:top w:val="nil"/>
              <w:left w:val="nil"/>
              <w:bottom w:val="single" w:sz="4" w:space="0" w:color="auto"/>
              <w:right w:val="nil"/>
            </w:tcBorders>
            <w:shd w:val="clear" w:color="000000" w:fill="FFFFFF"/>
            <w:vAlign w:val="center"/>
          </w:tcPr>
          <w:p w14:paraId="4CFFB879" w14:textId="77777777" w:rsidR="00977844" w:rsidRPr="00557F5D" w:rsidRDefault="00977844" w:rsidP="003C2438">
            <w:pPr>
              <w:keepNext/>
              <w:keepLines/>
              <w:spacing w:after="0"/>
              <w:rPr>
                <w:rFonts w:cs="Arial"/>
              </w:rPr>
            </w:pPr>
            <w:proofErr w:type="spellStart"/>
            <w:r>
              <w:rPr>
                <w:rFonts w:cs="Arial"/>
              </w:rPr>
              <w:t>Exitso</w:t>
            </w:r>
            <w:proofErr w:type="spellEnd"/>
          </w:p>
        </w:tc>
        <w:tc>
          <w:tcPr>
            <w:tcW w:w="446" w:type="dxa"/>
            <w:tcBorders>
              <w:top w:val="nil"/>
              <w:left w:val="single" w:sz="4" w:space="0" w:color="auto"/>
              <w:bottom w:val="single" w:sz="4" w:space="0" w:color="auto"/>
              <w:right w:val="single" w:sz="4" w:space="0" w:color="auto"/>
            </w:tcBorders>
            <w:shd w:val="clear" w:color="000000" w:fill="FFFFFF"/>
            <w:vAlign w:val="center"/>
          </w:tcPr>
          <w:p w14:paraId="0954E99B"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19928526"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tcPr>
          <w:p w14:paraId="250AD23B"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2B2FE997"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68211C9F"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5953E6A3"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301311C4"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669D4EE4"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tcPr>
          <w:p w14:paraId="3BE864A2" w14:textId="77777777" w:rsidR="00977844" w:rsidRPr="00557F5D" w:rsidRDefault="00977844" w:rsidP="003C2438">
            <w:pPr>
              <w:keepNext/>
              <w:keepLines/>
              <w:spacing w:after="0"/>
              <w:jc w:val="center"/>
              <w:rPr>
                <w:rFonts w:cs="Arial"/>
              </w:rPr>
            </w:pPr>
            <w:r>
              <w:rPr>
                <w:rFonts w:cs="Arial"/>
              </w:rPr>
              <w:t>ALOCAT</w:t>
            </w:r>
          </w:p>
        </w:tc>
      </w:tr>
      <w:tr w:rsidR="008D0A18" w:rsidRPr="00557F5D" w14:paraId="0DF07C5F"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tcPr>
          <w:p w14:paraId="2ADEF601" w14:textId="5DDFF624" w:rsidR="008D0A18" w:rsidRDefault="008D0A18" w:rsidP="003C2438">
            <w:pPr>
              <w:keepNext/>
              <w:keepLines/>
              <w:spacing w:after="0"/>
              <w:jc w:val="center"/>
              <w:rPr>
                <w:rFonts w:cs="Arial"/>
              </w:rPr>
            </w:pPr>
            <w:r>
              <w:rPr>
                <w:rFonts w:cs="Arial"/>
              </w:rPr>
              <w:t>8</w:t>
            </w:r>
          </w:p>
        </w:tc>
        <w:tc>
          <w:tcPr>
            <w:tcW w:w="2178" w:type="dxa"/>
            <w:tcBorders>
              <w:top w:val="nil"/>
              <w:left w:val="nil"/>
              <w:bottom w:val="single" w:sz="4" w:space="0" w:color="auto"/>
              <w:right w:val="nil"/>
            </w:tcBorders>
            <w:shd w:val="clear" w:color="000000" w:fill="FFFFFF"/>
            <w:vAlign w:val="center"/>
          </w:tcPr>
          <w:p w14:paraId="469057E9" w14:textId="41362FFB" w:rsidR="008D0A18" w:rsidRDefault="008D0A18" w:rsidP="003C2438">
            <w:pPr>
              <w:keepNext/>
              <w:keepLines/>
              <w:spacing w:after="0"/>
              <w:rPr>
                <w:rFonts w:cs="Arial"/>
              </w:rPr>
            </w:pPr>
            <w:proofErr w:type="spellStart"/>
            <w:r>
              <w:rPr>
                <w:rFonts w:cs="Arial"/>
              </w:rPr>
              <w:t>ExitSP</w:t>
            </w:r>
            <w:proofErr w:type="spellEnd"/>
            <w:r w:rsidR="00B257F4">
              <w:rPr>
                <w:rStyle w:val="Funotenzeichen"/>
                <w:rFonts w:cs="Arial"/>
              </w:rPr>
              <w:footnoteReference w:id="4"/>
            </w:r>
          </w:p>
        </w:tc>
        <w:tc>
          <w:tcPr>
            <w:tcW w:w="446" w:type="dxa"/>
            <w:tcBorders>
              <w:top w:val="nil"/>
              <w:left w:val="single" w:sz="4" w:space="0" w:color="auto"/>
              <w:bottom w:val="single" w:sz="4" w:space="0" w:color="auto"/>
              <w:right w:val="single" w:sz="4" w:space="0" w:color="auto"/>
            </w:tcBorders>
            <w:shd w:val="clear" w:color="000000" w:fill="FFFFFF"/>
            <w:vAlign w:val="center"/>
          </w:tcPr>
          <w:p w14:paraId="2A894D6D" w14:textId="77777777" w:rsidR="008D0A18" w:rsidRPr="00557F5D" w:rsidRDefault="008D0A18"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706C28E2" w14:textId="77777777" w:rsidR="008D0A18" w:rsidRPr="00557F5D" w:rsidRDefault="008D0A18"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tcPr>
          <w:p w14:paraId="00696196" w14:textId="77777777" w:rsidR="008D0A18" w:rsidRPr="00557F5D" w:rsidRDefault="008D0A18"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65D17827" w14:textId="0192D4F9" w:rsidR="008D0A18" w:rsidRDefault="008D0A18"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2FFB6702" w14:textId="58EA169A" w:rsidR="008D0A18" w:rsidRDefault="008D0A18"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5AAB7CBC" w14:textId="77777777" w:rsidR="008D0A18" w:rsidRPr="00557F5D" w:rsidRDefault="008D0A18"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7FDD1D4C" w14:textId="77777777" w:rsidR="008D0A18" w:rsidRPr="00557F5D" w:rsidRDefault="008D0A18"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60B9E71E" w14:textId="77777777" w:rsidR="008D0A18" w:rsidRPr="00557F5D" w:rsidRDefault="008D0A18"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tcPr>
          <w:p w14:paraId="56E44323" w14:textId="18E8708F" w:rsidR="008D0A18" w:rsidRDefault="008D0A18" w:rsidP="003C2438">
            <w:pPr>
              <w:keepNext/>
              <w:keepLines/>
              <w:spacing w:after="0"/>
              <w:jc w:val="center"/>
              <w:rPr>
                <w:rFonts w:cs="Arial"/>
              </w:rPr>
            </w:pPr>
            <w:r>
              <w:rPr>
                <w:rFonts w:cs="Arial"/>
              </w:rPr>
              <w:t>ALOCAT</w:t>
            </w:r>
          </w:p>
        </w:tc>
      </w:tr>
      <w:tr w:rsidR="00977844" w:rsidRPr="00557F5D" w14:paraId="2BF1BE2F" w14:textId="77777777" w:rsidTr="00977844">
        <w:trPr>
          <w:trHeight w:val="227"/>
          <w:jc w:val="center"/>
        </w:trPr>
        <w:tc>
          <w:tcPr>
            <w:tcW w:w="960" w:type="dxa"/>
            <w:tcBorders>
              <w:top w:val="nil"/>
              <w:left w:val="single" w:sz="8" w:space="0" w:color="auto"/>
              <w:right w:val="single" w:sz="4" w:space="0" w:color="auto"/>
            </w:tcBorders>
            <w:shd w:val="clear" w:color="000000" w:fill="FFFFFF"/>
            <w:vAlign w:val="center"/>
            <w:hideMark/>
          </w:tcPr>
          <w:p w14:paraId="315DFF98" w14:textId="0584FFC6" w:rsidR="00977844" w:rsidRDefault="008D0A18" w:rsidP="003C2438">
            <w:pPr>
              <w:keepNext/>
              <w:keepLines/>
              <w:spacing w:after="0"/>
              <w:jc w:val="center"/>
              <w:rPr>
                <w:rFonts w:cs="Arial"/>
              </w:rPr>
            </w:pPr>
            <w:r>
              <w:rPr>
                <w:rFonts w:cs="Arial"/>
              </w:rPr>
              <w:t>10</w:t>
            </w:r>
          </w:p>
        </w:tc>
        <w:tc>
          <w:tcPr>
            <w:tcW w:w="2178" w:type="dxa"/>
            <w:tcBorders>
              <w:top w:val="nil"/>
              <w:left w:val="nil"/>
              <w:bottom w:val="single" w:sz="4" w:space="0" w:color="auto"/>
              <w:right w:val="nil"/>
            </w:tcBorders>
            <w:shd w:val="clear" w:color="000000" w:fill="FFFFFF"/>
            <w:vAlign w:val="center"/>
            <w:hideMark/>
          </w:tcPr>
          <w:p w14:paraId="7E2343E8" w14:textId="77777777" w:rsidR="00977844" w:rsidRPr="00557F5D" w:rsidRDefault="00977844" w:rsidP="003C2438">
            <w:pPr>
              <w:keepNext/>
              <w:keepLines/>
              <w:spacing w:after="0"/>
              <w:rPr>
                <w:rFonts w:cs="Arial"/>
              </w:rPr>
            </w:pPr>
            <w:proofErr w:type="spellStart"/>
            <w:r w:rsidRPr="00557F5D">
              <w:rPr>
                <w:rFonts w:cs="Arial"/>
              </w:rPr>
              <w:t>RLM</w:t>
            </w:r>
            <w:r>
              <w:rPr>
                <w:rFonts w:cs="Arial"/>
              </w:rPr>
              <w:t>m</w:t>
            </w:r>
            <w:r w:rsidRPr="00557F5D">
              <w:rPr>
                <w:rFonts w:cs="Arial"/>
              </w:rPr>
              <w:t>T</w:t>
            </w:r>
            <w:proofErr w:type="spellEnd"/>
            <w:r>
              <w:rPr>
                <w:rFonts w:cs="Arial"/>
              </w:rPr>
              <w:t xml:space="preserve"> </w:t>
            </w:r>
            <w:r w:rsidRPr="00D90FCB">
              <w:rPr>
                <w:rFonts w:cs="Arial"/>
                <w:sz w:val="20"/>
              </w:rPr>
              <w:t>(B</w:t>
            </w:r>
            <w:r>
              <w:rPr>
                <w:rFonts w:cs="Arial"/>
                <w:sz w:val="20"/>
              </w:rPr>
              <w:t>BW</w:t>
            </w:r>
            <w:r w:rsidRPr="00D90FCB">
              <w:rPr>
                <w:rFonts w:cs="Arial"/>
                <w:sz w:val="20"/>
              </w:rPr>
              <w:t>)</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29F10562"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single" w:sz="4" w:space="0" w:color="auto"/>
              <w:left w:val="nil"/>
              <w:bottom w:val="single" w:sz="4" w:space="0" w:color="auto"/>
              <w:right w:val="single" w:sz="4" w:space="0" w:color="auto"/>
            </w:tcBorders>
            <w:shd w:val="clear" w:color="000000" w:fill="FFFFFF"/>
            <w:vAlign w:val="center"/>
          </w:tcPr>
          <w:p w14:paraId="1E683BDF"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1FCDA77D"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2F9F3935"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0A627515"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7E325D66" w14:textId="77777777" w:rsidR="00977844" w:rsidRPr="00557F5D" w:rsidRDefault="00977844" w:rsidP="003C2438">
            <w:pPr>
              <w:keepNext/>
              <w:keepLines/>
              <w:spacing w:after="0"/>
              <w:jc w:val="center"/>
              <w:rPr>
                <w:rFonts w:cs="Arial"/>
              </w:rPr>
            </w:pPr>
          </w:p>
        </w:tc>
        <w:tc>
          <w:tcPr>
            <w:tcW w:w="446" w:type="dxa"/>
            <w:tcBorders>
              <w:top w:val="nil"/>
              <w:left w:val="nil"/>
              <w:right w:val="single" w:sz="4" w:space="0" w:color="auto"/>
            </w:tcBorders>
            <w:shd w:val="clear" w:color="auto" w:fill="auto"/>
            <w:noWrap/>
            <w:vAlign w:val="center"/>
            <w:hideMark/>
          </w:tcPr>
          <w:p w14:paraId="4D226E69" w14:textId="77777777" w:rsidR="00977844" w:rsidRPr="00B07FDD" w:rsidRDefault="00977844" w:rsidP="003C2438">
            <w:pPr>
              <w:keepNext/>
              <w:keepLines/>
              <w:spacing w:after="0"/>
              <w:jc w:val="center"/>
              <w:rPr>
                <w:rFonts w:cs="Arial"/>
              </w:rPr>
            </w:pPr>
            <w:r w:rsidRPr="00B07FDD">
              <w:rPr>
                <w:rFonts w:cs="Arial"/>
              </w:rPr>
              <w:t>[</w:t>
            </w:r>
            <w:r w:rsidRPr="00B07FDD">
              <w:t>x</w:t>
            </w:r>
            <w:r w:rsidRPr="00B07FDD">
              <w:rPr>
                <w:rFonts w:cs="Arial"/>
              </w:rPr>
              <w:t>]</w:t>
            </w:r>
          </w:p>
        </w:tc>
        <w:tc>
          <w:tcPr>
            <w:tcW w:w="446" w:type="dxa"/>
            <w:tcBorders>
              <w:top w:val="nil"/>
              <w:left w:val="nil"/>
              <w:bottom w:val="single" w:sz="4" w:space="0" w:color="auto"/>
              <w:right w:val="single" w:sz="4" w:space="0" w:color="auto"/>
            </w:tcBorders>
            <w:shd w:val="clear" w:color="000000" w:fill="FFFFFF"/>
            <w:noWrap/>
            <w:vAlign w:val="center"/>
            <w:hideMark/>
          </w:tcPr>
          <w:p w14:paraId="3CF29EDE"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42C573A1"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19BCEA8C" w14:textId="77777777" w:rsidTr="00977844">
        <w:trPr>
          <w:trHeight w:val="227"/>
          <w:jc w:val="center"/>
        </w:trPr>
        <w:tc>
          <w:tcPr>
            <w:tcW w:w="960" w:type="dxa"/>
            <w:tcBorders>
              <w:left w:val="single" w:sz="8" w:space="0" w:color="auto"/>
              <w:bottom w:val="single" w:sz="4" w:space="0" w:color="auto"/>
              <w:right w:val="single" w:sz="4" w:space="0" w:color="auto"/>
            </w:tcBorders>
            <w:shd w:val="clear" w:color="000000" w:fill="FFFFFF"/>
            <w:vAlign w:val="center"/>
          </w:tcPr>
          <w:p w14:paraId="7419CA9E" w14:textId="77777777" w:rsidR="00977844" w:rsidRDefault="00977844" w:rsidP="003C2438">
            <w:pPr>
              <w:keepNext/>
              <w:keepLines/>
              <w:spacing w:after="0"/>
              <w:rPr>
                <w:rFonts w:cs="Arial"/>
              </w:rPr>
            </w:pPr>
          </w:p>
        </w:tc>
        <w:tc>
          <w:tcPr>
            <w:tcW w:w="2178" w:type="dxa"/>
            <w:tcBorders>
              <w:top w:val="nil"/>
              <w:left w:val="nil"/>
              <w:bottom w:val="single" w:sz="4" w:space="0" w:color="auto"/>
              <w:right w:val="nil"/>
            </w:tcBorders>
            <w:shd w:val="clear" w:color="000000" w:fill="FFFFFF"/>
            <w:vAlign w:val="center"/>
          </w:tcPr>
          <w:p w14:paraId="1C7EFC6C" w14:textId="77777777" w:rsidR="00977844" w:rsidRPr="00557F5D" w:rsidRDefault="00977844" w:rsidP="003C2438">
            <w:pPr>
              <w:keepNext/>
              <w:keepLines/>
              <w:spacing w:after="0"/>
              <w:rPr>
                <w:rFonts w:cs="Arial"/>
              </w:rPr>
            </w:pPr>
            <w:proofErr w:type="spellStart"/>
            <w:r>
              <w:rPr>
                <w:rFonts w:cs="Arial"/>
              </w:rPr>
              <w:t>RLMmT</w:t>
            </w:r>
            <w:proofErr w:type="spellEnd"/>
            <w:r>
              <w:rPr>
                <w:rFonts w:cs="Arial"/>
              </w:rPr>
              <w:t xml:space="preserve"> </w:t>
            </w:r>
            <w:r w:rsidRPr="00D90FCB">
              <w:rPr>
                <w:rFonts w:cs="Arial"/>
                <w:sz w:val="20"/>
              </w:rPr>
              <w:t>(A</w:t>
            </w:r>
            <w:r>
              <w:rPr>
                <w:rFonts w:cs="Arial"/>
                <w:sz w:val="20"/>
              </w:rPr>
              <w:t>BW</w:t>
            </w:r>
            <w:r w:rsidRPr="00D90FCB">
              <w:rPr>
                <w:rFonts w:cs="Arial"/>
                <w:sz w:val="20"/>
              </w:rPr>
              <w:t>)</w:t>
            </w:r>
          </w:p>
        </w:tc>
        <w:tc>
          <w:tcPr>
            <w:tcW w:w="446" w:type="dxa"/>
            <w:tcBorders>
              <w:top w:val="nil"/>
              <w:left w:val="single" w:sz="4" w:space="0" w:color="auto"/>
              <w:bottom w:val="single" w:sz="4" w:space="0" w:color="auto"/>
              <w:right w:val="single" w:sz="4" w:space="0" w:color="auto"/>
            </w:tcBorders>
            <w:shd w:val="clear" w:color="000000" w:fill="FFFFFF"/>
            <w:vAlign w:val="center"/>
          </w:tcPr>
          <w:p w14:paraId="4EA679CD"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639B7AA6"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tcPr>
          <w:p w14:paraId="5EBD0F97"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160BF32B"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637C6DE5"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3790C9A7" w14:textId="77777777" w:rsidR="00977844" w:rsidRPr="00557F5D" w:rsidRDefault="00977844" w:rsidP="003C2438">
            <w:pPr>
              <w:keepNext/>
              <w:keepLines/>
              <w:spacing w:after="0"/>
              <w:jc w:val="center"/>
              <w:rPr>
                <w:rFonts w:cs="Arial"/>
              </w:rPr>
            </w:pPr>
          </w:p>
        </w:tc>
        <w:tc>
          <w:tcPr>
            <w:tcW w:w="446" w:type="dxa"/>
            <w:tcBorders>
              <w:left w:val="nil"/>
              <w:bottom w:val="single" w:sz="4" w:space="0" w:color="auto"/>
              <w:right w:val="single" w:sz="4" w:space="0" w:color="auto"/>
            </w:tcBorders>
            <w:shd w:val="clear" w:color="000000" w:fill="FFFFFF"/>
            <w:noWrap/>
            <w:vAlign w:val="center"/>
          </w:tcPr>
          <w:p w14:paraId="0FD164F5"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6F1ACEF6"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tcPr>
          <w:p w14:paraId="7282A9E7" w14:textId="77777777" w:rsidR="00977844" w:rsidRPr="00557F5D" w:rsidRDefault="00977844" w:rsidP="003C2438">
            <w:pPr>
              <w:keepNext/>
              <w:keepLines/>
              <w:spacing w:after="0"/>
              <w:jc w:val="center"/>
              <w:rPr>
                <w:rFonts w:cs="Arial"/>
              </w:rPr>
            </w:pPr>
            <w:r>
              <w:rPr>
                <w:rFonts w:cs="Arial"/>
              </w:rPr>
              <w:t>ALOCAT</w:t>
            </w:r>
          </w:p>
        </w:tc>
      </w:tr>
      <w:tr w:rsidR="00977844" w:rsidRPr="00557F5D" w14:paraId="2B0F693A" w14:textId="77777777" w:rsidTr="00977844">
        <w:trPr>
          <w:trHeight w:val="227"/>
          <w:jc w:val="center"/>
        </w:trPr>
        <w:tc>
          <w:tcPr>
            <w:tcW w:w="960" w:type="dxa"/>
            <w:tcBorders>
              <w:top w:val="nil"/>
              <w:left w:val="single" w:sz="8" w:space="0" w:color="auto"/>
              <w:right w:val="single" w:sz="4" w:space="0" w:color="auto"/>
            </w:tcBorders>
            <w:shd w:val="clear" w:color="000000" w:fill="FFFFFF"/>
            <w:vAlign w:val="center"/>
            <w:hideMark/>
          </w:tcPr>
          <w:p w14:paraId="7F7EB86C" w14:textId="5A550D32" w:rsidR="00977844" w:rsidRDefault="008D0A18" w:rsidP="003C2438">
            <w:pPr>
              <w:keepNext/>
              <w:keepLines/>
              <w:spacing w:after="0"/>
              <w:jc w:val="center"/>
              <w:rPr>
                <w:rFonts w:cs="Arial"/>
              </w:rPr>
            </w:pPr>
            <w:r>
              <w:rPr>
                <w:rFonts w:cs="Arial"/>
              </w:rPr>
              <w:t>11</w:t>
            </w:r>
          </w:p>
        </w:tc>
        <w:tc>
          <w:tcPr>
            <w:tcW w:w="2178" w:type="dxa"/>
            <w:tcBorders>
              <w:top w:val="nil"/>
              <w:left w:val="nil"/>
              <w:bottom w:val="single" w:sz="4" w:space="0" w:color="auto"/>
              <w:right w:val="nil"/>
            </w:tcBorders>
            <w:shd w:val="clear" w:color="000000" w:fill="FFFFFF"/>
            <w:vAlign w:val="center"/>
            <w:hideMark/>
          </w:tcPr>
          <w:p w14:paraId="3B7616F3" w14:textId="77777777" w:rsidR="00977844" w:rsidRPr="00557F5D" w:rsidRDefault="00977844" w:rsidP="003C2438">
            <w:pPr>
              <w:keepNext/>
              <w:keepLines/>
              <w:spacing w:after="0"/>
              <w:rPr>
                <w:rFonts w:cs="Arial"/>
              </w:rPr>
            </w:pPr>
            <w:proofErr w:type="spellStart"/>
            <w:r w:rsidRPr="00557F5D">
              <w:rPr>
                <w:rFonts w:cs="Arial"/>
              </w:rPr>
              <w:t>RLM</w:t>
            </w:r>
            <w:r>
              <w:rPr>
                <w:rFonts w:cs="Arial"/>
              </w:rPr>
              <w:t>o</w:t>
            </w:r>
            <w:r w:rsidRPr="00557F5D">
              <w:rPr>
                <w:rFonts w:cs="Arial"/>
              </w:rPr>
              <w:t>T</w:t>
            </w:r>
            <w:proofErr w:type="spellEnd"/>
            <w:r>
              <w:rPr>
                <w:rFonts w:cs="Arial"/>
              </w:rPr>
              <w:t xml:space="preserve"> </w:t>
            </w:r>
            <w:r w:rsidRPr="00044A94">
              <w:rPr>
                <w:rFonts w:cs="Arial"/>
                <w:sz w:val="20"/>
              </w:rPr>
              <w:t>(B</w:t>
            </w:r>
            <w:r>
              <w:rPr>
                <w:rFonts w:cs="Arial"/>
                <w:sz w:val="20"/>
              </w:rPr>
              <w:t>BW</w:t>
            </w:r>
            <w:r w:rsidRPr="00044A94">
              <w:rPr>
                <w:rFonts w:cs="Arial"/>
                <w:sz w:val="20"/>
              </w:rPr>
              <w:t>)</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3C5B2ABD"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single" w:sz="4" w:space="0" w:color="auto"/>
              <w:left w:val="nil"/>
              <w:bottom w:val="single" w:sz="4" w:space="0" w:color="auto"/>
              <w:right w:val="single" w:sz="4" w:space="0" w:color="auto"/>
            </w:tcBorders>
            <w:shd w:val="clear" w:color="000000" w:fill="FFFFFF"/>
            <w:vAlign w:val="center"/>
          </w:tcPr>
          <w:p w14:paraId="108372EC"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1DDC8E8B"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315536ED" w14:textId="77777777" w:rsidR="00977844" w:rsidRPr="00557F5D" w:rsidRDefault="00977844" w:rsidP="003C2438">
            <w:pPr>
              <w:keepNext/>
              <w:keepLines/>
              <w:spacing w:after="0"/>
              <w:jc w:val="center"/>
              <w:rPr>
                <w:rFonts w:cs="Arial"/>
              </w:rPr>
            </w:pPr>
            <w:r w:rsidRPr="00557F5D">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2D28E011"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1428A7F9" w14:textId="77777777" w:rsidR="00977844" w:rsidRPr="00557F5D" w:rsidRDefault="00977844" w:rsidP="003C2438">
            <w:pPr>
              <w:keepNext/>
              <w:keepLines/>
              <w:spacing w:after="0"/>
              <w:jc w:val="center"/>
              <w:rPr>
                <w:rFonts w:cs="Arial"/>
              </w:rPr>
            </w:pPr>
          </w:p>
        </w:tc>
        <w:tc>
          <w:tcPr>
            <w:tcW w:w="446" w:type="dxa"/>
            <w:vMerge w:val="restart"/>
            <w:tcBorders>
              <w:top w:val="nil"/>
              <w:left w:val="nil"/>
              <w:right w:val="single" w:sz="4" w:space="0" w:color="auto"/>
            </w:tcBorders>
            <w:shd w:val="clear" w:color="auto" w:fill="auto"/>
            <w:noWrap/>
            <w:vAlign w:val="center"/>
            <w:hideMark/>
          </w:tcPr>
          <w:p w14:paraId="58B91BDB" w14:textId="77777777" w:rsidR="00977844" w:rsidRPr="00B07FDD" w:rsidRDefault="00977844" w:rsidP="003C2438">
            <w:pPr>
              <w:keepNext/>
              <w:keepLines/>
              <w:spacing w:after="0"/>
              <w:jc w:val="center"/>
              <w:rPr>
                <w:rFonts w:cs="Arial"/>
                <w:color w:val="000000" w:themeColor="text1"/>
              </w:rPr>
            </w:pPr>
            <w:r w:rsidRPr="00B07FDD">
              <w:rPr>
                <w:rFonts w:cs="Arial"/>
                <w:color w:val="000000" w:themeColor="text1"/>
              </w:rPr>
              <w:t>[</w:t>
            </w:r>
            <w:r w:rsidRPr="00B07FDD">
              <w:rPr>
                <w:color w:val="000000" w:themeColor="text1"/>
              </w:rPr>
              <w:t>x</w:t>
            </w:r>
            <w:r w:rsidRPr="00B07FDD">
              <w:rPr>
                <w:rFonts w:cs="Arial"/>
                <w:color w:val="000000" w:themeColor="text1"/>
              </w:rPr>
              <w:t>]</w:t>
            </w:r>
          </w:p>
        </w:tc>
        <w:tc>
          <w:tcPr>
            <w:tcW w:w="446" w:type="dxa"/>
            <w:tcBorders>
              <w:top w:val="nil"/>
              <w:left w:val="nil"/>
              <w:bottom w:val="single" w:sz="4" w:space="0" w:color="auto"/>
              <w:right w:val="single" w:sz="4" w:space="0" w:color="auto"/>
            </w:tcBorders>
            <w:shd w:val="clear" w:color="000000" w:fill="FFFFFF"/>
            <w:noWrap/>
            <w:vAlign w:val="center"/>
            <w:hideMark/>
          </w:tcPr>
          <w:p w14:paraId="506E985E"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3DD838FF"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5814CF38" w14:textId="77777777" w:rsidTr="00977844">
        <w:trPr>
          <w:trHeight w:val="227"/>
          <w:jc w:val="center"/>
        </w:trPr>
        <w:tc>
          <w:tcPr>
            <w:tcW w:w="960" w:type="dxa"/>
            <w:tcBorders>
              <w:left w:val="single" w:sz="8" w:space="0" w:color="auto"/>
              <w:bottom w:val="single" w:sz="4" w:space="0" w:color="auto"/>
              <w:right w:val="single" w:sz="4" w:space="0" w:color="auto"/>
            </w:tcBorders>
            <w:shd w:val="clear" w:color="000000" w:fill="FFFFFF"/>
            <w:vAlign w:val="center"/>
          </w:tcPr>
          <w:p w14:paraId="0944A0B4" w14:textId="77777777" w:rsidR="00977844" w:rsidRDefault="00977844" w:rsidP="003C2438">
            <w:pPr>
              <w:keepNext/>
              <w:keepLines/>
              <w:spacing w:after="0"/>
              <w:jc w:val="center"/>
              <w:rPr>
                <w:rFonts w:cs="Arial"/>
              </w:rPr>
            </w:pPr>
          </w:p>
        </w:tc>
        <w:tc>
          <w:tcPr>
            <w:tcW w:w="2178" w:type="dxa"/>
            <w:tcBorders>
              <w:top w:val="nil"/>
              <w:left w:val="nil"/>
              <w:bottom w:val="single" w:sz="4" w:space="0" w:color="auto"/>
              <w:right w:val="nil"/>
            </w:tcBorders>
            <w:shd w:val="clear" w:color="000000" w:fill="FFFFFF"/>
            <w:vAlign w:val="center"/>
          </w:tcPr>
          <w:p w14:paraId="28D5C992" w14:textId="77777777" w:rsidR="00977844" w:rsidRPr="00557F5D" w:rsidRDefault="00977844" w:rsidP="003C2438">
            <w:pPr>
              <w:keepNext/>
              <w:keepLines/>
              <w:spacing w:after="0"/>
              <w:rPr>
                <w:rFonts w:cs="Arial"/>
              </w:rPr>
            </w:pPr>
            <w:proofErr w:type="spellStart"/>
            <w:r>
              <w:rPr>
                <w:rFonts w:cs="Arial"/>
              </w:rPr>
              <w:t>RLMoT</w:t>
            </w:r>
            <w:proofErr w:type="spellEnd"/>
            <w:r>
              <w:rPr>
                <w:rFonts w:cs="Arial"/>
              </w:rPr>
              <w:t xml:space="preserve"> </w:t>
            </w:r>
            <w:r w:rsidRPr="00044A94">
              <w:rPr>
                <w:rFonts w:cs="Arial"/>
                <w:sz w:val="20"/>
              </w:rPr>
              <w:t>(A</w:t>
            </w:r>
            <w:r>
              <w:rPr>
                <w:rFonts w:cs="Arial"/>
                <w:sz w:val="20"/>
              </w:rPr>
              <w:t>BW</w:t>
            </w:r>
            <w:r w:rsidRPr="00044A94">
              <w:rPr>
                <w:rFonts w:cs="Arial"/>
                <w:sz w:val="20"/>
              </w:rPr>
              <w:t>)</w:t>
            </w:r>
          </w:p>
        </w:tc>
        <w:tc>
          <w:tcPr>
            <w:tcW w:w="446" w:type="dxa"/>
            <w:tcBorders>
              <w:top w:val="nil"/>
              <w:left w:val="single" w:sz="4" w:space="0" w:color="auto"/>
              <w:bottom w:val="single" w:sz="4" w:space="0" w:color="auto"/>
              <w:right w:val="single" w:sz="4" w:space="0" w:color="auto"/>
            </w:tcBorders>
            <w:shd w:val="clear" w:color="000000" w:fill="FFFFFF"/>
            <w:vAlign w:val="center"/>
          </w:tcPr>
          <w:p w14:paraId="2CA2B803"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797A19FC" w14:textId="77777777" w:rsidR="00977844" w:rsidRPr="00557F5D"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tcPr>
          <w:p w14:paraId="5C43E303"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3368DDB5"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590E26A5"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tcPr>
          <w:p w14:paraId="0EED6322" w14:textId="77777777" w:rsidR="00977844" w:rsidRPr="00557F5D" w:rsidRDefault="00977844" w:rsidP="003C2438">
            <w:pPr>
              <w:keepNext/>
              <w:keepLines/>
              <w:spacing w:after="0"/>
              <w:jc w:val="center"/>
              <w:rPr>
                <w:rFonts w:cs="Arial"/>
              </w:rPr>
            </w:pPr>
          </w:p>
        </w:tc>
        <w:tc>
          <w:tcPr>
            <w:tcW w:w="446" w:type="dxa"/>
            <w:vMerge/>
            <w:tcBorders>
              <w:left w:val="nil"/>
              <w:bottom w:val="single" w:sz="4" w:space="0" w:color="auto"/>
              <w:right w:val="single" w:sz="4" w:space="0" w:color="auto"/>
            </w:tcBorders>
            <w:shd w:val="clear" w:color="auto" w:fill="auto"/>
            <w:noWrap/>
            <w:vAlign w:val="center"/>
          </w:tcPr>
          <w:p w14:paraId="6C926CEF"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tcPr>
          <w:p w14:paraId="486A0828"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tcPr>
          <w:p w14:paraId="26C7BFC6" w14:textId="77777777" w:rsidR="00977844" w:rsidRPr="00557F5D" w:rsidRDefault="00977844" w:rsidP="003C2438">
            <w:pPr>
              <w:keepNext/>
              <w:keepLines/>
              <w:spacing w:after="0"/>
              <w:jc w:val="center"/>
              <w:rPr>
                <w:rFonts w:cs="Arial"/>
              </w:rPr>
            </w:pPr>
            <w:r>
              <w:rPr>
                <w:rFonts w:cs="Arial"/>
              </w:rPr>
              <w:t>ALOCAT</w:t>
            </w:r>
          </w:p>
        </w:tc>
      </w:tr>
      <w:tr w:rsidR="00977844" w:rsidRPr="00557F5D" w14:paraId="5A0641B2"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315E6B57" w14:textId="0BE80ED5" w:rsidR="00977844" w:rsidRDefault="008D0A18" w:rsidP="003C2438">
            <w:pPr>
              <w:keepNext/>
              <w:keepLines/>
              <w:spacing w:after="0"/>
              <w:jc w:val="center"/>
              <w:rPr>
                <w:rFonts w:cs="Arial"/>
              </w:rPr>
            </w:pPr>
            <w:r>
              <w:rPr>
                <w:rFonts w:cs="Arial"/>
              </w:rPr>
              <w:t>12</w:t>
            </w:r>
          </w:p>
        </w:tc>
        <w:tc>
          <w:tcPr>
            <w:tcW w:w="2178" w:type="dxa"/>
            <w:tcBorders>
              <w:top w:val="nil"/>
              <w:left w:val="nil"/>
              <w:bottom w:val="single" w:sz="4" w:space="0" w:color="auto"/>
              <w:right w:val="nil"/>
            </w:tcBorders>
            <w:shd w:val="clear" w:color="000000" w:fill="FFFFFF"/>
            <w:vAlign w:val="center"/>
            <w:hideMark/>
          </w:tcPr>
          <w:p w14:paraId="0E48B3D6" w14:textId="77777777" w:rsidR="00977844" w:rsidRPr="00557F5D" w:rsidRDefault="00977844" w:rsidP="003C2438">
            <w:pPr>
              <w:keepNext/>
              <w:keepLines/>
              <w:spacing w:after="0"/>
              <w:rPr>
                <w:rFonts w:cs="Arial"/>
              </w:rPr>
            </w:pPr>
            <w:proofErr w:type="spellStart"/>
            <w:r w:rsidRPr="00557F5D">
              <w:rPr>
                <w:rFonts w:cs="Arial"/>
              </w:rPr>
              <w:t>SLPsyn</w:t>
            </w:r>
            <w:proofErr w:type="spellEnd"/>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1627DA4F"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11EEB9B5" w14:textId="77777777" w:rsidR="00977844"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0E57004A"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3AB2DED1"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7B1AB9C9"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4B564742"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26C1F349"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799F096A"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653915CD"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37707634" w14:textId="77777777" w:rsidTr="00977844">
        <w:trPr>
          <w:trHeight w:val="227"/>
          <w:jc w:val="center"/>
        </w:trPr>
        <w:tc>
          <w:tcPr>
            <w:tcW w:w="960" w:type="dxa"/>
            <w:tcBorders>
              <w:top w:val="nil"/>
              <w:left w:val="single" w:sz="8" w:space="0" w:color="auto"/>
              <w:bottom w:val="single" w:sz="4" w:space="0" w:color="auto"/>
              <w:right w:val="single" w:sz="4" w:space="0" w:color="auto"/>
            </w:tcBorders>
            <w:shd w:val="clear" w:color="000000" w:fill="FFFFFF"/>
            <w:vAlign w:val="center"/>
            <w:hideMark/>
          </w:tcPr>
          <w:p w14:paraId="3D133CE7" w14:textId="608DC8C9" w:rsidR="00977844" w:rsidRDefault="008D0A18" w:rsidP="003C2438">
            <w:pPr>
              <w:keepNext/>
              <w:keepLines/>
              <w:spacing w:after="0"/>
              <w:jc w:val="center"/>
              <w:rPr>
                <w:rFonts w:cs="Arial"/>
              </w:rPr>
            </w:pPr>
            <w:r>
              <w:rPr>
                <w:rFonts w:cs="Arial"/>
              </w:rPr>
              <w:t>13</w:t>
            </w:r>
          </w:p>
        </w:tc>
        <w:tc>
          <w:tcPr>
            <w:tcW w:w="2178" w:type="dxa"/>
            <w:tcBorders>
              <w:top w:val="nil"/>
              <w:left w:val="nil"/>
              <w:bottom w:val="single" w:sz="4" w:space="0" w:color="auto"/>
              <w:right w:val="nil"/>
            </w:tcBorders>
            <w:shd w:val="clear" w:color="000000" w:fill="FFFFFF"/>
            <w:vAlign w:val="center"/>
            <w:hideMark/>
          </w:tcPr>
          <w:p w14:paraId="261451B2" w14:textId="77777777" w:rsidR="00977844" w:rsidRPr="00557F5D" w:rsidRDefault="00977844" w:rsidP="003C2438">
            <w:pPr>
              <w:keepNext/>
              <w:keepLines/>
              <w:spacing w:after="0"/>
              <w:rPr>
                <w:rFonts w:cs="Arial"/>
              </w:rPr>
            </w:pPr>
            <w:proofErr w:type="spellStart"/>
            <w:r w:rsidRPr="00557F5D">
              <w:rPr>
                <w:rFonts w:cs="Arial"/>
              </w:rPr>
              <w:t>SLPana</w:t>
            </w:r>
            <w:proofErr w:type="spellEnd"/>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748EE317" w14:textId="77777777" w:rsidR="00977844" w:rsidRPr="00557F5D" w:rsidRDefault="00977844" w:rsidP="003C2438">
            <w:pPr>
              <w:keepNext/>
              <w:keepLines/>
              <w:spacing w:after="0"/>
              <w:jc w:val="center"/>
              <w:rPr>
                <w:rFonts w:cs="Arial"/>
              </w:rPr>
            </w:pPr>
          </w:p>
        </w:tc>
        <w:tc>
          <w:tcPr>
            <w:tcW w:w="446" w:type="dxa"/>
            <w:tcBorders>
              <w:top w:val="single" w:sz="4" w:space="0" w:color="auto"/>
              <w:left w:val="nil"/>
              <w:bottom w:val="single" w:sz="4" w:space="0" w:color="auto"/>
              <w:right w:val="single" w:sz="4" w:space="0" w:color="auto"/>
            </w:tcBorders>
            <w:shd w:val="clear" w:color="000000" w:fill="FFFFFF"/>
            <w:vAlign w:val="center"/>
          </w:tcPr>
          <w:p w14:paraId="28AAE9DC" w14:textId="77777777" w:rsidR="00977844" w:rsidRDefault="00977844" w:rsidP="003C2438">
            <w:pPr>
              <w:keepNext/>
              <w:keepLines/>
              <w:spacing w:after="0"/>
              <w:jc w:val="center"/>
              <w:rPr>
                <w:rFonts w:cs="Arial"/>
              </w:rPr>
            </w:pPr>
          </w:p>
        </w:tc>
        <w:tc>
          <w:tcPr>
            <w:tcW w:w="446" w:type="dxa"/>
            <w:tcBorders>
              <w:top w:val="nil"/>
              <w:left w:val="single" w:sz="4" w:space="0" w:color="auto"/>
              <w:bottom w:val="single" w:sz="4" w:space="0" w:color="auto"/>
              <w:right w:val="single" w:sz="4" w:space="0" w:color="auto"/>
            </w:tcBorders>
            <w:shd w:val="clear" w:color="000000" w:fill="FFFFFF"/>
            <w:vAlign w:val="center"/>
            <w:hideMark/>
          </w:tcPr>
          <w:p w14:paraId="3FDA642E"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38420896"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58502E18"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17053320" w14:textId="77777777" w:rsidR="00977844" w:rsidRPr="00557F5D" w:rsidRDefault="00977844" w:rsidP="003C2438">
            <w:pPr>
              <w:keepNext/>
              <w:keepLines/>
              <w:spacing w:after="0"/>
              <w:jc w:val="center"/>
              <w:rPr>
                <w:rFonts w:cs="Arial"/>
              </w:rPr>
            </w:pPr>
          </w:p>
        </w:tc>
        <w:tc>
          <w:tcPr>
            <w:tcW w:w="446" w:type="dxa"/>
            <w:tcBorders>
              <w:top w:val="nil"/>
              <w:left w:val="nil"/>
              <w:bottom w:val="single" w:sz="4" w:space="0" w:color="auto"/>
              <w:right w:val="single" w:sz="4" w:space="0" w:color="auto"/>
            </w:tcBorders>
            <w:shd w:val="clear" w:color="000000" w:fill="FFFFFF"/>
            <w:noWrap/>
            <w:vAlign w:val="center"/>
            <w:hideMark/>
          </w:tcPr>
          <w:p w14:paraId="024C4ABD" w14:textId="77777777" w:rsidR="00977844" w:rsidRPr="00557F5D" w:rsidRDefault="00977844" w:rsidP="003C2438">
            <w:pPr>
              <w:keepNext/>
              <w:keepLines/>
              <w:spacing w:after="0"/>
              <w:jc w:val="center"/>
              <w:rPr>
                <w:rFonts w:cs="Arial"/>
              </w:rPr>
            </w:pPr>
            <w:r>
              <w:rPr>
                <w:rFonts w:cs="Arial"/>
              </w:rPr>
              <w:t>x</w:t>
            </w:r>
          </w:p>
        </w:tc>
        <w:tc>
          <w:tcPr>
            <w:tcW w:w="446" w:type="dxa"/>
            <w:tcBorders>
              <w:top w:val="nil"/>
              <w:left w:val="nil"/>
              <w:bottom w:val="single" w:sz="4" w:space="0" w:color="auto"/>
              <w:right w:val="single" w:sz="4" w:space="0" w:color="auto"/>
            </w:tcBorders>
            <w:shd w:val="clear" w:color="000000" w:fill="FFFFFF"/>
            <w:noWrap/>
            <w:vAlign w:val="center"/>
            <w:hideMark/>
          </w:tcPr>
          <w:p w14:paraId="43DBEAFC" w14:textId="77777777" w:rsidR="00977844" w:rsidRPr="00557F5D" w:rsidRDefault="00977844" w:rsidP="003C2438">
            <w:pPr>
              <w:keepNext/>
              <w:keepLines/>
              <w:spacing w:after="0"/>
              <w:jc w:val="center"/>
              <w:rPr>
                <w:rFonts w:cs="Arial"/>
              </w:rPr>
            </w:pPr>
          </w:p>
        </w:tc>
        <w:tc>
          <w:tcPr>
            <w:tcW w:w="1525" w:type="dxa"/>
            <w:tcBorders>
              <w:top w:val="nil"/>
              <w:left w:val="nil"/>
              <w:bottom w:val="single" w:sz="4" w:space="0" w:color="auto"/>
              <w:right w:val="single" w:sz="8" w:space="0" w:color="auto"/>
            </w:tcBorders>
            <w:shd w:val="clear" w:color="000000" w:fill="FFFFFF"/>
            <w:noWrap/>
            <w:vAlign w:val="center"/>
            <w:hideMark/>
          </w:tcPr>
          <w:p w14:paraId="66D29379" w14:textId="77777777" w:rsidR="00977844" w:rsidRPr="00557F5D" w:rsidRDefault="00977844" w:rsidP="003C2438">
            <w:pPr>
              <w:keepNext/>
              <w:keepLines/>
              <w:spacing w:after="0"/>
              <w:jc w:val="center"/>
              <w:rPr>
                <w:rFonts w:cs="Arial"/>
              </w:rPr>
            </w:pPr>
            <w:r w:rsidRPr="00557F5D">
              <w:rPr>
                <w:rFonts w:cs="Arial"/>
              </w:rPr>
              <w:t>ALOCAT</w:t>
            </w:r>
          </w:p>
        </w:tc>
      </w:tr>
      <w:tr w:rsidR="00977844" w:rsidRPr="00557F5D" w14:paraId="1248027D" w14:textId="77777777" w:rsidTr="00977844">
        <w:trPr>
          <w:trHeight w:val="227"/>
          <w:jc w:val="center"/>
        </w:trPr>
        <w:tc>
          <w:tcPr>
            <w:tcW w:w="960" w:type="dxa"/>
            <w:tcBorders>
              <w:top w:val="single" w:sz="4" w:space="0" w:color="auto"/>
              <w:left w:val="nil"/>
              <w:right w:val="nil"/>
            </w:tcBorders>
            <w:shd w:val="clear" w:color="000000" w:fill="FFFFFF"/>
            <w:noWrap/>
            <w:vAlign w:val="bottom"/>
            <w:hideMark/>
          </w:tcPr>
          <w:p w14:paraId="70737C48" w14:textId="77777777" w:rsidR="00977844" w:rsidRPr="00E55D70" w:rsidRDefault="00977844" w:rsidP="003C2438">
            <w:pPr>
              <w:keepNext/>
              <w:keepLines/>
              <w:spacing w:after="0"/>
              <w:rPr>
                <w:rFonts w:cs="Arial"/>
              </w:rPr>
            </w:pPr>
            <w:r w:rsidRPr="00E55D70">
              <w:rPr>
                <w:rFonts w:cs="Arial"/>
              </w:rPr>
              <w:t> </w:t>
            </w:r>
          </w:p>
        </w:tc>
        <w:tc>
          <w:tcPr>
            <w:tcW w:w="2178" w:type="dxa"/>
            <w:tcBorders>
              <w:top w:val="single" w:sz="4" w:space="0" w:color="auto"/>
              <w:left w:val="nil"/>
              <w:right w:val="nil"/>
            </w:tcBorders>
            <w:shd w:val="clear" w:color="000000" w:fill="FFFFFF"/>
            <w:noWrap/>
            <w:vAlign w:val="bottom"/>
            <w:hideMark/>
          </w:tcPr>
          <w:p w14:paraId="1973DCBB"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right w:val="nil"/>
            </w:tcBorders>
            <w:shd w:val="clear" w:color="000000" w:fill="FFFFFF"/>
            <w:noWrap/>
            <w:vAlign w:val="bottom"/>
            <w:hideMark/>
          </w:tcPr>
          <w:p w14:paraId="0CE7AE1B"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right w:val="nil"/>
            </w:tcBorders>
            <w:shd w:val="clear" w:color="000000" w:fill="FFFFFF"/>
          </w:tcPr>
          <w:p w14:paraId="2F0EEFD1" w14:textId="77777777" w:rsidR="00977844" w:rsidRPr="00E55D70" w:rsidRDefault="00977844" w:rsidP="003C2438">
            <w:pPr>
              <w:keepNext/>
              <w:keepLines/>
              <w:spacing w:after="0"/>
              <w:rPr>
                <w:rFonts w:cs="Arial"/>
              </w:rPr>
            </w:pPr>
          </w:p>
        </w:tc>
        <w:tc>
          <w:tcPr>
            <w:tcW w:w="446" w:type="dxa"/>
            <w:tcBorders>
              <w:top w:val="single" w:sz="4" w:space="0" w:color="auto"/>
              <w:left w:val="nil"/>
              <w:right w:val="nil"/>
            </w:tcBorders>
            <w:shd w:val="clear" w:color="000000" w:fill="FFFFFF"/>
            <w:noWrap/>
            <w:vAlign w:val="bottom"/>
            <w:hideMark/>
          </w:tcPr>
          <w:p w14:paraId="6B12ECA1"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right w:val="nil"/>
            </w:tcBorders>
            <w:shd w:val="clear" w:color="000000" w:fill="FFFFFF"/>
            <w:noWrap/>
            <w:vAlign w:val="bottom"/>
            <w:hideMark/>
          </w:tcPr>
          <w:p w14:paraId="500CD62C"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bottom w:val="nil"/>
              <w:right w:val="nil"/>
            </w:tcBorders>
            <w:shd w:val="clear" w:color="000000" w:fill="FFFFFF"/>
            <w:noWrap/>
            <w:vAlign w:val="bottom"/>
            <w:hideMark/>
          </w:tcPr>
          <w:p w14:paraId="17812F3A"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bottom w:val="nil"/>
              <w:right w:val="nil"/>
            </w:tcBorders>
            <w:shd w:val="clear" w:color="000000" w:fill="FFFFFF"/>
            <w:noWrap/>
            <w:vAlign w:val="bottom"/>
            <w:hideMark/>
          </w:tcPr>
          <w:p w14:paraId="51FD845C"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bottom w:val="nil"/>
              <w:right w:val="nil"/>
            </w:tcBorders>
            <w:shd w:val="clear" w:color="000000" w:fill="FFFFFF"/>
            <w:noWrap/>
            <w:vAlign w:val="bottom"/>
            <w:hideMark/>
          </w:tcPr>
          <w:p w14:paraId="6D968119" w14:textId="77777777" w:rsidR="00977844" w:rsidRPr="00E55D70" w:rsidRDefault="00977844" w:rsidP="003C2438">
            <w:pPr>
              <w:keepNext/>
              <w:keepLines/>
              <w:spacing w:after="0"/>
              <w:rPr>
                <w:rFonts w:cs="Arial"/>
              </w:rPr>
            </w:pPr>
            <w:r w:rsidRPr="00E55D70">
              <w:rPr>
                <w:rFonts w:cs="Arial"/>
              </w:rPr>
              <w:t> </w:t>
            </w:r>
          </w:p>
        </w:tc>
        <w:tc>
          <w:tcPr>
            <w:tcW w:w="446" w:type="dxa"/>
            <w:tcBorders>
              <w:top w:val="single" w:sz="4" w:space="0" w:color="auto"/>
              <w:left w:val="nil"/>
              <w:bottom w:val="nil"/>
              <w:right w:val="nil"/>
            </w:tcBorders>
            <w:shd w:val="clear" w:color="000000" w:fill="FFFFFF"/>
            <w:noWrap/>
            <w:vAlign w:val="bottom"/>
            <w:hideMark/>
          </w:tcPr>
          <w:p w14:paraId="41E38402" w14:textId="77777777" w:rsidR="00977844" w:rsidRPr="00E55D70" w:rsidRDefault="00977844" w:rsidP="003C2438">
            <w:pPr>
              <w:keepNext/>
              <w:keepLines/>
              <w:spacing w:after="0"/>
              <w:rPr>
                <w:rFonts w:cs="Arial"/>
              </w:rPr>
            </w:pPr>
            <w:r w:rsidRPr="00E55D70">
              <w:rPr>
                <w:rFonts w:cs="Arial"/>
              </w:rPr>
              <w:t> </w:t>
            </w:r>
          </w:p>
        </w:tc>
        <w:tc>
          <w:tcPr>
            <w:tcW w:w="1525" w:type="dxa"/>
            <w:tcBorders>
              <w:top w:val="single" w:sz="4" w:space="0" w:color="auto"/>
              <w:left w:val="nil"/>
              <w:bottom w:val="nil"/>
              <w:right w:val="nil"/>
            </w:tcBorders>
            <w:shd w:val="clear" w:color="000000" w:fill="FFFFFF"/>
            <w:noWrap/>
            <w:vAlign w:val="bottom"/>
            <w:hideMark/>
          </w:tcPr>
          <w:p w14:paraId="504C182B" w14:textId="77777777" w:rsidR="00977844" w:rsidRPr="00E55D70" w:rsidRDefault="00977844" w:rsidP="003C2438">
            <w:pPr>
              <w:keepNext/>
              <w:keepLines/>
              <w:spacing w:after="0"/>
              <w:rPr>
                <w:rFonts w:cs="Arial"/>
              </w:rPr>
            </w:pPr>
            <w:r w:rsidRPr="00E55D70">
              <w:rPr>
                <w:rFonts w:cs="Arial"/>
              </w:rPr>
              <w:t> </w:t>
            </w:r>
          </w:p>
        </w:tc>
      </w:tr>
      <w:tr w:rsidR="00977844" w:rsidRPr="00557F5D" w14:paraId="3841A9D9" w14:textId="77777777" w:rsidTr="00977844">
        <w:trPr>
          <w:trHeight w:val="227"/>
          <w:jc w:val="center"/>
        </w:trPr>
        <w:tc>
          <w:tcPr>
            <w:tcW w:w="960" w:type="dxa"/>
            <w:tcBorders>
              <w:top w:val="nil"/>
              <w:left w:val="nil"/>
              <w:bottom w:val="nil"/>
              <w:right w:val="nil"/>
            </w:tcBorders>
            <w:shd w:val="clear" w:color="000000" w:fill="FFFFFF"/>
            <w:vAlign w:val="bottom"/>
            <w:hideMark/>
          </w:tcPr>
          <w:p w14:paraId="6F943938" w14:textId="77777777" w:rsidR="00977844" w:rsidRDefault="00977844" w:rsidP="003C2438">
            <w:pPr>
              <w:keepNext/>
              <w:keepLines/>
              <w:spacing w:after="0"/>
              <w:jc w:val="center"/>
              <w:rPr>
                <w:rFonts w:cs="Arial"/>
              </w:rPr>
            </w:pPr>
            <w:r w:rsidRPr="00E55D70">
              <w:rPr>
                <w:rFonts w:cs="Arial"/>
              </w:rPr>
              <w:t>X</w:t>
            </w:r>
          </w:p>
        </w:tc>
        <w:tc>
          <w:tcPr>
            <w:tcW w:w="2178" w:type="dxa"/>
            <w:tcBorders>
              <w:top w:val="nil"/>
              <w:left w:val="nil"/>
              <w:bottom w:val="nil"/>
              <w:right w:val="nil"/>
            </w:tcBorders>
            <w:shd w:val="clear" w:color="000000" w:fill="FFFFFF"/>
            <w:vAlign w:val="bottom"/>
            <w:hideMark/>
          </w:tcPr>
          <w:p w14:paraId="246401F2" w14:textId="77777777" w:rsidR="00977844" w:rsidRDefault="00977844" w:rsidP="003C2438">
            <w:pPr>
              <w:keepNext/>
              <w:keepLines/>
              <w:spacing w:after="0"/>
              <w:rPr>
                <w:rFonts w:cs="Arial"/>
              </w:rPr>
            </w:pPr>
            <w:r w:rsidRPr="00E55D70">
              <w:rPr>
                <w:rFonts w:cs="Arial"/>
              </w:rPr>
              <w:t>Versand immer</w:t>
            </w:r>
          </w:p>
        </w:tc>
        <w:tc>
          <w:tcPr>
            <w:tcW w:w="446" w:type="dxa"/>
            <w:tcBorders>
              <w:top w:val="nil"/>
              <w:left w:val="nil"/>
              <w:bottom w:val="nil"/>
              <w:right w:val="nil"/>
            </w:tcBorders>
            <w:shd w:val="clear" w:color="000000" w:fill="FFFFFF"/>
            <w:noWrap/>
            <w:vAlign w:val="bottom"/>
            <w:hideMark/>
          </w:tcPr>
          <w:p w14:paraId="2BAB6A45"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tcPr>
          <w:p w14:paraId="6A18AC3C" w14:textId="77777777" w:rsidR="00977844" w:rsidRPr="00E55D70" w:rsidRDefault="00977844" w:rsidP="003C2438">
            <w:pPr>
              <w:keepNext/>
              <w:keepLines/>
              <w:spacing w:after="0"/>
              <w:rPr>
                <w:rFonts w:cs="Arial"/>
              </w:rPr>
            </w:pPr>
          </w:p>
        </w:tc>
        <w:tc>
          <w:tcPr>
            <w:tcW w:w="446" w:type="dxa"/>
            <w:tcBorders>
              <w:top w:val="nil"/>
              <w:left w:val="nil"/>
              <w:bottom w:val="nil"/>
              <w:right w:val="nil"/>
            </w:tcBorders>
            <w:shd w:val="clear" w:color="000000" w:fill="FFFFFF"/>
            <w:noWrap/>
            <w:vAlign w:val="bottom"/>
            <w:hideMark/>
          </w:tcPr>
          <w:p w14:paraId="4F946B76"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0BEB7CC4"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641E1815"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718ED643"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21EA333B"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30BC3427" w14:textId="77777777" w:rsidR="00977844" w:rsidRPr="00E55D70" w:rsidRDefault="00977844" w:rsidP="003C2438">
            <w:pPr>
              <w:keepNext/>
              <w:keepLines/>
              <w:spacing w:after="0"/>
              <w:rPr>
                <w:rFonts w:cs="Arial"/>
              </w:rPr>
            </w:pPr>
            <w:r w:rsidRPr="00E55D70">
              <w:rPr>
                <w:rFonts w:cs="Arial"/>
              </w:rPr>
              <w:t> </w:t>
            </w:r>
          </w:p>
        </w:tc>
        <w:tc>
          <w:tcPr>
            <w:tcW w:w="1525" w:type="dxa"/>
            <w:tcBorders>
              <w:top w:val="nil"/>
              <w:left w:val="nil"/>
              <w:bottom w:val="nil"/>
              <w:right w:val="nil"/>
            </w:tcBorders>
            <w:shd w:val="clear" w:color="000000" w:fill="FFFFFF"/>
            <w:noWrap/>
            <w:vAlign w:val="bottom"/>
            <w:hideMark/>
          </w:tcPr>
          <w:p w14:paraId="3F298E37" w14:textId="77777777" w:rsidR="00977844" w:rsidRPr="00E55D70" w:rsidRDefault="00977844" w:rsidP="003C2438">
            <w:pPr>
              <w:keepNext/>
              <w:keepLines/>
              <w:spacing w:after="0"/>
              <w:rPr>
                <w:rFonts w:cs="Arial"/>
              </w:rPr>
            </w:pPr>
            <w:r w:rsidRPr="00E55D70">
              <w:rPr>
                <w:rFonts w:cs="Arial"/>
              </w:rPr>
              <w:t> </w:t>
            </w:r>
          </w:p>
        </w:tc>
      </w:tr>
      <w:tr w:rsidR="00977844" w:rsidRPr="00557F5D" w14:paraId="04F6ED8A" w14:textId="77777777" w:rsidTr="00977844">
        <w:trPr>
          <w:trHeight w:val="80"/>
          <w:jc w:val="center"/>
        </w:trPr>
        <w:tc>
          <w:tcPr>
            <w:tcW w:w="960" w:type="dxa"/>
            <w:tcBorders>
              <w:top w:val="nil"/>
              <w:left w:val="nil"/>
              <w:bottom w:val="nil"/>
              <w:right w:val="nil"/>
            </w:tcBorders>
            <w:shd w:val="clear" w:color="000000" w:fill="FFFFFF"/>
            <w:hideMark/>
          </w:tcPr>
          <w:p w14:paraId="4A1DC9D1" w14:textId="77777777" w:rsidR="00977844" w:rsidRDefault="00977844" w:rsidP="00AE129C">
            <w:pPr>
              <w:keepNext/>
              <w:keepLines/>
              <w:spacing w:after="0"/>
              <w:jc w:val="center"/>
              <w:rPr>
                <w:rFonts w:cs="Arial"/>
              </w:rPr>
            </w:pPr>
            <w:r w:rsidRPr="00E55D70">
              <w:rPr>
                <w:rFonts w:cs="Arial"/>
              </w:rPr>
              <w:t>(X)</w:t>
            </w:r>
          </w:p>
        </w:tc>
        <w:tc>
          <w:tcPr>
            <w:tcW w:w="3516" w:type="dxa"/>
            <w:gridSpan w:val="4"/>
            <w:tcBorders>
              <w:top w:val="nil"/>
              <w:left w:val="nil"/>
              <w:bottom w:val="nil"/>
              <w:right w:val="nil"/>
            </w:tcBorders>
            <w:shd w:val="clear" w:color="000000" w:fill="FFFFFF"/>
          </w:tcPr>
          <w:p w14:paraId="73D4248C" w14:textId="77777777" w:rsidR="00977844" w:rsidRPr="00E55D70" w:rsidRDefault="00977844" w:rsidP="003C2438">
            <w:pPr>
              <w:keepNext/>
              <w:keepLines/>
              <w:spacing w:after="0"/>
              <w:rPr>
                <w:rFonts w:cs="Arial"/>
              </w:rPr>
            </w:pPr>
            <w:r w:rsidRPr="00E55D70">
              <w:rPr>
                <w:rFonts w:cs="Arial"/>
              </w:rPr>
              <w:t>Versand je nach Allokationsverfahren</w:t>
            </w:r>
          </w:p>
        </w:tc>
        <w:tc>
          <w:tcPr>
            <w:tcW w:w="446" w:type="dxa"/>
            <w:tcBorders>
              <w:top w:val="nil"/>
              <w:left w:val="nil"/>
              <w:bottom w:val="nil"/>
              <w:right w:val="nil"/>
            </w:tcBorders>
            <w:shd w:val="clear" w:color="000000" w:fill="FFFFFF"/>
            <w:noWrap/>
            <w:vAlign w:val="bottom"/>
            <w:hideMark/>
          </w:tcPr>
          <w:p w14:paraId="2C8B15F5"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6ED61EA9"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27631E40"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400A80A7" w14:textId="77777777" w:rsidR="00977844" w:rsidRPr="00E55D70" w:rsidRDefault="00977844" w:rsidP="003C2438">
            <w:pPr>
              <w:keepNext/>
              <w:keepLines/>
              <w:spacing w:after="0"/>
              <w:rPr>
                <w:rFonts w:cs="Arial"/>
              </w:rPr>
            </w:pPr>
            <w:r w:rsidRPr="00E55D70">
              <w:rPr>
                <w:rFonts w:cs="Arial"/>
              </w:rPr>
              <w:t> </w:t>
            </w:r>
          </w:p>
        </w:tc>
        <w:tc>
          <w:tcPr>
            <w:tcW w:w="446" w:type="dxa"/>
            <w:tcBorders>
              <w:top w:val="nil"/>
              <w:left w:val="nil"/>
              <w:bottom w:val="nil"/>
              <w:right w:val="nil"/>
            </w:tcBorders>
            <w:shd w:val="clear" w:color="000000" w:fill="FFFFFF"/>
            <w:noWrap/>
            <w:vAlign w:val="bottom"/>
            <w:hideMark/>
          </w:tcPr>
          <w:p w14:paraId="6DF65D5C" w14:textId="77777777" w:rsidR="00977844" w:rsidRPr="00E55D70" w:rsidRDefault="00977844" w:rsidP="003C2438">
            <w:pPr>
              <w:keepNext/>
              <w:keepLines/>
              <w:spacing w:after="0"/>
              <w:rPr>
                <w:rFonts w:cs="Arial"/>
              </w:rPr>
            </w:pPr>
            <w:r w:rsidRPr="00E55D70">
              <w:rPr>
                <w:rFonts w:cs="Arial"/>
              </w:rPr>
              <w:t> </w:t>
            </w:r>
          </w:p>
        </w:tc>
        <w:tc>
          <w:tcPr>
            <w:tcW w:w="1525" w:type="dxa"/>
            <w:tcBorders>
              <w:top w:val="nil"/>
              <w:left w:val="nil"/>
              <w:bottom w:val="nil"/>
              <w:right w:val="nil"/>
            </w:tcBorders>
            <w:shd w:val="clear" w:color="000000" w:fill="FFFFFF"/>
            <w:noWrap/>
            <w:vAlign w:val="bottom"/>
            <w:hideMark/>
          </w:tcPr>
          <w:p w14:paraId="1F687255" w14:textId="77777777" w:rsidR="00977844" w:rsidRPr="00E55D70" w:rsidRDefault="00977844" w:rsidP="003C2438">
            <w:pPr>
              <w:keepNext/>
              <w:keepLines/>
              <w:spacing w:after="0"/>
              <w:rPr>
                <w:rFonts w:cs="Arial"/>
              </w:rPr>
            </w:pPr>
            <w:r w:rsidRPr="00E55D70">
              <w:rPr>
                <w:rFonts w:cs="Arial"/>
              </w:rPr>
              <w:t> </w:t>
            </w:r>
          </w:p>
        </w:tc>
      </w:tr>
      <w:tr w:rsidR="00977844" w:rsidRPr="00557F5D" w14:paraId="1D883CBC" w14:textId="77777777" w:rsidTr="00977844">
        <w:trPr>
          <w:trHeight w:val="80"/>
          <w:jc w:val="center"/>
        </w:trPr>
        <w:tc>
          <w:tcPr>
            <w:tcW w:w="960" w:type="dxa"/>
            <w:tcBorders>
              <w:top w:val="nil"/>
              <w:left w:val="nil"/>
              <w:bottom w:val="nil"/>
              <w:right w:val="nil"/>
            </w:tcBorders>
            <w:shd w:val="clear" w:color="000000" w:fill="FFFFFF"/>
          </w:tcPr>
          <w:p w14:paraId="100385A0" w14:textId="77777777" w:rsidR="00977844" w:rsidRPr="00B07FDD" w:rsidRDefault="00977844" w:rsidP="00AE129C">
            <w:pPr>
              <w:keepNext/>
              <w:keepLines/>
              <w:pBdr>
                <w:top w:val="single" w:sz="4" w:space="0" w:color="auto"/>
                <w:bottom w:val="single" w:sz="4" w:space="0" w:color="auto"/>
                <w:right w:val="single" w:sz="4" w:space="0" w:color="auto"/>
              </w:pBdr>
              <w:spacing w:before="100" w:beforeAutospacing="1" w:after="0" w:afterAutospacing="1" w:line="240" w:lineRule="auto"/>
              <w:jc w:val="center"/>
              <w:rPr>
                <w:highlight w:val="green"/>
              </w:rPr>
            </w:pPr>
            <w:r w:rsidRPr="00B07FDD">
              <w:rPr>
                <w:rFonts w:cs="Arial"/>
              </w:rPr>
              <w:t>[X]</w:t>
            </w:r>
          </w:p>
        </w:tc>
        <w:tc>
          <w:tcPr>
            <w:tcW w:w="3516" w:type="dxa"/>
            <w:gridSpan w:val="4"/>
            <w:tcBorders>
              <w:top w:val="nil"/>
              <w:left w:val="nil"/>
              <w:bottom w:val="nil"/>
              <w:right w:val="nil"/>
            </w:tcBorders>
            <w:shd w:val="clear" w:color="auto" w:fill="FFFFFF" w:themeFill="background1"/>
          </w:tcPr>
          <w:p w14:paraId="722A1154" w14:textId="77777777" w:rsidR="00977844" w:rsidRPr="00D45D6E" w:rsidRDefault="00977844" w:rsidP="00191F2D">
            <w:pPr>
              <w:keepNext/>
              <w:keepLines/>
              <w:pBdr>
                <w:top w:val="single" w:sz="4" w:space="0" w:color="auto"/>
                <w:bottom w:val="single" w:sz="4" w:space="0" w:color="auto"/>
                <w:right w:val="single" w:sz="4" w:space="0" w:color="auto"/>
              </w:pBdr>
              <w:spacing w:before="100" w:beforeAutospacing="1" w:after="0" w:afterAutospacing="1" w:line="240" w:lineRule="auto"/>
              <w:rPr>
                <w:highlight w:val="green"/>
              </w:rPr>
            </w:pPr>
            <w:r w:rsidRPr="00214DFA">
              <w:rPr>
                <w:rFonts w:cs="Arial"/>
              </w:rPr>
              <w:t>Versand nicht verpflichtend für FNB</w:t>
            </w:r>
          </w:p>
        </w:tc>
        <w:tc>
          <w:tcPr>
            <w:tcW w:w="446" w:type="dxa"/>
            <w:tcBorders>
              <w:top w:val="nil"/>
              <w:left w:val="nil"/>
              <w:bottom w:val="nil"/>
              <w:right w:val="nil"/>
            </w:tcBorders>
            <w:shd w:val="clear" w:color="000000" w:fill="FFFFFF"/>
            <w:noWrap/>
            <w:vAlign w:val="bottom"/>
          </w:tcPr>
          <w:p w14:paraId="52E7CB49" w14:textId="77777777" w:rsidR="00977844" w:rsidRPr="00E55D70" w:rsidRDefault="00977844" w:rsidP="003C2438">
            <w:pPr>
              <w:keepNext/>
              <w:keepLines/>
              <w:spacing w:after="0"/>
              <w:rPr>
                <w:rFonts w:cs="Arial"/>
              </w:rPr>
            </w:pPr>
          </w:p>
        </w:tc>
        <w:tc>
          <w:tcPr>
            <w:tcW w:w="446" w:type="dxa"/>
            <w:tcBorders>
              <w:top w:val="nil"/>
              <w:left w:val="nil"/>
              <w:bottom w:val="nil"/>
              <w:right w:val="nil"/>
            </w:tcBorders>
            <w:shd w:val="clear" w:color="000000" w:fill="FFFFFF"/>
            <w:noWrap/>
            <w:vAlign w:val="bottom"/>
          </w:tcPr>
          <w:p w14:paraId="216E8E75" w14:textId="77777777" w:rsidR="00977844" w:rsidRPr="00E55D70" w:rsidRDefault="00977844" w:rsidP="003C2438">
            <w:pPr>
              <w:keepNext/>
              <w:keepLines/>
              <w:spacing w:after="0"/>
              <w:rPr>
                <w:rFonts w:cs="Arial"/>
              </w:rPr>
            </w:pPr>
          </w:p>
        </w:tc>
        <w:tc>
          <w:tcPr>
            <w:tcW w:w="446" w:type="dxa"/>
            <w:tcBorders>
              <w:top w:val="nil"/>
              <w:left w:val="nil"/>
              <w:bottom w:val="nil"/>
              <w:right w:val="nil"/>
            </w:tcBorders>
            <w:shd w:val="clear" w:color="000000" w:fill="FFFFFF"/>
            <w:noWrap/>
            <w:vAlign w:val="bottom"/>
          </w:tcPr>
          <w:p w14:paraId="295BD74D" w14:textId="77777777" w:rsidR="00977844" w:rsidRPr="00E55D70" w:rsidRDefault="00977844" w:rsidP="003C2438">
            <w:pPr>
              <w:keepNext/>
              <w:keepLines/>
              <w:spacing w:after="0"/>
              <w:rPr>
                <w:rFonts w:cs="Arial"/>
              </w:rPr>
            </w:pPr>
          </w:p>
        </w:tc>
        <w:tc>
          <w:tcPr>
            <w:tcW w:w="446" w:type="dxa"/>
            <w:tcBorders>
              <w:top w:val="nil"/>
              <w:left w:val="nil"/>
              <w:bottom w:val="nil"/>
              <w:right w:val="nil"/>
            </w:tcBorders>
            <w:shd w:val="clear" w:color="000000" w:fill="FFFFFF"/>
            <w:noWrap/>
            <w:vAlign w:val="bottom"/>
          </w:tcPr>
          <w:p w14:paraId="3FBF182F" w14:textId="77777777" w:rsidR="00977844" w:rsidRPr="00E55D70" w:rsidRDefault="00977844" w:rsidP="003C2438">
            <w:pPr>
              <w:keepNext/>
              <w:keepLines/>
              <w:spacing w:after="0"/>
              <w:rPr>
                <w:rFonts w:cs="Arial"/>
              </w:rPr>
            </w:pPr>
          </w:p>
        </w:tc>
        <w:tc>
          <w:tcPr>
            <w:tcW w:w="446" w:type="dxa"/>
            <w:tcBorders>
              <w:top w:val="nil"/>
              <w:left w:val="nil"/>
              <w:bottom w:val="nil"/>
              <w:right w:val="nil"/>
            </w:tcBorders>
            <w:shd w:val="clear" w:color="000000" w:fill="FFFFFF"/>
            <w:noWrap/>
            <w:vAlign w:val="bottom"/>
          </w:tcPr>
          <w:p w14:paraId="210FABE7" w14:textId="77777777" w:rsidR="00977844" w:rsidRPr="00E55D70" w:rsidRDefault="00977844" w:rsidP="003C2438">
            <w:pPr>
              <w:keepNext/>
              <w:keepLines/>
              <w:spacing w:after="0"/>
              <w:rPr>
                <w:rFonts w:cs="Arial"/>
              </w:rPr>
            </w:pPr>
          </w:p>
        </w:tc>
        <w:tc>
          <w:tcPr>
            <w:tcW w:w="1525" w:type="dxa"/>
            <w:tcBorders>
              <w:top w:val="nil"/>
              <w:left w:val="nil"/>
              <w:bottom w:val="nil"/>
              <w:right w:val="nil"/>
            </w:tcBorders>
            <w:shd w:val="clear" w:color="000000" w:fill="FFFFFF"/>
            <w:noWrap/>
            <w:vAlign w:val="bottom"/>
          </w:tcPr>
          <w:p w14:paraId="714274D0" w14:textId="77777777" w:rsidR="00977844" w:rsidRPr="00E55D70" w:rsidRDefault="00977844" w:rsidP="003C2438">
            <w:pPr>
              <w:keepNext/>
              <w:keepLines/>
              <w:spacing w:after="0"/>
              <w:rPr>
                <w:rFonts w:cs="Arial"/>
              </w:rPr>
            </w:pPr>
          </w:p>
        </w:tc>
      </w:tr>
    </w:tbl>
    <w:p w14:paraId="0E8EC4CD" w14:textId="6EED6340" w:rsidR="00F01AE1" w:rsidRDefault="00E55D70" w:rsidP="003C2438">
      <w:pPr>
        <w:pStyle w:val="Abbildung"/>
        <w:rPr>
          <w:b/>
        </w:rPr>
      </w:pPr>
      <w:bookmarkStart w:id="263" w:name="_MON_1366464994"/>
      <w:bookmarkStart w:id="264" w:name="_MON_1366465043"/>
      <w:bookmarkStart w:id="265" w:name="_MON_1366465120"/>
      <w:bookmarkStart w:id="266" w:name="_MON_1366465349"/>
      <w:bookmarkStart w:id="267" w:name="_MON_1366465380"/>
      <w:bookmarkStart w:id="268" w:name="_MON_1366465417"/>
      <w:bookmarkStart w:id="269" w:name="_MON_1366465429"/>
      <w:bookmarkStart w:id="270" w:name="_MON_1366465450"/>
      <w:bookmarkStart w:id="271" w:name="_MON_1366465501"/>
      <w:bookmarkStart w:id="272" w:name="_MON_1366465639"/>
      <w:bookmarkStart w:id="273" w:name="_MON_1366465747"/>
      <w:bookmarkStart w:id="274" w:name="_MON_1366465950"/>
      <w:bookmarkStart w:id="275" w:name="_MON_1366466542"/>
      <w:bookmarkStart w:id="276" w:name="_MON_1366466803"/>
      <w:bookmarkStart w:id="277" w:name="_MON_1366466922"/>
      <w:bookmarkStart w:id="278" w:name="_MON_1366467012"/>
      <w:bookmarkStart w:id="279" w:name="_MON_1366467082"/>
      <w:bookmarkStart w:id="280" w:name="_MON_1366467086"/>
      <w:bookmarkStart w:id="281" w:name="_MON_1366467142"/>
      <w:bookmarkStart w:id="282" w:name="_MON_1366467831"/>
      <w:bookmarkStart w:id="283" w:name="_MON_1366468885"/>
      <w:bookmarkStart w:id="284" w:name="_MON_1366472654"/>
      <w:bookmarkStart w:id="285" w:name="_MON_1366472704"/>
      <w:bookmarkStart w:id="286" w:name="_MON_1366531708"/>
      <w:bookmarkStart w:id="287" w:name="_MON_1366542568"/>
      <w:bookmarkStart w:id="288" w:name="_MON_1366553107"/>
      <w:bookmarkStart w:id="289" w:name="_MON_1366553216"/>
      <w:bookmarkStart w:id="290" w:name="_MON_1366553250"/>
      <w:bookmarkStart w:id="291" w:name="_MON_1366554975"/>
      <w:bookmarkStart w:id="292" w:name="_MON_1366653520"/>
      <w:bookmarkStart w:id="293" w:name="_MON_1370935890"/>
      <w:bookmarkStart w:id="294" w:name="_Ref320639637"/>
      <w:bookmarkStart w:id="295" w:name="_Toc318721896"/>
      <w:bookmarkStart w:id="296" w:name="_Toc357091930"/>
      <w:bookmarkStart w:id="297" w:name="_Toc390346562"/>
      <w:bookmarkStart w:id="298" w:name="_Toc412562632"/>
      <w:bookmarkStart w:id="299" w:name="_Toc437530318"/>
      <w:bookmarkStart w:id="300" w:name="_Toc111118592"/>
      <w:bookmarkStart w:id="301" w:name="_Toc11119613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b/>
        </w:rPr>
        <w:t>A</w:t>
      </w:r>
      <w:r w:rsidR="00DF612D" w:rsidRPr="00996036">
        <w:rPr>
          <w:b/>
        </w:rPr>
        <w:t xml:space="preserve">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641872">
        <w:rPr>
          <w:b/>
        </w:rPr>
        <w:t>9</w:t>
      </w:r>
      <w:r w:rsidR="00561FFA" w:rsidRPr="00996036">
        <w:rPr>
          <w:b/>
        </w:rPr>
        <w:fldChar w:fldCharType="end"/>
      </w:r>
      <w:r w:rsidR="00DF612D" w:rsidRPr="00996036">
        <w:rPr>
          <w:b/>
        </w:rPr>
        <w:t>:</w:t>
      </w:r>
      <w:bookmarkEnd w:id="294"/>
      <w:r w:rsidR="00DF612D" w:rsidRPr="00996036">
        <w:rPr>
          <w:b/>
        </w:rPr>
        <w:t xml:space="preserve"> Übersicht Zeitreihenversand NB an MGV</w:t>
      </w:r>
      <w:bookmarkEnd w:id="295"/>
      <w:bookmarkEnd w:id="296"/>
      <w:bookmarkEnd w:id="297"/>
      <w:bookmarkEnd w:id="298"/>
      <w:bookmarkEnd w:id="299"/>
      <w:bookmarkEnd w:id="300"/>
      <w:bookmarkEnd w:id="301"/>
    </w:p>
    <w:p w14:paraId="1620B169" w14:textId="77777777" w:rsidR="003D596E" w:rsidRDefault="003D596E" w:rsidP="003C2438">
      <w:r>
        <w:br w:type="page"/>
      </w:r>
    </w:p>
    <w:p w14:paraId="7F42C0D0" w14:textId="77777777" w:rsidR="003D596E" w:rsidRDefault="003D596E" w:rsidP="003C2438"/>
    <w:tbl>
      <w:tblPr>
        <w:tblW w:w="8698" w:type="dxa"/>
        <w:jc w:val="center"/>
        <w:tblCellMar>
          <w:left w:w="70" w:type="dxa"/>
          <w:right w:w="70" w:type="dxa"/>
        </w:tblCellMar>
        <w:tblLook w:val="00A0" w:firstRow="1" w:lastRow="0" w:firstColumn="1" w:lastColumn="0" w:noHBand="0" w:noVBand="0"/>
      </w:tblPr>
      <w:tblGrid>
        <w:gridCol w:w="448"/>
        <w:gridCol w:w="5356"/>
        <w:gridCol w:w="446"/>
        <w:gridCol w:w="446"/>
        <w:gridCol w:w="454"/>
        <w:gridCol w:w="446"/>
        <w:gridCol w:w="1179"/>
      </w:tblGrid>
      <w:tr w:rsidR="00BA2FBD" w:rsidRPr="00557F5D" w14:paraId="20B85B1D" w14:textId="77777777" w:rsidTr="00A137EC">
        <w:trPr>
          <w:trHeight w:val="333"/>
          <w:jc w:val="center"/>
        </w:trPr>
        <w:tc>
          <w:tcPr>
            <w:tcW w:w="448"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center"/>
            <w:hideMark/>
          </w:tcPr>
          <w:p w14:paraId="3EEBEA31" w14:textId="77777777" w:rsidR="00E157A6" w:rsidRDefault="00BA2FBD" w:rsidP="003C2438">
            <w:pPr>
              <w:spacing w:after="0"/>
              <w:jc w:val="center"/>
              <w:rPr>
                <w:rFonts w:cs="Arial"/>
                <w:b/>
                <w:bCs/>
                <w:kern w:val="32"/>
                <w:sz w:val="28"/>
              </w:rPr>
            </w:pPr>
            <w:r w:rsidRPr="00557F5D">
              <w:rPr>
                <w:rFonts w:cs="Arial"/>
              </w:rPr>
              <w:t>Nr.</w:t>
            </w:r>
          </w:p>
        </w:tc>
        <w:tc>
          <w:tcPr>
            <w:tcW w:w="5356"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center"/>
            <w:hideMark/>
          </w:tcPr>
          <w:p w14:paraId="7B8432BD" w14:textId="77777777" w:rsidR="00E157A6" w:rsidRDefault="00BA2FBD" w:rsidP="003C2438">
            <w:pPr>
              <w:spacing w:after="0"/>
              <w:jc w:val="center"/>
              <w:rPr>
                <w:rFonts w:cs="Arial"/>
              </w:rPr>
            </w:pPr>
            <w:r w:rsidRPr="00557F5D">
              <w:rPr>
                <w:rFonts w:cs="Arial"/>
              </w:rPr>
              <w:t>Abkürzung</w:t>
            </w:r>
          </w:p>
        </w:tc>
        <w:tc>
          <w:tcPr>
            <w:tcW w:w="1715" w:type="dxa"/>
            <w:gridSpan w:val="4"/>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199B6DCE" w14:textId="77777777" w:rsidR="00E157A6" w:rsidRDefault="00BA2FBD" w:rsidP="003C2438">
            <w:pPr>
              <w:spacing w:after="0"/>
              <w:jc w:val="center"/>
              <w:rPr>
                <w:rFonts w:cs="Arial"/>
              </w:rPr>
            </w:pPr>
            <w:r w:rsidRPr="00557F5D">
              <w:rPr>
                <w:rFonts w:cs="Arial"/>
              </w:rPr>
              <w:t>Versand</w:t>
            </w:r>
            <w:r>
              <w:rPr>
                <w:rFonts w:cs="Arial"/>
              </w:rPr>
              <w:t xml:space="preserve"> am</w:t>
            </w:r>
          </w:p>
        </w:tc>
        <w:tc>
          <w:tcPr>
            <w:tcW w:w="1179" w:type="dxa"/>
            <w:vMerge w:val="restart"/>
            <w:tcBorders>
              <w:top w:val="single" w:sz="8" w:space="0" w:color="auto"/>
              <w:left w:val="single" w:sz="4" w:space="0" w:color="auto"/>
              <w:right w:val="single" w:sz="8" w:space="0" w:color="auto"/>
            </w:tcBorders>
            <w:shd w:val="clear" w:color="000000" w:fill="FFFFFF"/>
            <w:noWrap/>
            <w:textDirection w:val="btLr"/>
            <w:vAlign w:val="center"/>
            <w:hideMark/>
          </w:tcPr>
          <w:p w14:paraId="7AD03619" w14:textId="77777777" w:rsidR="00E157A6" w:rsidRDefault="00BA2FBD" w:rsidP="003C2438">
            <w:pPr>
              <w:spacing w:after="0"/>
              <w:jc w:val="center"/>
              <w:rPr>
                <w:rFonts w:cs="Arial"/>
              </w:rPr>
            </w:pPr>
            <w:r w:rsidRPr="00557F5D">
              <w:rPr>
                <w:rFonts w:cs="Arial"/>
              </w:rPr>
              <w:t>Formattyp</w:t>
            </w:r>
          </w:p>
        </w:tc>
      </w:tr>
      <w:tr w:rsidR="00BA2FBD" w:rsidRPr="00557F5D" w14:paraId="17F3C316" w14:textId="77777777" w:rsidTr="008D3BA2">
        <w:trPr>
          <w:trHeight w:val="1404"/>
          <w:jc w:val="center"/>
        </w:trPr>
        <w:tc>
          <w:tcPr>
            <w:tcW w:w="448" w:type="dxa"/>
            <w:vMerge/>
            <w:tcBorders>
              <w:top w:val="single" w:sz="8" w:space="0" w:color="auto"/>
              <w:left w:val="single" w:sz="8" w:space="0" w:color="auto"/>
              <w:bottom w:val="single" w:sz="4" w:space="0" w:color="000000"/>
              <w:right w:val="single" w:sz="4" w:space="0" w:color="auto"/>
            </w:tcBorders>
            <w:vAlign w:val="center"/>
            <w:hideMark/>
          </w:tcPr>
          <w:p w14:paraId="5B8C2F17" w14:textId="77777777" w:rsidR="00BA2FBD" w:rsidRPr="00557F5D" w:rsidRDefault="00BA2FBD" w:rsidP="003C2438">
            <w:pPr>
              <w:spacing w:after="0"/>
              <w:rPr>
                <w:rFonts w:cs="Arial"/>
              </w:rPr>
            </w:pPr>
          </w:p>
        </w:tc>
        <w:tc>
          <w:tcPr>
            <w:tcW w:w="5356" w:type="dxa"/>
            <w:vMerge/>
            <w:tcBorders>
              <w:top w:val="single" w:sz="8" w:space="0" w:color="auto"/>
              <w:left w:val="single" w:sz="4" w:space="0" w:color="auto"/>
              <w:bottom w:val="single" w:sz="4" w:space="0" w:color="000000"/>
              <w:right w:val="single" w:sz="4" w:space="0" w:color="auto"/>
            </w:tcBorders>
            <w:vAlign w:val="center"/>
            <w:hideMark/>
          </w:tcPr>
          <w:p w14:paraId="2BF7711B" w14:textId="77777777" w:rsidR="00BA2FBD" w:rsidRPr="00557F5D" w:rsidRDefault="00BA2FBD" w:rsidP="003C2438">
            <w:pPr>
              <w:spacing w:after="0"/>
              <w:rPr>
                <w:rFonts w:cs="Arial"/>
              </w:rPr>
            </w:pPr>
          </w:p>
        </w:tc>
        <w:tc>
          <w:tcPr>
            <w:tcW w:w="420" w:type="dxa"/>
            <w:tcBorders>
              <w:top w:val="nil"/>
              <w:left w:val="nil"/>
              <w:bottom w:val="single" w:sz="4" w:space="0" w:color="auto"/>
              <w:right w:val="single" w:sz="4" w:space="0" w:color="auto"/>
            </w:tcBorders>
            <w:shd w:val="clear" w:color="000000" w:fill="FFFFFF"/>
            <w:textDirection w:val="btLr"/>
            <w:vAlign w:val="bottom"/>
            <w:hideMark/>
          </w:tcPr>
          <w:p w14:paraId="4EBAD3ED" w14:textId="77777777" w:rsidR="00BA2FBD" w:rsidRPr="00557F5D" w:rsidRDefault="00BA2FBD" w:rsidP="003C2438">
            <w:pPr>
              <w:spacing w:after="0"/>
              <w:rPr>
                <w:rFonts w:cs="Arial"/>
              </w:rPr>
            </w:pPr>
            <w:r w:rsidRPr="00557F5D">
              <w:rPr>
                <w:rFonts w:cs="Arial"/>
              </w:rPr>
              <w:t>D-1 KT</w:t>
            </w:r>
          </w:p>
        </w:tc>
        <w:tc>
          <w:tcPr>
            <w:tcW w:w="420" w:type="dxa"/>
            <w:tcBorders>
              <w:top w:val="nil"/>
              <w:left w:val="nil"/>
              <w:bottom w:val="single" w:sz="4" w:space="0" w:color="auto"/>
              <w:right w:val="single" w:sz="4" w:space="0" w:color="auto"/>
            </w:tcBorders>
            <w:shd w:val="clear" w:color="000000" w:fill="FFFFFF"/>
            <w:textDirection w:val="btLr"/>
            <w:vAlign w:val="bottom"/>
            <w:hideMark/>
          </w:tcPr>
          <w:p w14:paraId="706110FF" w14:textId="77777777" w:rsidR="00BA2FBD" w:rsidRPr="00557F5D" w:rsidRDefault="00BA2FBD" w:rsidP="003C2438">
            <w:pPr>
              <w:spacing w:after="0"/>
              <w:rPr>
                <w:rFonts w:cs="Arial"/>
              </w:rPr>
            </w:pPr>
            <w:r w:rsidRPr="00557F5D">
              <w:rPr>
                <w:rFonts w:cs="Arial"/>
              </w:rPr>
              <w:t>D+1 KT</w:t>
            </w:r>
          </w:p>
        </w:tc>
        <w:tc>
          <w:tcPr>
            <w:tcW w:w="454"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56D60809" w14:textId="56B7C367" w:rsidR="00BA2FBD" w:rsidRPr="00557F5D" w:rsidRDefault="00BA2FBD" w:rsidP="003C2438">
            <w:pPr>
              <w:spacing w:after="0"/>
              <w:rPr>
                <w:rFonts w:cs="Arial"/>
              </w:rPr>
            </w:pPr>
            <w:r w:rsidRPr="00557F5D">
              <w:rPr>
                <w:rFonts w:cs="Arial"/>
              </w:rPr>
              <w:t>M+2M-</w:t>
            </w:r>
            <w:r w:rsidR="00E24D5F">
              <w:rPr>
                <w:rFonts w:cs="Arial"/>
              </w:rPr>
              <w:t>8</w:t>
            </w:r>
            <w:r w:rsidRPr="00557F5D">
              <w:rPr>
                <w:rFonts w:cs="Arial"/>
              </w:rPr>
              <w:t>WT</w:t>
            </w:r>
          </w:p>
        </w:tc>
        <w:tc>
          <w:tcPr>
            <w:tcW w:w="421" w:type="dxa"/>
            <w:tcBorders>
              <w:top w:val="single" w:sz="8" w:space="0" w:color="auto"/>
              <w:left w:val="single" w:sz="4" w:space="0" w:color="auto"/>
              <w:bottom w:val="single" w:sz="4" w:space="0" w:color="000000"/>
              <w:right w:val="single" w:sz="4" w:space="0" w:color="auto"/>
            </w:tcBorders>
            <w:textDirection w:val="btLr"/>
            <w:vAlign w:val="bottom"/>
          </w:tcPr>
          <w:p w14:paraId="6BFF35C8" w14:textId="77777777" w:rsidR="00BA2FBD" w:rsidRPr="00557F5D" w:rsidRDefault="00BA2FBD" w:rsidP="003C2438">
            <w:pPr>
              <w:spacing w:after="0"/>
              <w:rPr>
                <w:rFonts w:cs="Arial"/>
              </w:rPr>
            </w:pPr>
            <w:r w:rsidRPr="00557F5D">
              <w:rPr>
                <w:rFonts w:cs="Arial"/>
              </w:rPr>
              <w:t>M+2M</w:t>
            </w:r>
            <w:r>
              <w:rPr>
                <w:rFonts w:cs="Arial"/>
              </w:rPr>
              <w:t>+15</w:t>
            </w:r>
            <w:r w:rsidRPr="00557F5D">
              <w:rPr>
                <w:rFonts w:cs="Arial"/>
              </w:rPr>
              <w:t>WT</w:t>
            </w:r>
          </w:p>
        </w:tc>
        <w:tc>
          <w:tcPr>
            <w:tcW w:w="1179" w:type="dxa"/>
            <w:vMerge/>
            <w:tcBorders>
              <w:left w:val="single" w:sz="4" w:space="0" w:color="auto"/>
              <w:bottom w:val="single" w:sz="4" w:space="0" w:color="000000"/>
              <w:right w:val="single" w:sz="8" w:space="0" w:color="auto"/>
            </w:tcBorders>
            <w:vAlign w:val="center"/>
            <w:hideMark/>
          </w:tcPr>
          <w:p w14:paraId="38BF24CE" w14:textId="77777777" w:rsidR="00BA2FBD" w:rsidRPr="00557F5D" w:rsidRDefault="00BA2FBD" w:rsidP="003C2438">
            <w:pPr>
              <w:spacing w:after="0"/>
              <w:rPr>
                <w:rFonts w:cs="Arial"/>
              </w:rPr>
            </w:pPr>
          </w:p>
        </w:tc>
      </w:tr>
      <w:tr w:rsidR="00BA2FBD" w:rsidRPr="00557F5D" w14:paraId="6828D202" w14:textId="77777777" w:rsidTr="00C16393">
        <w:trPr>
          <w:trHeight w:val="241"/>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14:paraId="7D8FEB12" w14:textId="77777777" w:rsidR="00BA2FBD" w:rsidRPr="00557F5D" w:rsidRDefault="00A137EC" w:rsidP="003C2438">
            <w:pPr>
              <w:spacing w:after="0"/>
              <w:rPr>
                <w:rFonts w:cs="Arial"/>
              </w:rPr>
            </w:pPr>
            <w:r>
              <w:rPr>
                <w:rFonts w:cs="Arial"/>
              </w:rPr>
              <w:t>11</w:t>
            </w:r>
          </w:p>
        </w:tc>
        <w:tc>
          <w:tcPr>
            <w:tcW w:w="5356" w:type="dxa"/>
            <w:tcBorders>
              <w:top w:val="nil"/>
              <w:left w:val="nil"/>
              <w:bottom w:val="single" w:sz="4" w:space="0" w:color="auto"/>
              <w:right w:val="nil"/>
            </w:tcBorders>
            <w:shd w:val="clear" w:color="000000" w:fill="FFFFFF"/>
            <w:vAlign w:val="center"/>
            <w:hideMark/>
          </w:tcPr>
          <w:p w14:paraId="153A07B4" w14:textId="77777777" w:rsidR="00BA2FBD" w:rsidRPr="00557F5D" w:rsidRDefault="00BA2FBD" w:rsidP="003C2438">
            <w:pPr>
              <w:spacing w:after="0"/>
              <w:rPr>
                <w:rFonts w:cs="Arial"/>
              </w:rPr>
            </w:pPr>
            <w:proofErr w:type="spellStart"/>
            <w:r w:rsidRPr="00557F5D">
              <w:rPr>
                <w:rFonts w:cs="Arial"/>
              </w:rPr>
              <w:t>SLPsyn</w:t>
            </w:r>
            <w:proofErr w:type="spellEnd"/>
          </w:p>
        </w:tc>
        <w:tc>
          <w:tcPr>
            <w:tcW w:w="420" w:type="dxa"/>
            <w:tcBorders>
              <w:top w:val="nil"/>
              <w:left w:val="single" w:sz="4" w:space="0" w:color="auto"/>
              <w:bottom w:val="single" w:sz="4" w:space="0" w:color="auto"/>
              <w:right w:val="single" w:sz="4" w:space="0" w:color="auto"/>
            </w:tcBorders>
            <w:shd w:val="clear" w:color="000000" w:fill="FFFFFF"/>
            <w:vAlign w:val="center"/>
            <w:hideMark/>
          </w:tcPr>
          <w:p w14:paraId="6E464919" w14:textId="77777777" w:rsidR="00E157A6" w:rsidRDefault="00BA2FBD" w:rsidP="003C2438">
            <w:pPr>
              <w:spacing w:after="0"/>
              <w:jc w:val="center"/>
              <w:rPr>
                <w:rFonts w:cs="Arial"/>
              </w:rPr>
            </w:pPr>
            <w:r w:rsidRPr="00557F5D">
              <w:rPr>
                <w:rFonts w:cs="Arial"/>
              </w:rPr>
              <w:t>E</w:t>
            </w:r>
          </w:p>
        </w:tc>
        <w:tc>
          <w:tcPr>
            <w:tcW w:w="420" w:type="dxa"/>
            <w:tcBorders>
              <w:top w:val="nil"/>
              <w:left w:val="nil"/>
              <w:bottom w:val="single" w:sz="4" w:space="0" w:color="auto"/>
              <w:right w:val="single" w:sz="4" w:space="0" w:color="auto"/>
            </w:tcBorders>
            <w:shd w:val="clear" w:color="000000" w:fill="FFFFFF"/>
            <w:noWrap/>
            <w:vAlign w:val="center"/>
            <w:hideMark/>
          </w:tcPr>
          <w:p w14:paraId="196F3394" w14:textId="77777777" w:rsidR="00E157A6" w:rsidRDefault="00E157A6" w:rsidP="003C2438">
            <w:pPr>
              <w:spacing w:after="0"/>
              <w:jc w:val="center"/>
              <w:rPr>
                <w:rFonts w:cs="Arial"/>
              </w:rPr>
            </w:pPr>
          </w:p>
        </w:tc>
        <w:tc>
          <w:tcPr>
            <w:tcW w:w="454" w:type="dxa"/>
            <w:tcBorders>
              <w:top w:val="nil"/>
              <w:left w:val="nil"/>
              <w:bottom w:val="single" w:sz="4" w:space="0" w:color="auto"/>
              <w:right w:val="single" w:sz="4" w:space="0" w:color="auto"/>
            </w:tcBorders>
            <w:shd w:val="clear" w:color="000000" w:fill="FFFFFF"/>
            <w:noWrap/>
            <w:vAlign w:val="center"/>
            <w:hideMark/>
          </w:tcPr>
          <w:p w14:paraId="5A1A7308" w14:textId="77777777" w:rsidR="00E157A6" w:rsidRDefault="00E157A6" w:rsidP="003C2438">
            <w:pPr>
              <w:spacing w:after="0"/>
              <w:jc w:val="center"/>
              <w:rPr>
                <w:rFonts w:cs="Arial"/>
              </w:rPr>
            </w:pPr>
          </w:p>
        </w:tc>
        <w:tc>
          <w:tcPr>
            <w:tcW w:w="421" w:type="dxa"/>
            <w:tcBorders>
              <w:top w:val="single" w:sz="4" w:space="0" w:color="000000"/>
              <w:left w:val="nil"/>
              <w:bottom w:val="single" w:sz="4" w:space="0" w:color="auto"/>
              <w:right w:val="single" w:sz="4" w:space="0" w:color="auto"/>
            </w:tcBorders>
            <w:shd w:val="clear" w:color="000000" w:fill="FFFFFF"/>
            <w:vAlign w:val="center"/>
          </w:tcPr>
          <w:p w14:paraId="43BBD193" w14:textId="77777777" w:rsidR="00E157A6" w:rsidRDefault="00E157A6" w:rsidP="003C2438">
            <w:pPr>
              <w:spacing w:after="0"/>
              <w:jc w:val="center"/>
              <w:rPr>
                <w:rFonts w:cs="Arial"/>
              </w:rPr>
            </w:pPr>
          </w:p>
        </w:tc>
        <w:tc>
          <w:tcPr>
            <w:tcW w:w="1179" w:type="dxa"/>
            <w:tcBorders>
              <w:top w:val="nil"/>
              <w:left w:val="single" w:sz="4" w:space="0" w:color="auto"/>
              <w:bottom w:val="single" w:sz="4" w:space="0" w:color="auto"/>
              <w:right w:val="single" w:sz="8" w:space="0" w:color="auto"/>
            </w:tcBorders>
            <w:shd w:val="clear" w:color="000000" w:fill="FFFFFF"/>
            <w:noWrap/>
            <w:vAlign w:val="center"/>
            <w:hideMark/>
          </w:tcPr>
          <w:p w14:paraId="1763BBD0" w14:textId="77777777" w:rsidR="00E157A6" w:rsidRDefault="00BA2FBD" w:rsidP="003C2438">
            <w:pPr>
              <w:spacing w:after="0"/>
              <w:jc w:val="center"/>
              <w:rPr>
                <w:rFonts w:cs="Arial"/>
              </w:rPr>
            </w:pPr>
            <w:r w:rsidRPr="00557F5D">
              <w:rPr>
                <w:rFonts w:cs="Arial"/>
              </w:rPr>
              <w:t>ALOCAT</w:t>
            </w:r>
          </w:p>
        </w:tc>
      </w:tr>
      <w:tr w:rsidR="00BA2FBD" w:rsidRPr="00557F5D" w14:paraId="43A4C231" w14:textId="77777777" w:rsidTr="00C16393">
        <w:trPr>
          <w:trHeight w:val="241"/>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14:paraId="010D8074" w14:textId="77777777" w:rsidR="00BA2FBD" w:rsidRPr="00557F5D" w:rsidRDefault="00A137EC" w:rsidP="003C2438">
            <w:pPr>
              <w:spacing w:after="0"/>
              <w:rPr>
                <w:rFonts w:cs="Arial"/>
              </w:rPr>
            </w:pPr>
            <w:r>
              <w:rPr>
                <w:rFonts w:cs="Arial"/>
              </w:rPr>
              <w:t>12</w:t>
            </w:r>
          </w:p>
        </w:tc>
        <w:tc>
          <w:tcPr>
            <w:tcW w:w="5356" w:type="dxa"/>
            <w:tcBorders>
              <w:top w:val="nil"/>
              <w:left w:val="nil"/>
              <w:bottom w:val="single" w:sz="4" w:space="0" w:color="auto"/>
              <w:right w:val="nil"/>
            </w:tcBorders>
            <w:shd w:val="clear" w:color="000000" w:fill="FFFFFF"/>
            <w:vAlign w:val="center"/>
            <w:hideMark/>
          </w:tcPr>
          <w:p w14:paraId="7E05A0ED" w14:textId="77777777" w:rsidR="00BA2FBD" w:rsidRPr="00557F5D" w:rsidRDefault="00BA2FBD" w:rsidP="003C2438">
            <w:pPr>
              <w:spacing w:after="0"/>
              <w:rPr>
                <w:rFonts w:cs="Arial"/>
              </w:rPr>
            </w:pPr>
            <w:proofErr w:type="spellStart"/>
            <w:r w:rsidRPr="00557F5D">
              <w:rPr>
                <w:rFonts w:cs="Arial"/>
              </w:rPr>
              <w:t>SLPana</w:t>
            </w:r>
            <w:proofErr w:type="spellEnd"/>
          </w:p>
        </w:tc>
        <w:tc>
          <w:tcPr>
            <w:tcW w:w="420" w:type="dxa"/>
            <w:tcBorders>
              <w:top w:val="nil"/>
              <w:left w:val="single" w:sz="4" w:space="0" w:color="auto"/>
              <w:bottom w:val="single" w:sz="4" w:space="0" w:color="auto"/>
              <w:right w:val="single" w:sz="4" w:space="0" w:color="auto"/>
            </w:tcBorders>
            <w:shd w:val="clear" w:color="000000" w:fill="FFFFFF"/>
            <w:vAlign w:val="center"/>
            <w:hideMark/>
          </w:tcPr>
          <w:p w14:paraId="38FBAC8B" w14:textId="77777777" w:rsidR="00E157A6" w:rsidRDefault="00BA2FBD" w:rsidP="003C2438">
            <w:pPr>
              <w:spacing w:after="0"/>
              <w:jc w:val="center"/>
              <w:rPr>
                <w:rFonts w:cs="Arial"/>
              </w:rPr>
            </w:pPr>
            <w:r w:rsidRPr="00557F5D">
              <w:rPr>
                <w:rFonts w:cs="Arial"/>
              </w:rPr>
              <w:t>E</w:t>
            </w:r>
          </w:p>
        </w:tc>
        <w:tc>
          <w:tcPr>
            <w:tcW w:w="420" w:type="dxa"/>
            <w:tcBorders>
              <w:top w:val="nil"/>
              <w:left w:val="nil"/>
              <w:bottom w:val="single" w:sz="4" w:space="0" w:color="auto"/>
              <w:right w:val="single" w:sz="4" w:space="0" w:color="auto"/>
            </w:tcBorders>
            <w:shd w:val="clear" w:color="000000" w:fill="FFFFFF"/>
            <w:noWrap/>
            <w:vAlign w:val="center"/>
            <w:hideMark/>
          </w:tcPr>
          <w:p w14:paraId="2A172D09" w14:textId="77777777" w:rsidR="00E157A6" w:rsidRDefault="00E157A6" w:rsidP="003C2438">
            <w:pPr>
              <w:spacing w:after="0"/>
              <w:jc w:val="center"/>
              <w:rPr>
                <w:rFonts w:cs="Arial"/>
              </w:rPr>
            </w:pPr>
          </w:p>
        </w:tc>
        <w:tc>
          <w:tcPr>
            <w:tcW w:w="454" w:type="dxa"/>
            <w:tcBorders>
              <w:top w:val="nil"/>
              <w:left w:val="nil"/>
              <w:bottom w:val="single" w:sz="4" w:space="0" w:color="auto"/>
              <w:right w:val="single" w:sz="4" w:space="0" w:color="auto"/>
            </w:tcBorders>
            <w:shd w:val="clear" w:color="000000" w:fill="FFFFFF"/>
            <w:noWrap/>
            <w:vAlign w:val="center"/>
            <w:hideMark/>
          </w:tcPr>
          <w:p w14:paraId="56277242" w14:textId="77777777" w:rsidR="00E157A6" w:rsidRDefault="00E157A6" w:rsidP="003C2438">
            <w:pPr>
              <w:spacing w:after="0"/>
              <w:jc w:val="center"/>
              <w:rPr>
                <w:rFonts w:cs="Arial"/>
              </w:rPr>
            </w:pPr>
          </w:p>
        </w:tc>
        <w:tc>
          <w:tcPr>
            <w:tcW w:w="421" w:type="dxa"/>
            <w:tcBorders>
              <w:top w:val="single" w:sz="4" w:space="0" w:color="auto"/>
              <w:left w:val="nil"/>
              <w:bottom w:val="single" w:sz="4" w:space="0" w:color="auto"/>
              <w:right w:val="single" w:sz="4" w:space="0" w:color="auto"/>
            </w:tcBorders>
            <w:shd w:val="clear" w:color="000000" w:fill="FFFFFF"/>
            <w:vAlign w:val="center"/>
          </w:tcPr>
          <w:p w14:paraId="42572C76" w14:textId="77777777" w:rsidR="00E157A6" w:rsidRDefault="00E157A6" w:rsidP="003C2438">
            <w:pPr>
              <w:spacing w:after="0"/>
              <w:jc w:val="center"/>
              <w:rPr>
                <w:rFonts w:cs="Arial"/>
              </w:rPr>
            </w:pPr>
          </w:p>
        </w:tc>
        <w:tc>
          <w:tcPr>
            <w:tcW w:w="1179" w:type="dxa"/>
            <w:tcBorders>
              <w:top w:val="nil"/>
              <w:left w:val="single" w:sz="4" w:space="0" w:color="auto"/>
              <w:bottom w:val="single" w:sz="4" w:space="0" w:color="auto"/>
              <w:right w:val="single" w:sz="8" w:space="0" w:color="auto"/>
            </w:tcBorders>
            <w:shd w:val="clear" w:color="000000" w:fill="FFFFFF"/>
            <w:noWrap/>
            <w:vAlign w:val="center"/>
            <w:hideMark/>
          </w:tcPr>
          <w:p w14:paraId="25518695" w14:textId="77777777" w:rsidR="00E157A6" w:rsidRDefault="00BA2FBD" w:rsidP="003C2438">
            <w:pPr>
              <w:spacing w:after="0"/>
              <w:jc w:val="center"/>
              <w:rPr>
                <w:rFonts w:cs="Arial"/>
              </w:rPr>
            </w:pPr>
            <w:r w:rsidRPr="00557F5D">
              <w:rPr>
                <w:rFonts w:cs="Arial"/>
              </w:rPr>
              <w:t>ALOCAT</w:t>
            </w:r>
          </w:p>
        </w:tc>
      </w:tr>
      <w:tr w:rsidR="00BA2FBD" w:rsidRPr="00557F5D" w14:paraId="5BB9AD5B" w14:textId="77777777" w:rsidTr="00C16393">
        <w:trPr>
          <w:trHeight w:val="255"/>
          <w:jc w:val="center"/>
        </w:trPr>
        <w:tc>
          <w:tcPr>
            <w:tcW w:w="448" w:type="dxa"/>
            <w:tcBorders>
              <w:top w:val="nil"/>
              <w:left w:val="single" w:sz="8" w:space="0" w:color="auto"/>
              <w:bottom w:val="single" w:sz="8" w:space="0" w:color="auto"/>
              <w:right w:val="single" w:sz="4" w:space="0" w:color="auto"/>
            </w:tcBorders>
            <w:shd w:val="clear" w:color="000000" w:fill="FFFFFF"/>
            <w:vAlign w:val="center"/>
            <w:hideMark/>
          </w:tcPr>
          <w:p w14:paraId="22BAB741" w14:textId="77777777" w:rsidR="00BA2FBD" w:rsidRPr="00557F5D" w:rsidRDefault="00A137EC" w:rsidP="003C2438">
            <w:pPr>
              <w:spacing w:after="0"/>
              <w:rPr>
                <w:rFonts w:cs="Arial"/>
              </w:rPr>
            </w:pPr>
            <w:r>
              <w:rPr>
                <w:rFonts w:cs="Arial"/>
              </w:rPr>
              <w:t>13</w:t>
            </w:r>
          </w:p>
        </w:tc>
        <w:tc>
          <w:tcPr>
            <w:tcW w:w="5356" w:type="dxa"/>
            <w:tcBorders>
              <w:top w:val="nil"/>
              <w:left w:val="nil"/>
              <w:bottom w:val="single" w:sz="8" w:space="0" w:color="auto"/>
              <w:right w:val="nil"/>
            </w:tcBorders>
            <w:shd w:val="clear" w:color="000000" w:fill="FFFFFF"/>
            <w:vAlign w:val="center"/>
            <w:hideMark/>
          </w:tcPr>
          <w:p w14:paraId="70151034" w14:textId="77777777" w:rsidR="00BA2FBD" w:rsidRPr="00557F5D" w:rsidRDefault="00BA2FBD" w:rsidP="003C2438">
            <w:pPr>
              <w:spacing w:after="0"/>
              <w:rPr>
                <w:rFonts w:cs="Arial"/>
              </w:rPr>
            </w:pPr>
            <w:r w:rsidRPr="00557F5D">
              <w:rPr>
                <w:rFonts w:cs="Arial"/>
              </w:rPr>
              <w:t>NKSALD</w:t>
            </w:r>
            <w:r w:rsidR="00C16393">
              <w:rPr>
                <w:rFonts w:cs="Arial"/>
              </w:rPr>
              <w:t>0</w:t>
            </w:r>
          </w:p>
        </w:tc>
        <w:tc>
          <w:tcPr>
            <w:tcW w:w="420" w:type="dxa"/>
            <w:tcBorders>
              <w:top w:val="nil"/>
              <w:left w:val="single" w:sz="4" w:space="0" w:color="auto"/>
              <w:bottom w:val="single" w:sz="8" w:space="0" w:color="auto"/>
              <w:right w:val="single" w:sz="4" w:space="0" w:color="auto"/>
            </w:tcBorders>
            <w:shd w:val="clear" w:color="000000" w:fill="FFFFFF"/>
            <w:noWrap/>
            <w:vAlign w:val="center"/>
            <w:hideMark/>
          </w:tcPr>
          <w:p w14:paraId="731B81B0" w14:textId="77777777" w:rsidR="00E157A6" w:rsidRDefault="00E157A6" w:rsidP="003C2438">
            <w:pPr>
              <w:spacing w:after="0"/>
              <w:jc w:val="center"/>
              <w:rPr>
                <w:rFonts w:cs="Arial"/>
              </w:rPr>
            </w:pPr>
          </w:p>
        </w:tc>
        <w:tc>
          <w:tcPr>
            <w:tcW w:w="420" w:type="dxa"/>
            <w:tcBorders>
              <w:top w:val="nil"/>
              <w:left w:val="nil"/>
              <w:bottom w:val="single" w:sz="8" w:space="0" w:color="auto"/>
              <w:right w:val="single" w:sz="4" w:space="0" w:color="auto"/>
            </w:tcBorders>
            <w:shd w:val="clear" w:color="000000" w:fill="FFFFFF"/>
            <w:noWrap/>
            <w:vAlign w:val="center"/>
            <w:hideMark/>
          </w:tcPr>
          <w:p w14:paraId="014B453C" w14:textId="77777777" w:rsidR="00E157A6" w:rsidRDefault="00C16393" w:rsidP="003C2438">
            <w:pPr>
              <w:spacing w:after="0"/>
              <w:jc w:val="center"/>
              <w:rPr>
                <w:rFonts w:cs="Arial"/>
              </w:rPr>
            </w:pPr>
            <w:r>
              <w:rPr>
                <w:rFonts w:cs="Arial"/>
              </w:rPr>
              <w:t>X</w:t>
            </w:r>
          </w:p>
        </w:tc>
        <w:tc>
          <w:tcPr>
            <w:tcW w:w="454" w:type="dxa"/>
            <w:tcBorders>
              <w:top w:val="nil"/>
              <w:left w:val="nil"/>
              <w:bottom w:val="single" w:sz="8" w:space="0" w:color="auto"/>
              <w:right w:val="single" w:sz="4" w:space="0" w:color="auto"/>
            </w:tcBorders>
            <w:shd w:val="clear" w:color="000000" w:fill="FFFFFF"/>
            <w:noWrap/>
            <w:vAlign w:val="center"/>
            <w:hideMark/>
          </w:tcPr>
          <w:p w14:paraId="3FABD1DC" w14:textId="77777777" w:rsidR="00E157A6" w:rsidRDefault="00C16393" w:rsidP="003C2438">
            <w:pPr>
              <w:spacing w:after="0"/>
              <w:jc w:val="center"/>
              <w:rPr>
                <w:rFonts w:cs="Arial"/>
              </w:rPr>
            </w:pPr>
            <w:r w:rsidRPr="00557F5D">
              <w:rPr>
                <w:rFonts w:cs="Arial"/>
              </w:rPr>
              <w:t>X</w:t>
            </w:r>
          </w:p>
        </w:tc>
        <w:tc>
          <w:tcPr>
            <w:tcW w:w="421" w:type="dxa"/>
            <w:tcBorders>
              <w:top w:val="single" w:sz="4" w:space="0" w:color="auto"/>
              <w:left w:val="nil"/>
              <w:bottom w:val="single" w:sz="8" w:space="0" w:color="auto"/>
              <w:right w:val="single" w:sz="4" w:space="0" w:color="auto"/>
            </w:tcBorders>
            <w:shd w:val="clear" w:color="000000" w:fill="FFFFFF"/>
            <w:vAlign w:val="center"/>
          </w:tcPr>
          <w:p w14:paraId="3D9EAE34" w14:textId="77777777" w:rsidR="00E157A6" w:rsidRDefault="00C16393" w:rsidP="003C2438">
            <w:pPr>
              <w:spacing w:after="0"/>
              <w:jc w:val="center"/>
              <w:rPr>
                <w:rFonts w:cs="Arial"/>
              </w:rPr>
            </w:pPr>
            <w:r>
              <w:rPr>
                <w:rFonts w:cs="Arial"/>
              </w:rPr>
              <w:t>X</w:t>
            </w:r>
          </w:p>
        </w:tc>
        <w:tc>
          <w:tcPr>
            <w:tcW w:w="1179" w:type="dxa"/>
            <w:tcBorders>
              <w:top w:val="nil"/>
              <w:left w:val="single" w:sz="4" w:space="0" w:color="auto"/>
              <w:bottom w:val="single" w:sz="8" w:space="0" w:color="auto"/>
              <w:right w:val="single" w:sz="8" w:space="0" w:color="auto"/>
            </w:tcBorders>
            <w:shd w:val="clear" w:color="000000" w:fill="FFFFFF"/>
            <w:noWrap/>
            <w:vAlign w:val="center"/>
            <w:hideMark/>
          </w:tcPr>
          <w:p w14:paraId="0B8DD88F" w14:textId="77777777" w:rsidR="00E157A6" w:rsidRDefault="00BA2FBD" w:rsidP="003C2438">
            <w:pPr>
              <w:spacing w:after="0"/>
              <w:jc w:val="center"/>
              <w:rPr>
                <w:rFonts w:cs="Arial"/>
              </w:rPr>
            </w:pPr>
            <w:r w:rsidRPr="00557F5D">
              <w:rPr>
                <w:rFonts w:cs="Arial"/>
              </w:rPr>
              <w:t>IMBNOT</w:t>
            </w:r>
          </w:p>
        </w:tc>
      </w:tr>
      <w:tr w:rsidR="00A137EC" w:rsidRPr="00557F5D" w14:paraId="5A0A431A" w14:textId="77777777" w:rsidTr="00C16393">
        <w:trPr>
          <w:trHeight w:val="255"/>
          <w:jc w:val="center"/>
        </w:trPr>
        <w:tc>
          <w:tcPr>
            <w:tcW w:w="448" w:type="dxa"/>
            <w:tcBorders>
              <w:top w:val="nil"/>
              <w:left w:val="single" w:sz="8" w:space="0" w:color="auto"/>
              <w:bottom w:val="single" w:sz="8" w:space="0" w:color="auto"/>
              <w:right w:val="single" w:sz="4" w:space="0" w:color="auto"/>
            </w:tcBorders>
            <w:shd w:val="clear" w:color="000000" w:fill="FFFFFF"/>
            <w:vAlign w:val="center"/>
          </w:tcPr>
          <w:p w14:paraId="7D3C59DE" w14:textId="77777777" w:rsidR="00A137EC" w:rsidRPr="00557F5D" w:rsidDel="00870CA0" w:rsidRDefault="00A137EC" w:rsidP="003C2438">
            <w:pPr>
              <w:spacing w:after="0"/>
              <w:rPr>
                <w:rFonts w:cs="Arial"/>
              </w:rPr>
            </w:pPr>
            <w:r>
              <w:rPr>
                <w:rFonts w:cs="Arial"/>
              </w:rPr>
              <w:t>14</w:t>
            </w:r>
          </w:p>
        </w:tc>
        <w:tc>
          <w:tcPr>
            <w:tcW w:w="5356" w:type="dxa"/>
            <w:tcBorders>
              <w:top w:val="nil"/>
              <w:left w:val="nil"/>
              <w:bottom w:val="single" w:sz="8" w:space="0" w:color="auto"/>
              <w:right w:val="nil"/>
            </w:tcBorders>
            <w:shd w:val="clear" w:color="000000" w:fill="FFFFFF"/>
            <w:vAlign w:val="center"/>
          </w:tcPr>
          <w:p w14:paraId="0F508360" w14:textId="77777777" w:rsidR="00A137EC" w:rsidRPr="00557F5D" w:rsidRDefault="00C16393" w:rsidP="003C2438">
            <w:pPr>
              <w:spacing w:after="0"/>
              <w:rPr>
                <w:rFonts w:cs="Arial"/>
              </w:rPr>
            </w:pPr>
            <w:r>
              <w:rPr>
                <w:rFonts w:cs="Arial"/>
              </w:rPr>
              <w:t>NKSALD1</w:t>
            </w:r>
          </w:p>
        </w:tc>
        <w:tc>
          <w:tcPr>
            <w:tcW w:w="420" w:type="dxa"/>
            <w:tcBorders>
              <w:top w:val="nil"/>
              <w:left w:val="single" w:sz="4" w:space="0" w:color="auto"/>
              <w:bottom w:val="single" w:sz="8" w:space="0" w:color="auto"/>
              <w:right w:val="single" w:sz="4" w:space="0" w:color="auto"/>
            </w:tcBorders>
            <w:shd w:val="clear" w:color="000000" w:fill="FFFFFF"/>
            <w:noWrap/>
            <w:vAlign w:val="center"/>
          </w:tcPr>
          <w:p w14:paraId="1ECCB8BE" w14:textId="77777777" w:rsidR="00E157A6" w:rsidRDefault="00E157A6" w:rsidP="003C2438">
            <w:pPr>
              <w:spacing w:after="0"/>
              <w:jc w:val="center"/>
              <w:rPr>
                <w:rFonts w:cs="Arial"/>
              </w:rPr>
            </w:pPr>
          </w:p>
        </w:tc>
        <w:tc>
          <w:tcPr>
            <w:tcW w:w="420" w:type="dxa"/>
            <w:tcBorders>
              <w:top w:val="nil"/>
              <w:left w:val="nil"/>
              <w:bottom w:val="single" w:sz="8" w:space="0" w:color="auto"/>
              <w:right w:val="single" w:sz="4" w:space="0" w:color="auto"/>
            </w:tcBorders>
            <w:shd w:val="clear" w:color="000000" w:fill="FFFFFF"/>
            <w:noWrap/>
            <w:vAlign w:val="center"/>
          </w:tcPr>
          <w:p w14:paraId="2ED813B6" w14:textId="77777777" w:rsidR="00E157A6" w:rsidRDefault="00E157A6" w:rsidP="003C2438">
            <w:pPr>
              <w:spacing w:after="0"/>
              <w:jc w:val="center"/>
              <w:rPr>
                <w:rFonts w:cs="Arial"/>
              </w:rPr>
            </w:pPr>
          </w:p>
        </w:tc>
        <w:tc>
          <w:tcPr>
            <w:tcW w:w="454" w:type="dxa"/>
            <w:tcBorders>
              <w:top w:val="nil"/>
              <w:left w:val="nil"/>
              <w:bottom w:val="single" w:sz="8" w:space="0" w:color="auto"/>
              <w:right w:val="single" w:sz="4" w:space="0" w:color="auto"/>
            </w:tcBorders>
            <w:shd w:val="clear" w:color="000000" w:fill="FFFFFF"/>
            <w:noWrap/>
            <w:vAlign w:val="center"/>
          </w:tcPr>
          <w:p w14:paraId="3278F9EB" w14:textId="77777777" w:rsidR="00E157A6" w:rsidRDefault="00C16393" w:rsidP="003C2438">
            <w:pPr>
              <w:spacing w:after="0"/>
              <w:jc w:val="center"/>
              <w:rPr>
                <w:rFonts w:cs="Arial"/>
              </w:rPr>
            </w:pPr>
            <w:r>
              <w:rPr>
                <w:rFonts w:cs="Arial"/>
              </w:rPr>
              <w:t>X</w:t>
            </w:r>
          </w:p>
        </w:tc>
        <w:tc>
          <w:tcPr>
            <w:tcW w:w="421" w:type="dxa"/>
            <w:tcBorders>
              <w:top w:val="single" w:sz="4" w:space="0" w:color="auto"/>
              <w:left w:val="nil"/>
              <w:bottom w:val="single" w:sz="8" w:space="0" w:color="auto"/>
              <w:right w:val="single" w:sz="4" w:space="0" w:color="auto"/>
            </w:tcBorders>
            <w:shd w:val="clear" w:color="000000" w:fill="FFFFFF"/>
            <w:vAlign w:val="center"/>
          </w:tcPr>
          <w:p w14:paraId="66188D2D" w14:textId="77777777" w:rsidR="00E157A6" w:rsidRDefault="00C16393" w:rsidP="003C2438">
            <w:pPr>
              <w:spacing w:after="0"/>
              <w:jc w:val="center"/>
              <w:rPr>
                <w:rFonts w:cs="Arial"/>
              </w:rPr>
            </w:pPr>
            <w:r>
              <w:rPr>
                <w:rFonts w:cs="Arial"/>
              </w:rPr>
              <w:t>X</w:t>
            </w:r>
          </w:p>
        </w:tc>
        <w:tc>
          <w:tcPr>
            <w:tcW w:w="1179" w:type="dxa"/>
            <w:tcBorders>
              <w:top w:val="nil"/>
              <w:left w:val="single" w:sz="4" w:space="0" w:color="auto"/>
              <w:bottom w:val="single" w:sz="8" w:space="0" w:color="auto"/>
              <w:right w:val="single" w:sz="8" w:space="0" w:color="auto"/>
            </w:tcBorders>
            <w:shd w:val="clear" w:color="000000" w:fill="FFFFFF"/>
            <w:noWrap/>
            <w:vAlign w:val="center"/>
          </w:tcPr>
          <w:p w14:paraId="56ECEB43" w14:textId="77777777" w:rsidR="00E157A6" w:rsidRDefault="00C16393" w:rsidP="003C2438">
            <w:pPr>
              <w:spacing w:after="0"/>
              <w:jc w:val="center"/>
              <w:rPr>
                <w:rFonts w:cs="Arial"/>
              </w:rPr>
            </w:pPr>
            <w:r>
              <w:rPr>
                <w:rFonts w:cs="Arial"/>
              </w:rPr>
              <w:t>IMBNOT</w:t>
            </w:r>
          </w:p>
        </w:tc>
      </w:tr>
      <w:tr w:rsidR="00BA2FBD" w:rsidRPr="00557F5D" w14:paraId="0BCEEE8F" w14:textId="77777777" w:rsidTr="008D3BA2">
        <w:trPr>
          <w:trHeight w:val="241"/>
          <w:jc w:val="center"/>
        </w:trPr>
        <w:tc>
          <w:tcPr>
            <w:tcW w:w="448" w:type="dxa"/>
            <w:tcBorders>
              <w:top w:val="nil"/>
              <w:left w:val="nil"/>
              <w:bottom w:val="nil"/>
              <w:right w:val="nil"/>
            </w:tcBorders>
            <w:shd w:val="clear" w:color="000000" w:fill="FFFFFF"/>
            <w:noWrap/>
            <w:vAlign w:val="bottom"/>
            <w:hideMark/>
          </w:tcPr>
          <w:p w14:paraId="56BD2D83" w14:textId="77777777" w:rsidR="00BA2FBD" w:rsidRPr="00557F5D" w:rsidRDefault="00BA2FBD" w:rsidP="003C2438">
            <w:pPr>
              <w:spacing w:after="0"/>
              <w:rPr>
                <w:rFonts w:cs="Arial"/>
              </w:rPr>
            </w:pPr>
            <w:r w:rsidRPr="00557F5D">
              <w:rPr>
                <w:rFonts w:cs="Arial"/>
              </w:rPr>
              <w:t> </w:t>
            </w:r>
          </w:p>
        </w:tc>
        <w:tc>
          <w:tcPr>
            <w:tcW w:w="5356" w:type="dxa"/>
            <w:tcBorders>
              <w:top w:val="nil"/>
              <w:left w:val="nil"/>
              <w:bottom w:val="nil"/>
              <w:right w:val="nil"/>
            </w:tcBorders>
            <w:shd w:val="clear" w:color="000000" w:fill="FFFFFF"/>
            <w:noWrap/>
            <w:vAlign w:val="bottom"/>
            <w:hideMark/>
          </w:tcPr>
          <w:p w14:paraId="3287D81A" w14:textId="77777777" w:rsidR="00BA2FBD" w:rsidRPr="00557F5D" w:rsidRDefault="00BA2FBD" w:rsidP="003C2438">
            <w:pPr>
              <w:spacing w:after="0"/>
              <w:rPr>
                <w:rFonts w:cs="Arial"/>
              </w:rPr>
            </w:pPr>
            <w:r w:rsidRPr="00557F5D">
              <w:rPr>
                <w:rFonts w:cs="Arial"/>
              </w:rPr>
              <w:t> </w:t>
            </w:r>
          </w:p>
        </w:tc>
        <w:tc>
          <w:tcPr>
            <w:tcW w:w="420" w:type="dxa"/>
            <w:tcBorders>
              <w:top w:val="nil"/>
              <w:left w:val="nil"/>
              <w:bottom w:val="nil"/>
              <w:right w:val="nil"/>
            </w:tcBorders>
            <w:shd w:val="clear" w:color="000000" w:fill="FFFFFF"/>
            <w:noWrap/>
            <w:vAlign w:val="bottom"/>
            <w:hideMark/>
          </w:tcPr>
          <w:p w14:paraId="207A2B4C" w14:textId="77777777" w:rsidR="00BA2FBD" w:rsidRPr="00557F5D" w:rsidRDefault="00BA2FBD" w:rsidP="003C2438">
            <w:pPr>
              <w:spacing w:after="0"/>
              <w:rPr>
                <w:rFonts w:cs="Arial"/>
              </w:rPr>
            </w:pPr>
            <w:r w:rsidRPr="00557F5D">
              <w:rPr>
                <w:rFonts w:cs="Arial"/>
              </w:rPr>
              <w:t> </w:t>
            </w:r>
          </w:p>
        </w:tc>
        <w:tc>
          <w:tcPr>
            <w:tcW w:w="420" w:type="dxa"/>
            <w:tcBorders>
              <w:top w:val="nil"/>
              <w:left w:val="nil"/>
              <w:bottom w:val="nil"/>
              <w:right w:val="nil"/>
            </w:tcBorders>
            <w:shd w:val="clear" w:color="000000" w:fill="FFFFFF"/>
            <w:noWrap/>
            <w:vAlign w:val="bottom"/>
            <w:hideMark/>
          </w:tcPr>
          <w:p w14:paraId="09DBD1E3" w14:textId="77777777" w:rsidR="00BA2FBD" w:rsidRPr="00557F5D" w:rsidRDefault="00BA2FBD" w:rsidP="003C2438">
            <w:pPr>
              <w:spacing w:after="0"/>
              <w:rPr>
                <w:rFonts w:cs="Arial"/>
              </w:rPr>
            </w:pPr>
            <w:r w:rsidRPr="00557F5D">
              <w:rPr>
                <w:rFonts w:cs="Arial"/>
              </w:rPr>
              <w:t> </w:t>
            </w:r>
          </w:p>
        </w:tc>
        <w:tc>
          <w:tcPr>
            <w:tcW w:w="454" w:type="dxa"/>
            <w:tcBorders>
              <w:top w:val="nil"/>
              <w:left w:val="nil"/>
              <w:bottom w:val="nil"/>
              <w:right w:val="nil"/>
            </w:tcBorders>
            <w:shd w:val="clear" w:color="000000" w:fill="FFFFFF"/>
            <w:noWrap/>
            <w:vAlign w:val="bottom"/>
            <w:hideMark/>
          </w:tcPr>
          <w:p w14:paraId="510FABAF" w14:textId="77777777" w:rsidR="00BA2FBD" w:rsidRPr="00557F5D" w:rsidRDefault="00BA2FBD" w:rsidP="003C2438">
            <w:pPr>
              <w:spacing w:after="0"/>
              <w:rPr>
                <w:rFonts w:cs="Arial"/>
              </w:rPr>
            </w:pPr>
            <w:r w:rsidRPr="00557F5D">
              <w:rPr>
                <w:rFonts w:cs="Arial"/>
              </w:rPr>
              <w:t> </w:t>
            </w:r>
          </w:p>
        </w:tc>
        <w:tc>
          <w:tcPr>
            <w:tcW w:w="421" w:type="dxa"/>
            <w:tcBorders>
              <w:top w:val="nil"/>
              <w:left w:val="nil"/>
              <w:bottom w:val="nil"/>
              <w:right w:val="nil"/>
            </w:tcBorders>
            <w:shd w:val="clear" w:color="000000" w:fill="FFFFFF"/>
          </w:tcPr>
          <w:p w14:paraId="613A3795" w14:textId="77777777" w:rsidR="00BA2FBD" w:rsidRPr="00557F5D" w:rsidRDefault="00BA2FBD" w:rsidP="003C2438">
            <w:pPr>
              <w:spacing w:after="0"/>
              <w:rPr>
                <w:rFonts w:cs="Arial"/>
              </w:rPr>
            </w:pPr>
          </w:p>
        </w:tc>
        <w:tc>
          <w:tcPr>
            <w:tcW w:w="1179" w:type="dxa"/>
            <w:tcBorders>
              <w:top w:val="nil"/>
              <w:left w:val="nil"/>
              <w:bottom w:val="nil"/>
              <w:right w:val="nil"/>
            </w:tcBorders>
            <w:shd w:val="clear" w:color="000000" w:fill="FFFFFF"/>
            <w:noWrap/>
            <w:vAlign w:val="bottom"/>
            <w:hideMark/>
          </w:tcPr>
          <w:p w14:paraId="11733542" w14:textId="77777777" w:rsidR="00BA2FBD" w:rsidRPr="00557F5D" w:rsidRDefault="00BA2FBD" w:rsidP="003C2438">
            <w:pPr>
              <w:spacing w:after="0"/>
              <w:rPr>
                <w:rFonts w:cs="Arial"/>
              </w:rPr>
            </w:pPr>
            <w:r w:rsidRPr="00557F5D">
              <w:rPr>
                <w:rFonts w:cs="Arial"/>
              </w:rPr>
              <w:t> </w:t>
            </w:r>
          </w:p>
        </w:tc>
      </w:tr>
    </w:tbl>
    <w:p w14:paraId="1CA2A5AA" w14:textId="77777777" w:rsidR="007A2C6E" w:rsidRDefault="007A2C6E" w:rsidP="003C2438">
      <w:pPr>
        <w:spacing w:after="0"/>
      </w:pPr>
      <w:bookmarkStart w:id="302" w:name="_Toc318721897"/>
      <w:bookmarkStart w:id="303" w:name="_Toc357091931"/>
      <w:r>
        <w:t xml:space="preserve">       X</w:t>
      </w:r>
      <w:r>
        <w:tab/>
        <w:t>Versand immer</w:t>
      </w:r>
    </w:p>
    <w:p w14:paraId="26BA29B3" w14:textId="5DE5CA87" w:rsidR="008D3BA2" w:rsidRDefault="007A2C6E" w:rsidP="003C2438">
      <w:pPr>
        <w:spacing w:after="0"/>
        <w:rPr>
          <w:rFonts w:cs="Arial"/>
        </w:rPr>
      </w:pPr>
      <w:r>
        <w:rPr>
          <w:rFonts w:cs="Arial"/>
        </w:rPr>
        <w:t xml:space="preserve">       E</w:t>
      </w:r>
      <w:r>
        <w:rPr>
          <w:rFonts w:cs="Arial"/>
        </w:rPr>
        <w:tab/>
        <w:t>Ersatzwert</w:t>
      </w:r>
    </w:p>
    <w:p w14:paraId="4EDE81AE" w14:textId="10D3EC95" w:rsidR="00E157A6" w:rsidRDefault="00DF612D" w:rsidP="003C2438">
      <w:pPr>
        <w:pStyle w:val="Abbildung"/>
        <w:rPr>
          <w:b/>
        </w:rPr>
      </w:pPr>
      <w:bookmarkStart w:id="304" w:name="_Toc390346563"/>
      <w:bookmarkStart w:id="305" w:name="_Toc412562633"/>
      <w:bookmarkStart w:id="306" w:name="_Toc437530319"/>
      <w:bookmarkStart w:id="307" w:name="_Toc111118593"/>
      <w:bookmarkStart w:id="308" w:name="_Toc111196139"/>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10</w:t>
      </w:r>
      <w:r w:rsidR="00561FFA" w:rsidRPr="00996036">
        <w:rPr>
          <w:b/>
        </w:rPr>
        <w:fldChar w:fldCharType="end"/>
      </w:r>
      <w:r w:rsidRPr="00996036">
        <w:rPr>
          <w:b/>
        </w:rPr>
        <w:t>: Übersicht Zeitreihenversand MGV an NB</w:t>
      </w:r>
      <w:bookmarkEnd w:id="302"/>
      <w:bookmarkEnd w:id="303"/>
      <w:bookmarkEnd w:id="304"/>
      <w:bookmarkEnd w:id="305"/>
      <w:bookmarkEnd w:id="306"/>
      <w:bookmarkEnd w:id="307"/>
      <w:bookmarkEnd w:id="308"/>
    </w:p>
    <w:p w14:paraId="4921DF41" w14:textId="77777777" w:rsidR="00E157A6" w:rsidRDefault="00E157A6" w:rsidP="003C2438">
      <w:pPr>
        <w:pStyle w:val="Abbildung"/>
        <w:rPr>
          <w:b/>
        </w:rPr>
      </w:pPr>
    </w:p>
    <w:tbl>
      <w:tblPr>
        <w:tblW w:w="9445" w:type="dxa"/>
        <w:jc w:val="center"/>
        <w:tblCellMar>
          <w:left w:w="70" w:type="dxa"/>
          <w:right w:w="70" w:type="dxa"/>
        </w:tblCellMar>
        <w:tblLook w:val="00A0" w:firstRow="1" w:lastRow="0" w:firstColumn="1" w:lastColumn="0" w:noHBand="0" w:noVBand="0"/>
      </w:tblPr>
      <w:tblGrid>
        <w:gridCol w:w="446"/>
        <w:gridCol w:w="131"/>
        <w:gridCol w:w="1891"/>
        <w:gridCol w:w="144"/>
        <w:gridCol w:w="302"/>
        <w:gridCol w:w="144"/>
        <w:gridCol w:w="302"/>
        <w:gridCol w:w="144"/>
        <w:gridCol w:w="302"/>
        <w:gridCol w:w="145"/>
        <w:gridCol w:w="301"/>
        <w:gridCol w:w="145"/>
        <w:gridCol w:w="301"/>
        <w:gridCol w:w="145"/>
        <w:gridCol w:w="301"/>
        <w:gridCol w:w="145"/>
        <w:gridCol w:w="301"/>
        <w:gridCol w:w="144"/>
        <w:gridCol w:w="302"/>
        <w:gridCol w:w="145"/>
        <w:gridCol w:w="301"/>
        <w:gridCol w:w="138"/>
        <w:gridCol w:w="308"/>
        <w:gridCol w:w="138"/>
        <w:gridCol w:w="308"/>
        <w:gridCol w:w="138"/>
        <w:gridCol w:w="308"/>
        <w:gridCol w:w="138"/>
        <w:gridCol w:w="308"/>
        <w:gridCol w:w="131"/>
        <w:gridCol w:w="1025"/>
        <w:gridCol w:w="23"/>
      </w:tblGrid>
      <w:tr w:rsidR="00C16393" w:rsidRPr="00557F5D" w14:paraId="42216E4E" w14:textId="77777777" w:rsidTr="00C20542">
        <w:trPr>
          <w:trHeight w:val="255"/>
          <w:tblHeader/>
          <w:jc w:val="center"/>
        </w:trPr>
        <w:tc>
          <w:tcPr>
            <w:tcW w:w="446"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center"/>
            <w:hideMark/>
          </w:tcPr>
          <w:p w14:paraId="337EA1CC" w14:textId="77777777" w:rsidR="00E157A6" w:rsidRDefault="00C16393" w:rsidP="003C2438">
            <w:pPr>
              <w:spacing w:after="0"/>
              <w:jc w:val="center"/>
              <w:rPr>
                <w:rFonts w:cs="Arial"/>
              </w:rPr>
            </w:pPr>
            <w:r w:rsidRPr="00557F5D">
              <w:rPr>
                <w:rFonts w:cs="Arial"/>
              </w:rPr>
              <w:t>Nr.</w:t>
            </w:r>
          </w:p>
        </w:tc>
        <w:tc>
          <w:tcPr>
            <w:tcW w:w="2022" w:type="dxa"/>
            <w:gridSpan w:val="2"/>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center"/>
            <w:hideMark/>
          </w:tcPr>
          <w:p w14:paraId="1C11D924" w14:textId="77777777" w:rsidR="00E157A6" w:rsidRDefault="00C16393" w:rsidP="003C2438">
            <w:pPr>
              <w:spacing w:after="0"/>
              <w:jc w:val="center"/>
              <w:rPr>
                <w:rFonts w:cs="Arial"/>
              </w:rPr>
            </w:pPr>
            <w:r w:rsidRPr="00557F5D">
              <w:rPr>
                <w:rFonts w:cs="Arial"/>
              </w:rPr>
              <w:t>Abkürzung</w:t>
            </w:r>
          </w:p>
        </w:tc>
        <w:tc>
          <w:tcPr>
            <w:tcW w:w="4014" w:type="dxa"/>
            <w:gridSpan w:val="18"/>
            <w:tcBorders>
              <w:top w:val="single" w:sz="8" w:space="0" w:color="auto"/>
              <w:left w:val="single" w:sz="4" w:space="0" w:color="auto"/>
              <w:bottom w:val="single" w:sz="4" w:space="0" w:color="auto"/>
              <w:right w:val="single" w:sz="4" w:space="0" w:color="auto"/>
            </w:tcBorders>
            <w:shd w:val="clear" w:color="000000" w:fill="FFFFFF"/>
            <w:vAlign w:val="bottom"/>
          </w:tcPr>
          <w:p w14:paraId="73C3FF3C" w14:textId="77777777" w:rsidR="00C16393" w:rsidRPr="00557F5D" w:rsidRDefault="00C16393" w:rsidP="003C2438">
            <w:pPr>
              <w:spacing w:after="0"/>
              <w:jc w:val="center"/>
              <w:rPr>
                <w:rFonts w:cs="Arial"/>
              </w:rPr>
            </w:pPr>
            <w:r w:rsidRPr="00557F5D">
              <w:rPr>
                <w:rFonts w:cs="Arial"/>
              </w:rPr>
              <w:t>Versand</w:t>
            </w:r>
            <w:r>
              <w:rPr>
                <w:rFonts w:cs="Arial"/>
              </w:rPr>
              <w:t xml:space="preserve"> am</w:t>
            </w:r>
          </w:p>
        </w:tc>
        <w:tc>
          <w:tcPr>
            <w:tcW w:w="446" w:type="dxa"/>
            <w:gridSpan w:val="2"/>
            <w:vMerge w:val="restart"/>
            <w:tcBorders>
              <w:top w:val="single" w:sz="8" w:space="0" w:color="auto"/>
              <w:left w:val="single" w:sz="4" w:space="0" w:color="auto"/>
              <w:right w:val="single" w:sz="4" w:space="0" w:color="auto"/>
            </w:tcBorders>
            <w:shd w:val="clear" w:color="000000" w:fill="FFFFFF"/>
            <w:textDirection w:val="btLr"/>
            <w:vAlign w:val="bottom"/>
          </w:tcPr>
          <w:p w14:paraId="412393BD" w14:textId="77777777" w:rsidR="00E157A6" w:rsidRDefault="00C16393" w:rsidP="003C2438">
            <w:pPr>
              <w:spacing w:after="0"/>
              <w:ind w:left="113" w:right="113"/>
              <w:rPr>
                <w:rFonts w:cs="Arial"/>
              </w:rPr>
            </w:pPr>
            <w:r>
              <w:rPr>
                <w:rFonts w:cs="Arial"/>
              </w:rPr>
              <w:t xml:space="preserve">Zeitpunkt der Rechnungslegung </w:t>
            </w:r>
          </w:p>
        </w:tc>
        <w:tc>
          <w:tcPr>
            <w:tcW w:w="446" w:type="dxa"/>
            <w:gridSpan w:val="2"/>
            <w:vMerge w:val="restart"/>
            <w:tcBorders>
              <w:top w:val="single" w:sz="8" w:space="0" w:color="auto"/>
              <w:left w:val="single" w:sz="4" w:space="0" w:color="auto"/>
              <w:right w:val="single" w:sz="4" w:space="0" w:color="auto"/>
            </w:tcBorders>
            <w:shd w:val="clear" w:color="000000" w:fill="FFFFFF"/>
            <w:textDirection w:val="btLr"/>
          </w:tcPr>
          <w:p w14:paraId="0CE785B7" w14:textId="77777777" w:rsidR="00C16393" w:rsidRPr="00557F5D" w:rsidRDefault="00C16393" w:rsidP="003C2438">
            <w:pPr>
              <w:spacing w:after="0"/>
              <w:ind w:left="113" w:right="113"/>
              <w:rPr>
                <w:rFonts w:cs="Arial"/>
              </w:rPr>
            </w:pPr>
            <w:r>
              <w:rPr>
                <w:rFonts w:cs="Arial"/>
              </w:rPr>
              <w:t>Toleranz untertägige Verpflichtung</w:t>
            </w:r>
          </w:p>
        </w:tc>
        <w:tc>
          <w:tcPr>
            <w:tcW w:w="446" w:type="dxa"/>
            <w:gridSpan w:val="2"/>
            <w:vMerge w:val="restart"/>
            <w:tcBorders>
              <w:top w:val="single" w:sz="8" w:space="0" w:color="auto"/>
              <w:left w:val="single" w:sz="4" w:space="0" w:color="auto"/>
              <w:right w:val="single" w:sz="4" w:space="0" w:color="auto"/>
            </w:tcBorders>
            <w:shd w:val="clear" w:color="000000" w:fill="FFFFFF"/>
            <w:textDirection w:val="btLr"/>
            <w:vAlign w:val="bottom"/>
            <w:hideMark/>
          </w:tcPr>
          <w:p w14:paraId="29017EF8" w14:textId="77777777" w:rsidR="00C16393" w:rsidRPr="00557F5D" w:rsidRDefault="004637D5" w:rsidP="003C2438">
            <w:pPr>
              <w:spacing w:after="0"/>
              <w:ind w:left="113" w:right="113"/>
              <w:rPr>
                <w:rFonts w:cs="Arial"/>
              </w:rPr>
            </w:pPr>
            <w:r>
              <w:rPr>
                <w:rFonts w:cs="Arial"/>
              </w:rPr>
              <w:t>Umlagepflichtig</w:t>
            </w:r>
          </w:p>
        </w:tc>
        <w:tc>
          <w:tcPr>
            <w:tcW w:w="446" w:type="dxa"/>
            <w:gridSpan w:val="2"/>
            <w:vMerge w:val="restart"/>
            <w:tcBorders>
              <w:top w:val="single" w:sz="8" w:space="0" w:color="auto"/>
              <w:left w:val="single" w:sz="4" w:space="0" w:color="auto"/>
              <w:right w:val="single" w:sz="4" w:space="0" w:color="auto"/>
            </w:tcBorders>
            <w:shd w:val="clear" w:color="000000" w:fill="FFFFFF"/>
            <w:textDirection w:val="btLr"/>
            <w:vAlign w:val="bottom"/>
            <w:hideMark/>
          </w:tcPr>
          <w:p w14:paraId="3970C07E" w14:textId="77777777" w:rsidR="00C16393" w:rsidRPr="00037AD6" w:rsidRDefault="009A2A71" w:rsidP="003C2438">
            <w:pPr>
              <w:spacing w:after="0"/>
              <w:ind w:left="113" w:right="113"/>
              <w:rPr>
                <w:rFonts w:cs="Arial"/>
              </w:rPr>
            </w:pPr>
            <w:r w:rsidRPr="00037AD6">
              <w:rPr>
                <w:rFonts w:cs="Arial"/>
              </w:rPr>
              <w:t>Deklarationspflichtig</w:t>
            </w:r>
          </w:p>
        </w:tc>
        <w:tc>
          <w:tcPr>
            <w:tcW w:w="1179" w:type="dxa"/>
            <w:gridSpan w:val="3"/>
            <w:vMerge w:val="restart"/>
            <w:tcBorders>
              <w:top w:val="single" w:sz="8" w:space="0" w:color="auto"/>
              <w:left w:val="single" w:sz="4" w:space="0" w:color="auto"/>
              <w:right w:val="single" w:sz="8" w:space="0" w:color="auto"/>
            </w:tcBorders>
            <w:shd w:val="clear" w:color="000000" w:fill="FFFFFF"/>
            <w:noWrap/>
            <w:textDirection w:val="btLr"/>
            <w:vAlign w:val="center"/>
            <w:hideMark/>
          </w:tcPr>
          <w:p w14:paraId="359577CB" w14:textId="77777777" w:rsidR="00E157A6" w:rsidRDefault="00C16393" w:rsidP="003C2438">
            <w:pPr>
              <w:spacing w:after="0"/>
              <w:jc w:val="center"/>
              <w:rPr>
                <w:rFonts w:cs="Arial"/>
              </w:rPr>
            </w:pPr>
            <w:r w:rsidRPr="00557F5D">
              <w:rPr>
                <w:rFonts w:cs="Arial"/>
              </w:rPr>
              <w:t>Formattyp</w:t>
            </w:r>
          </w:p>
        </w:tc>
      </w:tr>
      <w:tr w:rsidR="003649D1" w:rsidRPr="00557F5D" w14:paraId="7867815B" w14:textId="77777777" w:rsidTr="00C20542">
        <w:trPr>
          <w:cantSplit/>
          <w:trHeight w:val="3826"/>
          <w:tblHeader/>
          <w:jc w:val="center"/>
        </w:trPr>
        <w:tc>
          <w:tcPr>
            <w:tcW w:w="446" w:type="dxa"/>
            <w:vMerge/>
            <w:tcBorders>
              <w:top w:val="single" w:sz="8" w:space="0" w:color="auto"/>
              <w:left w:val="single" w:sz="8" w:space="0" w:color="auto"/>
              <w:bottom w:val="single" w:sz="4" w:space="0" w:color="000000"/>
              <w:right w:val="single" w:sz="4" w:space="0" w:color="auto"/>
            </w:tcBorders>
            <w:vAlign w:val="center"/>
            <w:hideMark/>
          </w:tcPr>
          <w:p w14:paraId="17916BB9" w14:textId="77777777" w:rsidR="00C16393" w:rsidRPr="00557F5D" w:rsidRDefault="00C16393" w:rsidP="003C2438">
            <w:pPr>
              <w:spacing w:after="0"/>
              <w:rPr>
                <w:rFonts w:cs="Arial"/>
              </w:rPr>
            </w:pPr>
          </w:p>
        </w:tc>
        <w:tc>
          <w:tcPr>
            <w:tcW w:w="2022" w:type="dxa"/>
            <w:gridSpan w:val="2"/>
            <w:vMerge/>
            <w:tcBorders>
              <w:top w:val="single" w:sz="8" w:space="0" w:color="auto"/>
              <w:left w:val="single" w:sz="4" w:space="0" w:color="auto"/>
              <w:bottom w:val="single" w:sz="4" w:space="0" w:color="000000"/>
              <w:right w:val="single" w:sz="4" w:space="0" w:color="auto"/>
            </w:tcBorders>
            <w:vAlign w:val="center"/>
            <w:hideMark/>
          </w:tcPr>
          <w:p w14:paraId="40DE5353" w14:textId="77777777" w:rsidR="00C16393" w:rsidRPr="00557F5D" w:rsidRDefault="00C16393" w:rsidP="003C2438">
            <w:pPr>
              <w:spacing w:after="0"/>
              <w:rPr>
                <w:rFonts w:cs="Arial"/>
              </w:rPr>
            </w:pPr>
          </w:p>
        </w:tc>
        <w:tc>
          <w:tcPr>
            <w:tcW w:w="446" w:type="dxa"/>
            <w:gridSpan w:val="2"/>
            <w:tcBorders>
              <w:top w:val="nil"/>
              <w:left w:val="nil"/>
              <w:bottom w:val="single" w:sz="4" w:space="0" w:color="auto"/>
              <w:right w:val="single" w:sz="4" w:space="0" w:color="auto"/>
            </w:tcBorders>
            <w:shd w:val="clear" w:color="000000" w:fill="FFFFFF"/>
            <w:textDirection w:val="btLr"/>
            <w:vAlign w:val="center"/>
            <w:hideMark/>
          </w:tcPr>
          <w:p w14:paraId="2C2F7D0E" w14:textId="77777777" w:rsidR="00C16393" w:rsidRPr="00557F5D" w:rsidRDefault="00C16393" w:rsidP="003C2438">
            <w:pPr>
              <w:spacing w:after="0"/>
              <w:ind w:left="113" w:right="113"/>
              <w:rPr>
                <w:rFonts w:cs="Arial"/>
              </w:rPr>
            </w:pPr>
            <w:r>
              <w:rPr>
                <w:rFonts w:cs="Arial"/>
              </w:rPr>
              <w:t>D (06:00-12:00) bis 16:00 Uhr</w:t>
            </w:r>
          </w:p>
        </w:tc>
        <w:tc>
          <w:tcPr>
            <w:tcW w:w="446" w:type="dxa"/>
            <w:gridSpan w:val="2"/>
            <w:tcBorders>
              <w:top w:val="single" w:sz="4" w:space="0" w:color="auto"/>
              <w:left w:val="nil"/>
              <w:bottom w:val="single" w:sz="4" w:space="0" w:color="auto"/>
              <w:right w:val="single" w:sz="4" w:space="0" w:color="auto"/>
            </w:tcBorders>
            <w:shd w:val="clear" w:color="000000" w:fill="FFFFFF"/>
            <w:textDirection w:val="btLr"/>
            <w:vAlign w:val="center"/>
          </w:tcPr>
          <w:p w14:paraId="34DD5D20" w14:textId="77777777" w:rsidR="00C16393" w:rsidRPr="00557F5D" w:rsidRDefault="00C16393" w:rsidP="003C2438">
            <w:pPr>
              <w:spacing w:after="0"/>
              <w:ind w:left="113" w:right="113"/>
              <w:rPr>
                <w:rFonts w:cs="Arial"/>
              </w:rPr>
            </w:pPr>
            <w:r>
              <w:rPr>
                <w:rFonts w:cs="Arial"/>
              </w:rPr>
              <w:t>D (06:00-15:00) bis 19:00 Uhr</w:t>
            </w:r>
          </w:p>
        </w:tc>
        <w:tc>
          <w:tcPr>
            <w:tcW w:w="446" w:type="dxa"/>
            <w:gridSpan w:val="2"/>
            <w:tcBorders>
              <w:top w:val="nil"/>
              <w:left w:val="single" w:sz="4" w:space="0" w:color="auto"/>
              <w:bottom w:val="single" w:sz="4" w:space="0" w:color="auto"/>
              <w:right w:val="single" w:sz="4" w:space="0" w:color="auto"/>
            </w:tcBorders>
            <w:shd w:val="clear" w:color="000000" w:fill="FFFFFF"/>
            <w:textDirection w:val="btLr"/>
            <w:vAlign w:val="center"/>
            <w:hideMark/>
          </w:tcPr>
          <w:p w14:paraId="2B4A62B4" w14:textId="77777777" w:rsidR="00C16393" w:rsidRPr="00557F5D" w:rsidRDefault="00C16393" w:rsidP="003C2438">
            <w:pPr>
              <w:spacing w:after="0"/>
              <w:ind w:left="113" w:right="113"/>
              <w:rPr>
                <w:rFonts w:cs="Arial"/>
              </w:rPr>
            </w:pPr>
            <w:r w:rsidRPr="00557F5D">
              <w:rPr>
                <w:rFonts w:cs="Arial"/>
              </w:rPr>
              <w:t>D</w:t>
            </w:r>
            <w:r>
              <w:rPr>
                <w:rFonts w:cs="Arial"/>
              </w:rPr>
              <w:t>-</w:t>
            </w:r>
            <w:r w:rsidRPr="00557F5D">
              <w:rPr>
                <w:rFonts w:cs="Arial"/>
              </w:rPr>
              <w:t>1 KT</w:t>
            </w:r>
          </w:p>
        </w:tc>
        <w:tc>
          <w:tcPr>
            <w:tcW w:w="446" w:type="dxa"/>
            <w:gridSpan w:val="2"/>
            <w:tcBorders>
              <w:top w:val="single" w:sz="4" w:space="0" w:color="auto"/>
              <w:left w:val="nil"/>
              <w:bottom w:val="single" w:sz="4" w:space="0" w:color="auto"/>
              <w:right w:val="single" w:sz="4" w:space="0" w:color="auto"/>
            </w:tcBorders>
            <w:shd w:val="clear" w:color="000000" w:fill="FFFFFF"/>
            <w:textDirection w:val="btLr"/>
            <w:vAlign w:val="center"/>
            <w:hideMark/>
          </w:tcPr>
          <w:p w14:paraId="5FB95134" w14:textId="77777777" w:rsidR="00C16393" w:rsidRPr="00557F5D" w:rsidRDefault="00C16393" w:rsidP="003C2438">
            <w:pPr>
              <w:spacing w:after="0"/>
              <w:ind w:left="113" w:right="113"/>
              <w:rPr>
                <w:rFonts w:cs="Arial"/>
              </w:rPr>
            </w:pPr>
            <w:r>
              <w:rPr>
                <w:rFonts w:cs="Arial"/>
              </w:rPr>
              <w:t>D+1 KT</w:t>
            </w:r>
          </w:p>
        </w:tc>
        <w:tc>
          <w:tcPr>
            <w:tcW w:w="446" w:type="dxa"/>
            <w:gridSpan w:val="2"/>
            <w:tcBorders>
              <w:top w:val="single" w:sz="8" w:space="0" w:color="auto"/>
              <w:left w:val="single" w:sz="4" w:space="0" w:color="auto"/>
              <w:bottom w:val="single" w:sz="4" w:space="0" w:color="000000"/>
              <w:right w:val="single" w:sz="4" w:space="0" w:color="auto"/>
            </w:tcBorders>
            <w:textDirection w:val="btLr"/>
            <w:vAlign w:val="center"/>
          </w:tcPr>
          <w:p w14:paraId="636D3279" w14:textId="77777777" w:rsidR="00C16393" w:rsidRPr="00557F5D" w:rsidRDefault="00C16393" w:rsidP="003C2438">
            <w:pPr>
              <w:spacing w:after="0"/>
              <w:ind w:left="113" w:right="113"/>
              <w:rPr>
                <w:rFonts w:cs="Arial"/>
              </w:rPr>
            </w:pPr>
            <w:r>
              <w:rPr>
                <w:rFonts w:cs="Arial"/>
              </w:rPr>
              <w:t>D+3 WT Korrektur</w:t>
            </w:r>
          </w:p>
        </w:tc>
        <w:tc>
          <w:tcPr>
            <w:tcW w:w="446" w:type="dxa"/>
            <w:gridSpan w:val="2"/>
            <w:tcBorders>
              <w:top w:val="single" w:sz="8" w:space="0" w:color="auto"/>
              <w:left w:val="single" w:sz="4" w:space="0" w:color="auto"/>
              <w:bottom w:val="single" w:sz="4" w:space="0" w:color="000000"/>
              <w:right w:val="single" w:sz="4" w:space="0" w:color="auto"/>
            </w:tcBorders>
            <w:textDirection w:val="btLr"/>
            <w:vAlign w:val="center"/>
          </w:tcPr>
          <w:p w14:paraId="6F362C16" w14:textId="77777777" w:rsidR="00C16393" w:rsidRPr="00557F5D" w:rsidRDefault="00C16393" w:rsidP="003C2438">
            <w:pPr>
              <w:spacing w:after="0"/>
              <w:ind w:left="113" w:right="113"/>
              <w:rPr>
                <w:rFonts w:cs="Arial"/>
              </w:rPr>
            </w:pPr>
            <w:r>
              <w:rPr>
                <w:rFonts w:cs="Arial"/>
              </w:rPr>
              <w:t>M+14 WT</w:t>
            </w:r>
          </w:p>
        </w:tc>
        <w:tc>
          <w:tcPr>
            <w:tcW w:w="446" w:type="dxa"/>
            <w:gridSpan w:val="2"/>
            <w:tcBorders>
              <w:top w:val="single" w:sz="8" w:space="0" w:color="auto"/>
              <w:left w:val="single" w:sz="4" w:space="0" w:color="auto"/>
              <w:bottom w:val="single" w:sz="4" w:space="0" w:color="000000"/>
              <w:right w:val="single" w:sz="4" w:space="0" w:color="auto"/>
            </w:tcBorders>
            <w:textDirection w:val="btLr"/>
            <w:vAlign w:val="center"/>
          </w:tcPr>
          <w:p w14:paraId="0C4649EC" w14:textId="77777777" w:rsidR="00C16393" w:rsidRPr="00557F5D" w:rsidRDefault="00C16393" w:rsidP="003C2438">
            <w:pPr>
              <w:spacing w:after="0"/>
              <w:ind w:left="113" w:right="113"/>
              <w:rPr>
                <w:rFonts w:cs="Arial"/>
              </w:rPr>
            </w:pPr>
            <w:r>
              <w:rPr>
                <w:rFonts w:cs="Arial"/>
              </w:rPr>
              <w:t xml:space="preserve">M+15 WT nach </w:t>
            </w:r>
            <w:proofErr w:type="spellStart"/>
            <w:r>
              <w:rPr>
                <w:rFonts w:cs="Arial"/>
              </w:rPr>
              <w:t>effekt</w:t>
            </w:r>
            <w:proofErr w:type="spellEnd"/>
            <w:r>
              <w:rPr>
                <w:rFonts w:cs="Arial"/>
              </w:rPr>
              <w:t>. Änderungen</w:t>
            </w:r>
          </w:p>
        </w:tc>
        <w:tc>
          <w:tcPr>
            <w:tcW w:w="446" w:type="dxa"/>
            <w:gridSpan w:val="2"/>
            <w:tcBorders>
              <w:top w:val="single" w:sz="8" w:space="0" w:color="auto"/>
              <w:left w:val="single" w:sz="4" w:space="0" w:color="auto"/>
              <w:bottom w:val="single" w:sz="4" w:space="0" w:color="000000"/>
              <w:right w:val="single" w:sz="4" w:space="0" w:color="auto"/>
            </w:tcBorders>
            <w:textDirection w:val="btLr"/>
            <w:vAlign w:val="center"/>
          </w:tcPr>
          <w:p w14:paraId="7F8E9502" w14:textId="77777777" w:rsidR="00C16393" w:rsidRDefault="00C16393" w:rsidP="003C2438">
            <w:pPr>
              <w:spacing w:after="0"/>
              <w:ind w:left="113" w:right="113"/>
              <w:rPr>
                <w:rFonts w:cs="Arial"/>
              </w:rPr>
            </w:pPr>
            <w:r>
              <w:rPr>
                <w:rFonts w:cs="Arial"/>
              </w:rPr>
              <w:t>BP+2</w:t>
            </w:r>
            <w:r w:rsidRPr="003E61FC">
              <w:rPr>
                <w:rFonts w:cs="Arial"/>
              </w:rPr>
              <w:t>M</w:t>
            </w:r>
            <w:r>
              <w:rPr>
                <w:rFonts w:cs="Arial"/>
              </w:rPr>
              <w:t>-4</w:t>
            </w:r>
            <w:r w:rsidRPr="003E61FC">
              <w:rPr>
                <w:rFonts w:cs="Arial"/>
              </w:rPr>
              <w:t xml:space="preserve"> WT</w:t>
            </w:r>
          </w:p>
        </w:tc>
        <w:tc>
          <w:tcPr>
            <w:tcW w:w="446" w:type="dxa"/>
            <w:gridSpan w:val="2"/>
            <w:tcBorders>
              <w:top w:val="single" w:sz="8" w:space="0" w:color="auto"/>
              <w:left w:val="single" w:sz="4" w:space="0" w:color="auto"/>
              <w:bottom w:val="single" w:sz="4" w:space="0" w:color="000000"/>
              <w:right w:val="single" w:sz="4" w:space="0" w:color="auto"/>
            </w:tcBorders>
            <w:textDirection w:val="btLr"/>
            <w:vAlign w:val="center"/>
          </w:tcPr>
          <w:p w14:paraId="1BF7695C" w14:textId="77777777" w:rsidR="00C16393" w:rsidRDefault="00C16393" w:rsidP="003C2438">
            <w:pPr>
              <w:spacing w:after="0"/>
              <w:ind w:left="113" w:right="113"/>
              <w:rPr>
                <w:rFonts w:cs="Arial"/>
              </w:rPr>
            </w:pPr>
            <w:r>
              <w:rPr>
                <w:rFonts w:cs="Arial"/>
              </w:rPr>
              <w:t>BP+2</w:t>
            </w:r>
            <w:r w:rsidRPr="003E61FC">
              <w:rPr>
                <w:rFonts w:cs="Arial"/>
              </w:rPr>
              <w:t>M</w:t>
            </w:r>
            <w:r>
              <w:rPr>
                <w:rFonts w:cs="Arial"/>
              </w:rPr>
              <w:t>+17</w:t>
            </w:r>
            <w:r w:rsidRPr="003E61FC">
              <w:rPr>
                <w:rFonts w:cs="Arial"/>
              </w:rPr>
              <w:t xml:space="preserve"> WT</w:t>
            </w:r>
          </w:p>
        </w:tc>
        <w:tc>
          <w:tcPr>
            <w:tcW w:w="446" w:type="dxa"/>
            <w:gridSpan w:val="2"/>
            <w:vMerge/>
            <w:tcBorders>
              <w:left w:val="single" w:sz="4" w:space="0" w:color="auto"/>
              <w:bottom w:val="single" w:sz="4" w:space="0" w:color="000000"/>
              <w:right w:val="single" w:sz="4" w:space="0" w:color="auto"/>
            </w:tcBorders>
            <w:textDirection w:val="btLr"/>
            <w:vAlign w:val="center"/>
          </w:tcPr>
          <w:p w14:paraId="7D91BD2B" w14:textId="77777777" w:rsidR="00C16393" w:rsidRPr="00557F5D" w:rsidRDefault="00C16393" w:rsidP="003C2438">
            <w:pPr>
              <w:spacing w:after="0"/>
              <w:ind w:left="113" w:right="113"/>
              <w:rPr>
                <w:rFonts w:cs="Arial"/>
              </w:rPr>
            </w:pPr>
          </w:p>
        </w:tc>
        <w:tc>
          <w:tcPr>
            <w:tcW w:w="446" w:type="dxa"/>
            <w:gridSpan w:val="2"/>
            <w:vMerge/>
            <w:tcBorders>
              <w:left w:val="single" w:sz="4" w:space="0" w:color="auto"/>
              <w:bottom w:val="single" w:sz="4" w:space="0" w:color="000000"/>
              <w:right w:val="single" w:sz="4" w:space="0" w:color="auto"/>
            </w:tcBorders>
            <w:shd w:val="clear" w:color="000000" w:fill="FFFFFF"/>
            <w:textDirection w:val="btLr"/>
            <w:vAlign w:val="center"/>
          </w:tcPr>
          <w:p w14:paraId="5B131727" w14:textId="77777777" w:rsidR="00C16393" w:rsidRPr="00557F5D" w:rsidRDefault="00C16393" w:rsidP="003C2438">
            <w:pPr>
              <w:spacing w:after="0"/>
              <w:ind w:left="113" w:right="113"/>
              <w:rPr>
                <w:rFonts w:cs="Arial"/>
              </w:rPr>
            </w:pPr>
          </w:p>
        </w:tc>
        <w:tc>
          <w:tcPr>
            <w:tcW w:w="446" w:type="dxa"/>
            <w:gridSpan w:val="2"/>
            <w:vMerge/>
            <w:tcBorders>
              <w:left w:val="single" w:sz="4" w:space="0" w:color="auto"/>
              <w:bottom w:val="single" w:sz="4" w:space="0" w:color="000000"/>
              <w:right w:val="single" w:sz="4" w:space="0" w:color="auto"/>
            </w:tcBorders>
            <w:shd w:val="clear" w:color="000000" w:fill="FFFFFF"/>
            <w:textDirection w:val="btLr"/>
            <w:vAlign w:val="center"/>
            <w:hideMark/>
          </w:tcPr>
          <w:p w14:paraId="066C08D1" w14:textId="77777777" w:rsidR="00C16393" w:rsidRPr="00557F5D" w:rsidRDefault="00C16393" w:rsidP="003C2438">
            <w:pPr>
              <w:spacing w:after="0"/>
              <w:ind w:left="113" w:right="113"/>
              <w:rPr>
                <w:rFonts w:cs="Arial"/>
              </w:rPr>
            </w:pPr>
          </w:p>
        </w:tc>
        <w:tc>
          <w:tcPr>
            <w:tcW w:w="446" w:type="dxa"/>
            <w:gridSpan w:val="2"/>
            <w:vMerge/>
            <w:tcBorders>
              <w:left w:val="single" w:sz="4" w:space="0" w:color="auto"/>
              <w:bottom w:val="single" w:sz="4" w:space="0" w:color="000000"/>
              <w:right w:val="single" w:sz="4" w:space="0" w:color="auto"/>
            </w:tcBorders>
            <w:shd w:val="clear" w:color="000000" w:fill="FFFFFF"/>
            <w:textDirection w:val="btLr"/>
            <w:vAlign w:val="center"/>
            <w:hideMark/>
          </w:tcPr>
          <w:p w14:paraId="799ADEA3" w14:textId="77777777" w:rsidR="00C16393" w:rsidRPr="00037AD6" w:rsidRDefault="00C16393" w:rsidP="003C2438">
            <w:pPr>
              <w:spacing w:after="0"/>
              <w:ind w:left="113" w:right="113"/>
              <w:rPr>
                <w:rFonts w:cs="Arial"/>
              </w:rPr>
            </w:pPr>
          </w:p>
        </w:tc>
        <w:tc>
          <w:tcPr>
            <w:tcW w:w="1179" w:type="dxa"/>
            <w:gridSpan w:val="3"/>
            <w:vMerge/>
            <w:tcBorders>
              <w:left w:val="single" w:sz="4" w:space="0" w:color="auto"/>
              <w:bottom w:val="single" w:sz="4" w:space="0" w:color="000000"/>
              <w:right w:val="single" w:sz="8" w:space="0" w:color="auto"/>
            </w:tcBorders>
            <w:shd w:val="clear" w:color="000000" w:fill="FFFFFF"/>
            <w:vAlign w:val="center"/>
            <w:hideMark/>
          </w:tcPr>
          <w:p w14:paraId="455C1391" w14:textId="77777777" w:rsidR="00E157A6" w:rsidRDefault="00E157A6" w:rsidP="003C2438">
            <w:pPr>
              <w:spacing w:after="0"/>
              <w:jc w:val="center"/>
              <w:rPr>
                <w:rFonts w:cs="Arial"/>
              </w:rPr>
            </w:pPr>
          </w:p>
        </w:tc>
      </w:tr>
      <w:tr w:rsidR="00B01A1E" w:rsidRPr="00557F5D" w14:paraId="1735CDAD"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hideMark/>
          </w:tcPr>
          <w:p w14:paraId="35DA7E8A" w14:textId="77777777" w:rsidR="00C16393" w:rsidRPr="00557F5D" w:rsidRDefault="00C16393" w:rsidP="003C2438">
            <w:pPr>
              <w:spacing w:after="0"/>
              <w:rPr>
                <w:rFonts w:cs="Arial"/>
              </w:rPr>
            </w:pPr>
            <w:r>
              <w:rPr>
                <w:rFonts w:cs="Arial"/>
              </w:rPr>
              <w:t>1</w:t>
            </w:r>
          </w:p>
        </w:tc>
        <w:tc>
          <w:tcPr>
            <w:tcW w:w="2022" w:type="dxa"/>
            <w:gridSpan w:val="2"/>
            <w:tcBorders>
              <w:top w:val="nil"/>
              <w:left w:val="nil"/>
              <w:bottom w:val="single" w:sz="4" w:space="0" w:color="auto"/>
              <w:right w:val="nil"/>
            </w:tcBorders>
            <w:shd w:val="clear" w:color="000000" w:fill="FFFFFF"/>
            <w:vAlign w:val="center"/>
            <w:hideMark/>
          </w:tcPr>
          <w:p w14:paraId="1A353EFD" w14:textId="77777777" w:rsidR="00C16393" w:rsidRPr="00557F5D" w:rsidRDefault="00C16393" w:rsidP="003C2438">
            <w:pPr>
              <w:spacing w:after="0"/>
              <w:rPr>
                <w:rFonts w:cs="Arial"/>
              </w:rPr>
            </w:pPr>
            <w:proofErr w:type="spellStart"/>
            <w:r w:rsidRPr="00557F5D">
              <w:rPr>
                <w:rFonts w:cs="Arial"/>
              </w:rPr>
              <w:t>Entryso</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07BE34FF"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2703E03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ABEA0E9"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5E2FE42F"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E51BB3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088D6AB"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CA0514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D5B3E54"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072EA11"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38A67F0"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FC2534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D00C21F" w14:textId="77777777" w:rsidR="00C16393" w:rsidRPr="00557F5D" w:rsidRDefault="004637D5"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5124137A" w14:textId="77777777" w:rsidR="00C16393" w:rsidRPr="00037AD6"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700BFEAB" w14:textId="77777777" w:rsidR="00C16393" w:rsidRPr="00557F5D" w:rsidRDefault="00C16393" w:rsidP="003C2438">
            <w:pPr>
              <w:spacing w:after="0"/>
              <w:jc w:val="center"/>
              <w:rPr>
                <w:rFonts w:cs="Arial"/>
              </w:rPr>
            </w:pPr>
            <w:r w:rsidRPr="00557F5D">
              <w:rPr>
                <w:rFonts w:cs="Arial"/>
              </w:rPr>
              <w:t>ALOCAT</w:t>
            </w:r>
          </w:p>
        </w:tc>
      </w:tr>
      <w:tr w:rsidR="00B01A1E" w:rsidRPr="00557F5D" w14:paraId="5402ECEE"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hideMark/>
          </w:tcPr>
          <w:p w14:paraId="06201A87" w14:textId="77777777" w:rsidR="00C16393" w:rsidRPr="00557F5D" w:rsidRDefault="00C16393" w:rsidP="003C2438">
            <w:pPr>
              <w:spacing w:after="0"/>
              <w:rPr>
                <w:rFonts w:cs="Arial"/>
              </w:rPr>
            </w:pPr>
            <w:r>
              <w:rPr>
                <w:rFonts w:cs="Arial"/>
              </w:rPr>
              <w:t>3</w:t>
            </w:r>
          </w:p>
        </w:tc>
        <w:tc>
          <w:tcPr>
            <w:tcW w:w="2022" w:type="dxa"/>
            <w:gridSpan w:val="2"/>
            <w:tcBorders>
              <w:top w:val="nil"/>
              <w:left w:val="nil"/>
              <w:bottom w:val="single" w:sz="4" w:space="0" w:color="auto"/>
              <w:right w:val="nil"/>
            </w:tcBorders>
            <w:shd w:val="clear" w:color="000000" w:fill="FFFFFF"/>
            <w:vAlign w:val="center"/>
            <w:hideMark/>
          </w:tcPr>
          <w:p w14:paraId="18A654C2" w14:textId="77777777" w:rsidR="00C16393" w:rsidRPr="00557F5D" w:rsidRDefault="00C16393" w:rsidP="003C2438">
            <w:pPr>
              <w:spacing w:after="0"/>
              <w:rPr>
                <w:rFonts w:cs="Arial"/>
              </w:rPr>
            </w:pPr>
            <w:r w:rsidRPr="00557F5D">
              <w:rPr>
                <w:rFonts w:cs="Arial"/>
              </w:rPr>
              <w:t xml:space="preserve">Entry </w:t>
            </w:r>
            <w:r>
              <w:rPr>
                <w:rFonts w:cs="Arial"/>
              </w:rPr>
              <w:t>VHP</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400E544B"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00C49578"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0A6D65E"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6B7A8959"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6F3FF5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996E93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D7EE46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80D77C5"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7B8A26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13BEB9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2CAD2D4"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070554"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1A643A17"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12153E47" w14:textId="77777777" w:rsidR="00C16393" w:rsidRPr="00557F5D" w:rsidRDefault="00C16393" w:rsidP="003C2438">
            <w:pPr>
              <w:spacing w:after="0"/>
              <w:jc w:val="center"/>
              <w:rPr>
                <w:rFonts w:cs="Arial"/>
              </w:rPr>
            </w:pPr>
            <w:r w:rsidRPr="00557F5D">
              <w:rPr>
                <w:rFonts w:cs="Arial"/>
              </w:rPr>
              <w:t>ALOCAT</w:t>
            </w:r>
          </w:p>
        </w:tc>
      </w:tr>
      <w:tr w:rsidR="00B01A1E" w:rsidRPr="00557F5D" w14:paraId="20A0AE0C"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hideMark/>
          </w:tcPr>
          <w:p w14:paraId="0F4836B6" w14:textId="77777777" w:rsidR="00C16393" w:rsidRPr="00557F5D" w:rsidRDefault="00C16393" w:rsidP="003C2438">
            <w:pPr>
              <w:spacing w:after="0"/>
              <w:rPr>
                <w:rFonts w:cs="Arial"/>
              </w:rPr>
            </w:pPr>
            <w:r>
              <w:rPr>
                <w:rFonts w:cs="Arial"/>
              </w:rPr>
              <w:t>4</w:t>
            </w:r>
          </w:p>
        </w:tc>
        <w:tc>
          <w:tcPr>
            <w:tcW w:w="2022" w:type="dxa"/>
            <w:gridSpan w:val="2"/>
            <w:tcBorders>
              <w:top w:val="nil"/>
              <w:left w:val="nil"/>
              <w:bottom w:val="single" w:sz="4" w:space="0" w:color="auto"/>
              <w:right w:val="nil"/>
            </w:tcBorders>
            <w:shd w:val="clear" w:color="000000" w:fill="FFFFFF"/>
            <w:vAlign w:val="center"/>
            <w:hideMark/>
          </w:tcPr>
          <w:p w14:paraId="6067AC32" w14:textId="77777777" w:rsidR="00C16393" w:rsidRPr="00557F5D" w:rsidRDefault="00C16393" w:rsidP="003C2438">
            <w:pPr>
              <w:spacing w:after="0"/>
              <w:rPr>
                <w:rFonts w:cs="Arial"/>
              </w:rPr>
            </w:pPr>
            <w:r w:rsidRPr="00557F5D">
              <w:rPr>
                <w:rFonts w:cs="Arial"/>
              </w:rPr>
              <w:t>Entry Biogas</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0445F054"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0A218B2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3E41954"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20AC9445"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7C0CBF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A5EC090"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00E46B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EBC356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55A40A2"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26E6A8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0F8C70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2F85487" w14:textId="77777777" w:rsidR="00C16393" w:rsidRPr="00557F5D" w:rsidRDefault="004637D5"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4BCF889F"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73B923D6" w14:textId="77777777" w:rsidR="00C16393" w:rsidRPr="00557F5D" w:rsidRDefault="00C16393" w:rsidP="003C2438">
            <w:pPr>
              <w:spacing w:after="0"/>
              <w:jc w:val="center"/>
              <w:rPr>
                <w:rFonts w:cs="Arial"/>
              </w:rPr>
            </w:pPr>
            <w:r w:rsidRPr="00557F5D">
              <w:rPr>
                <w:rFonts w:cs="Arial"/>
              </w:rPr>
              <w:t>ALOCAT</w:t>
            </w:r>
          </w:p>
        </w:tc>
      </w:tr>
      <w:tr w:rsidR="00B01A1E" w:rsidRPr="00557F5D" w14:paraId="0F690919"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hideMark/>
          </w:tcPr>
          <w:p w14:paraId="4F41CC03" w14:textId="77777777" w:rsidR="00C16393" w:rsidRPr="00557F5D" w:rsidRDefault="00C16393" w:rsidP="003C2438">
            <w:pPr>
              <w:spacing w:after="0"/>
              <w:rPr>
                <w:rFonts w:cs="Arial"/>
              </w:rPr>
            </w:pPr>
            <w:r>
              <w:rPr>
                <w:rFonts w:cs="Arial"/>
              </w:rPr>
              <w:t>5</w:t>
            </w:r>
          </w:p>
        </w:tc>
        <w:tc>
          <w:tcPr>
            <w:tcW w:w="2022" w:type="dxa"/>
            <w:gridSpan w:val="2"/>
            <w:tcBorders>
              <w:top w:val="nil"/>
              <w:left w:val="nil"/>
              <w:bottom w:val="single" w:sz="4" w:space="0" w:color="auto"/>
              <w:right w:val="nil"/>
            </w:tcBorders>
            <w:shd w:val="clear" w:color="000000" w:fill="FFFFFF"/>
            <w:vAlign w:val="center"/>
            <w:hideMark/>
          </w:tcPr>
          <w:p w14:paraId="2A3C7E23" w14:textId="77777777" w:rsidR="00C16393" w:rsidRPr="00557F5D" w:rsidRDefault="00C16393" w:rsidP="003C2438">
            <w:pPr>
              <w:spacing w:after="0"/>
              <w:rPr>
                <w:rFonts w:cs="Arial"/>
              </w:rPr>
            </w:pPr>
            <w:r w:rsidRPr="00557F5D">
              <w:rPr>
                <w:rFonts w:cs="Arial"/>
              </w:rPr>
              <w:t xml:space="preserve">Entry Wasserstoff </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6DBFBF88"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7023B4C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4DBE1A2"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226BD081"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D2AB7B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AD77D18"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7E6B46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8A27242"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B062E56"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72C6359"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CEC197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8998C52" w14:textId="77777777" w:rsidR="00C16393" w:rsidRPr="00557F5D" w:rsidRDefault="004637D5"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15A9186F"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131B0A5B" w14:textId="77777777" w:rsidR="00C16393" w:rsidRPr="00557F5D" w:rsidRDefault="00C16393" w:rsidP="003C2438">
            <w:pPr>
              <w:spacing w:after="0"/>
              <w:jc w:val="center"/>
              <w:rPr>
                <w:rFonts w:cs="Arial"/>
              </w:rPr>
            </w:pPr>
            <w:r w:rsidRPr="00557F5D">
              <w:rPr>
                <w:rFonts w:cs="Arial"/>
              </w:rPr>
              <w:t>ALOCAT</w:t>
            </w:r>
          </w:p>
        </w:tc>
      </w:tr>
      <w:tr w:rsidR="003649D1" w:rsidRPr="00557F5D" w14:paraId="63D5CA13"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tcPr>
          <w:p w14:paraId="4B8EB4DC" w14:textId="77777777" w:rsidR="00C16393" w:rsidRDefault="00C16393" w:rsidP="003C2438">
            <w:pPr>
              <w:spacing w:after="0"/>
              <w:rPr>
                <w:rFonts w:cs="Arial"/>
              </w:rPr>
            </w:pPr>
            <w:r>
              <w:rPr>
                <w:rFonts w:cs="Arial"/>
              </w:rPr>
              <w:t>7</w:t>
            </w:r>
          </w:p>
        </w:tc>
        <w:tc>
          <w:tcPr>
            <w:tcW w:w="2022" w:type="dxa"/>
            <w:gridSpan w:val="2"/>
            <w:tcBorders>
              <w:top w:val="nil"/>
              <w:left w:val="nil"/>
              <w:bottom w:val="single" w:sz="4" w:space="0" w:color="auto"/>
              <w:right w:val="nil"/>
            </w:tcBorders>
            <w:shd w:val="clear" w:color="000000" w:fill="FFFFFF"/>
            <w:vAlign w:val="center"/>
          </w:tcPr>
          <w:p w14:paraId="3CBD3F47" w14:textId="77777777" w:rsidR="00C16393" w:rsidRPr="00557F5D" w:rsidRDefault="00C16393" w:rsidP="003C2438">
            <w:pPr>
              <w:spacing w:after="0"/>
              <w:rPr>
                <w:rFonts w:cs="Arial"/>
              </w:rPr>
            </w:pPr>
            <w:proofErr w:type="spellStart"/>
            <w:r>
              <w:rPr>
                <w:rFonts w:cs="Arial"/>
              </w:rPr>
              <w:t>Exitso</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3315B16"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57804218"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6E746A28"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03197FC3"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4471FC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79BCBA6"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EE0776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451D914"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3019754"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F173ACC"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937705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4EDC7C7C"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7BA08F90"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59B08471" w14:textId="77777777" w:rsidR="00C16393" w:rsidRPr="00557F5D" w:rsidRDefault="00C16393" w:rsidP="003C2438">
            <w:pPr>
              <w:spacing w:after="0"/>
              <w:jc w:val="center"/>
              <w:rPr>
                <w:rFonts w:cs="Arial"/>
              </w:rPr>
            </w:pPr>
            <w:r>
              <w:rPr>
                <w:rFonts w:cs="Arial"/>
              </w:rPr>
              <w:t>ALOCAT</w:t>
            </w:r>
          </w:p>
        </w:tc>
      </w:tr>
      <w:tr w:rsidR="008D0A18" w:rsidRPr="00557F5D" w14:paraId="0C3C9F34"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tcPr>
          <w:p w14:paraId="74219250" w14:textId="0CB44351" w:rsidR="008D0A18" w:rsidRDefault="008D0A18" w:rsidP="003C2438">
            <w:pPr>
              <w:spacing w:after="0"/>
              <w:rPr>
                <w:rFonts w:cs="Arial"/>
              </w:rPr>
            </w:pPr>
            <w:r>
              <w:rPr>
                <w:rFonts w:cs="Arial"/>
              </w:rPr>
              <w:lastRenderedPageBreak/>
              <w:t>8</w:t>
            </w:r>
          </w:p>
        </w:tc>
        <w:tc>
          <w:tcPr>
            <w:tcW w:w="2022" w:type="dxa"/>
            <w:gridSpan w:val="2"/>
            <w:tcBorders>
              <w:top w:val="nil"/>
              <w:left w:val="nil"/>
              <w:bottom w:val="single" w:sz="4" w:space="0" w:color="auto"/>
              <w:right w:val="nil"/>
            </w:tcBorders>
            <w:shd w:val="clear" w:color="000000" w:fill="FFFFFF"/>
            <w:vAlign w:val="center"/>
          </w:tcPr>
          <w:p w14:paraId="46F6EA58" w14:textId="62EABF12" w:rsidR="008D0A18" w:rsidRDefault="008D0A18" w:rsidP="003C2438">
            <w:pPr>
              <w:spacing w:after="0"/>
              <w:rPr>
                <w:rFonts w:cs="Arial"/>
              </w:rPr>
            </w:pPr>
            <w:proofErr w:type="spellStart"/>
            <w:r>
              <w:rPr>
                <w:rFonts w:cs="Arial"/>
              </w:rPr>
              <w:t>ExitSP</w:t>
            </w:r>
            <w:proofErr w:type="spellEnd"/>
            <w:r w:rsidR="00B257F4">
              <w:rPr>
                <w:rStyle w:val="Funotenzeichen"/>
                <w:rFonts w:cs="Arial"/>
              </w:rPr>
              <w:footnoteReference w:id="5"/>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988FF60" w14:textId="77777777" w:rsidR="008D0A18" w:rsidRPr="00557F5D" w:rsidRDefault="008D0A18"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67B9AB56" w14:textId="77777777" w:rsidR="008D0A18" w:rsidRPr="00557F5D"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58EEFB8D" w14:textId="77777777" w:rsidR="008D0A18" w:rsidRPr="00557F5D" w:rsidRDefault="008D0A18"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63352CFB" w14:textId="3016A6AA" w:rsidR="008D0A18" w:rsidRDefault="008D0A18"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A0B9472" w14:textId="77777777" w:rsidR="008D0A18" w:rsidRPr="00557F5D"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94A852B" w14:textId="7937649A" w:rsidR="008D0A18" w:rsidRDefault="008D0A18"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AE3C5D2" w14:textId="77777777" w:rsidR="008D0A18" w:rsidRPr="00557F5D"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F28E53A" w14:textId="77777777" w:rsidR="008D0A18"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EEEB709" w14:textId="77777777" w:rsidR="008D0A18"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6F0D3B9" w14:textId="10ED1F19" w:rsidR="008D0A18" w:rsidRDefault="008D0A18"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FF738FF" w14:textId="77777777" w:rsidR="008D0A18" w:rsidRPr="00557F5D" w:rsidRDefault="008D0A18"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7A5271D7" w14:textId="77777777" w:rsidR="008D0A18" w:rsidRPr="00557F5D" w:rsidRDefault="008D0A18"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47E631D4" w14:textId="77777777" w:rsidR="008D0A18" w:rsidRPr="00557F5D" w:rsidRDefault="008D0A18"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65125B12" w14:textId="487AA6F7" w:rsidR="008D0A18" w:rsidRDefault="008D0A18" w:rsidP="003C2438">
            <w:pPr>
              <w:spacing w:after="0"/>
              <w:jc w:val="center"/>
              <w:rPr>
                <w:rFonts w:cs="Arial"/>
              </w:rPr>
            </w:pPr>
            <w:r>
              <w:rPr>
                <w:rFonts w:cs="Arial"/>
              </w:rPr>
              <w:t>ALOCAT</w:t>
            </w:r>
          </w:p>
        </w:tc>
      </w:tr>
      <w:tr w:rsidR="003649D1" w:rsidRPr="00557F5D" w14:paraId="0564CA5F"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vAlign w:val="center"/>
          </w:tcPr>
          <w:p w14:paraId="1BB631BE" w14:textId="3A5CA4D5" w:rsidR="00C16393" w:rsidRDefault="008D0A18" w:rsidP="003C2438">
            <w:pPr>
              <w:spacing w:after="0"/>
              <w:rPr>
                <w:rFonts w:cs="Arial"/>
              </w:rPr>
            </w:pPr>
            <w:r>
              <w:rPr>
                <w:rFonts w:cs="Arial"/>
              </w:rPr>
              <w:t>9</w:t>
            </w:r>
          </w:p>
        </w:tc>
        <w:tc>
          <w:tcPr>
            <w:tcW w:w="2022" w:type="dxa"/>
            <w:gridSpan w:val="2"/>
            <w:tcBorders>
              <w:top w:val="nil"/>
              <w:left w:val="nil"/>
              <w:bottom w:val="single" w:sz="4" w:space="0" w:color="auto"/>
              <w:right w:val="nil"/>
            </w:tcBorders>
            <w:shd w:val="clear" w:color="000000" w:fill="FFFFFF"/>
            <w:vAlign w:val="center"/>
          </w:tcPr>
          <w:p w14:paraId="379EFCA6" w14:textId="77777777" w:rsidR="00C16393" w:rsidRDefault="00C16393" w:rsidP="003C2438">
            <w:pPr>
              <w:spacing w:after="0"/>
              <w:rPr>
                <w:rFonts w:cs="Arial"/>
              </w:rPr>
            </w:pPr>
            <w:r>
              <w:rPr>
                <w:rFonts w:cs="Arial"/>
              </w:rPr>
              <w:t>Exit VHP</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94F2FBD"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1DE751C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4E39439E"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05E3D5B3"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089EA94"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5F8EC3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98B83A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847616F"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571B424"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618BA99"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DBB3A4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32B68BB5"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201A6C28"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30B4065C" w14:textId="77777777" w:rsidR="00C16393" w:rsidRDefault="00C16393" w:rsidP="003C2438">
            <w:pPr>
              <w:spacing w:after="0"/>
              <w:jc w:val="center"/>
              <w:rPr>
                <w:rFonts w:cs="Arial"/>
              </w:rPr>
            </w:pPr>
            <w:r>
              <w:rPr>
                <w:rFonts w:cs="Arial"/>
              </w:rPr>
              <w:t>ALOCAT</w:t>
            </w:r>
          </w:p>
        </w:tc>
      </w:tr>
      <w:tr w:rsidR="003649D1" w:rsidRPr="00557F5D" w14:paraId="21A8E69C" w14:textId="77777777" w:rsidTr="00C20542">
        <w:trPr>
          <w:cantSplit/>
          <w:trHeight w:val="255"/>
          <w:jc w:val="center"/>
        </w:trPr>
        <w:tc>
          <w:tcPr>
            <w:tcW w:w="446" w:type="dxa"/>
            <w:vMerge w:val="restart"/>
            <w:tcBorders>
              <w:top w:val="nil"/>
              <w:left w:val="single" w:sz="8" w:space="0" w:color="auto"/>
              <w:right w:val="single" w:sz="4" w:space="0" w:color="auto"/>
            </w:tcBorders>
            <w:shd w:val="clear" w:color="000000" w:fill="FFFFFF"/>
            <w:vAlign w:val="center"/>
            <w:hideMark/>
          </w:tcPr>
          <w:p w14:paraId="06B454EA" w14:textId="0F2C42BE" w:rsidR="00C16393" w:rsidRPr="00557F5D" w:rsidRDefault="008D0A18" w:rsidP="003C2438">
            <w:pPr>
              <w:spacing w:after="0"/>
              <w:rPr>
                <w:rFonts w:cs="Arial"/>
              </w:rPr>
            </w:pPr>
            <w:r>
              <w:rPr>
                <w:rFonts w:cs="Arial"/>
              </w:rPr>
              <w:t>10</w:t>
            </w:r>
          </w:p>
        </w:tc>
        <w:tc>
          <w:tcPr>
            <w:tcW w:w="2022" w:type="dxa"/>
            <w:gridSpan w:val="2"/>
            <w:tcBorders>
              <w:top w:val="nil"/>
              <w:left w:val="nil"/>
              <w:bottom w:val="single" w:sz="4" w:space="0" w:color="auto"/>
              <w:right w:val="nil"/>
            </w:tcBorders>
            <w:shd w:val="clear" w:color="000000" w:fill="FFFFFF"/>
            <w:vAlign w:val="center"/>
            <w:hideMark/>
          </w:tcPr>
          <w:p w14:paraId="4F2A438A" w14:textId="77777777" w:rsidR="00C16393" w:rsidRPr="00557F5D" w:rsidRDefault="00C16393" w:rsidP="003C2438">
            <w:pPr>
              <w:spacing w:after="0"/>
              <w:rPr>
                <w:rFonts w:cs="Arial"/>
              </w:rPr>
            </w:pPr>
            <w:proofErr w:type="spellStart"/>
            <w:r w:rsidRPr="00557F5D">
              <w:rPr>
                <w:rFonts w:cs="Arial"/>
              </w:rPr>
              <w:t>RLM</w:t>
            </w:r>
            <w:r>
              <w:rPr>
                <w:rFonts w:cs="Arial"/>
              </w:rPr>
              <w:t>m</w:t>
            </w:r>
            <w:r w:rsidRPr="00557F5D">
              <w:rPr>
                <w:rFonts w:cs="Arial"/>
              </w:rPr>
              <w:t>T</w:t>
            </w:r>
            <w:proofErr w:type="spellEnd"/>
            <w:r>
              <w:rPr>
                <w:rFonts w:cs="Arial"/>
              </w:rPr>
              <w:t xml:space="preserve"> </w:t>
            </w:r>
            <w:r w:rsidRPr="00044A94">
              <w:rPr>
                <w:rFonts w:cs="Arial"/>
                <w:sz w:val="20"/>
              </w:rPr>
              <w:t>(B</w:t>
            </w:r>
            <w:r>
              <w:rPr>
                <w:rFonts w:cs="Arial"/>
                <w:sz w:val="20"/>
              </w:rPr>
              <w:t>BW</w:t>
            </w:r>
            <w:r w:rsidRPr="00044A94">
              <w:rPr>
                <w:rFonts w:cs="Arial"/>
                <w:sz w:val="20"/>
              </w:rPr>
              <w:t>)</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236DD742"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vAlign w:val="center"/>
          </w:tcPr>
          <w:p w14:paraId="47E7B57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F28D8A4"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7D0BD99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AA6DFF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EEB5228"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4BBCEA8"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3F3BBE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87C6196"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6B89B12"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321EABD"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7372F66" w14:textId="77777777" w:rsidR="00C16393" w:rsidRPr="00557F5D" w:rsidRDefault="00C16393" w:rsidP="003C2438">
            <w:pPr>
              <w:spacing w:after="0"/>
              <w:jc w:val="center"/>
              <w:rPr>
                <w:rFonts w:cs="Arial"/>
              </w:rPr>
            </w:pPr>
          </w:p>
        </w:tc>
        <w:tc>
          <w:tcPr>
            <w:tcW w:w="446" w:type="dxa"/>
            <w:gridSpan w:val="2"/>
            <w:vMerge w:val="restart"/>
            <w:tcBorders>
              <w:top w:val="nil"/>
              <w:left w:val="nil"/>
              <w:right w:val="single" w:sz="4" w:space="0" w:color="auto"/>
            </w:tcBorders>
            <w:shd w:val="clear" w:color="000000" w:fill="FFFFFF"/>
            <w:noWrap/>
            <w:vAlign w:val="center"/>
            <w:hideMark/>
          </w:tcPr>
          <w:p w14:paraId="7B22349E" w14:textId="77777777" w:rsidR="00C16393" w:rsidRPr="00557F5D" w:rsidRDefault="009A2A71" w:rsidP="003C2438">
            <w:pPr>
              <w:spacing w:after="0"/>
              <w:jc w:val="center"/>
              <w:rPr>
                <w:rFonts w:cs="Arial"/>
              </w:rPr>
            </w:pPr>
            <w:r w:rsidRPr="009D7005">
              <w:rPr>
                <w:rFonts w:cs="Arial"/>
              </w:rPr>
              <w:t>x</w:t>
            </w: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6A49860F" w14:textId="77777777" w:rsidR="00C16393" w:rsidRPr="00557F5D" w:rsidRDefault="00C16393" w:rsidP="003C2438">
            <w:pPr>
              <w:spacing w:after="0"/>
              <w:jc w:val="center"/>
              <w:rPr>
                <w:rFonts w:cs="Arial"/>
              </w:rPr>
            </w:pPr>
            <w:r w:rsidRPr="00557F5D">
              <w:rPr>
                <w:rFonts w:cs="Arial"/>
              </w:rPr>
              <w:t>ALOCAT</w:t>
            </w:r>
          </w:p>
        </w:tc>
      </w:tr>
      <w:tr w:rsidR="003649D1" w:rsidRPr="00557F5D" w14:paraId="7F2903BB" w14:textId="77777777" w:rsidTr="00C20542">
        <w:trPr>
          <w:cantSplit/>
          <w:trHeight w:val="255"/>
          <w:jc w:val="center"/>
        </w:trPr>
        <w:tc>
          <w:tcPr>
            <w:tcW w:w="446" w:type="dxa"/>
            <w:vMerge/>
            <w:tcBorders>
              <w:left w:val="single" w:sz="8" w:space="0" w:color="auto"/>
              <w:bottom w:val="single" w:sz="4" w:space="0" w:color="auto"/>
              <w:right w:val="single" w:sz="4" w:space="0" w:color="auto"/>
            </w:tcBorders>
            <w:shd w:val="clear" w:color="000000" w:fill="FFFFFF"/>
            <w:vAlign w:val="center"/>
          </w:tcPr>
          <w:p w14:paraId="67A3BD7F" w14:textId="77777777" w:rsidR="00C16393" w:rsidRDefault="00C16393" w:rsidP="003C2438">
            <w:pPr>
              <w:spacing w:after="0"/>
              <w:rPr>
                <w:rFonts w:cs="Arial"/>
              </w:rPr>
            </w:pPr>
          </w:p>
        </w:tc>
        <w:tc>
          <w:tcPr>
            <w:tcW w:w="2022" w:type="dxa"/>
            <w:gridSpan w:val="2"/>
            <w:tcBorders>
              <w:top w:val="nil"/>
              <w:left w:val="nil"/>
              <w:bottom w:val="single" w:sz="4" w:space="0" w:color="auto"/>
              <w:right w:val="nil"/>
            </w:tcBorders>
            <w:shd w:val="clear" w:color="000000" w:fill="FFFFFF"/>
            <w:vAlign w:val="center"/>
          </w:tcPr>
          <w:p w14:paraId="0FA98E47" w14:textId="77777777" w:rsidR="00C16393" w:rsidRPr="00557F5D" w:rsidRDefault="00C16393" w:rsidP="003C2438">
            <w:pPr>
              <w:spacing w:after="0"/>
              <w:rPr>
                <w:rFonts w:cs="Arial"/>
              </w:rPr>
            </w:pPr>
            <w:proofErr w:type="spellStart"/>
            <w:r>
              <w:rPr>
                <w:rFonts w:cs="Arial"/>
              </w:rPr>
              <w:t>RLMmT</w:t>
            </w:r>
            <w:proofErr w:type="spellEnd"/>
            <w:r>
              <w:rPr>
                <w:rFonts w:cs="Arial"/>
              </w:rPr>
              <w:t xml:space="preserve"> </w:t>
            </w:r>
            <w:r w:rsidRPr="00044A94">
              <w:rPr>
                <w:rFonts w:cs="Arial"/>
                <w:sz w:val="20"/>
              </w:rPr>
              <w:t>(A</w:t>
            </w:r>
            <w:r>
              <w:rPr>
                <w:rFonts w:cs="Arial"/>
                <w:sz w:val="20"/>
              </w:rPr>
              <w:t>BW</w:t>
            </w:r>
            <w:r w:rsidRPr="00044A94">
              <w:rPr>
                <w:rFonts w:cs="Arial"/>
                <w:sz w:val="20"/>
              </w:rPr>
              <w:t>)</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6C3E4CC" w14:textId="77777777" w:rsidR="00C16393"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542D705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6E3C0B7A"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10913EE9"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F27203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B0C11A9"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90E49E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435DDA9"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18585D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A6B9291"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BE2B73F"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139CA090" w14:textId="77777777" w:rsidR="00C16393" w:rsidRDefault="00C16393" w:rsidP="003C2438">
            <w:pPr>
              <w:spacing w:after="0"/>
              <w:jc w:val="center"/>
              <w:rPr>
                <w:rFonts w:cs="Arial"/>
              </w:rPr>
            </w:pPr>
            <w:r>
              <w:rPr>
                <w:rFonts w:cs="Arial"/>
              </w:rPr>
              <w:t>x</w:t>
            </w:r>
          </w:p>
        </w:tc>
        <w:tc>
          <w:tcPr>
            <w:tcW w:w="446" w:type="dxa"/>
            <w:gridSpan w:val="2"/>
            <w:vMerge/>
            <w:tcBorders>
              <w:left w:val="nil"/>
              <w:bottom w:val="single" w:sz="4" w:space="0" w:color="auto"/>
              <w:right w:val="single" w:sz="4" w:space="0" w:color="auto"/>
            </w:tcBorders>
            <w:shd w:val="clear" w:color="000000" w:fill="FFFFFF"/>
            <w:noWrap/>
            <w:vAlign w:val="center"/>
          </w:tcPr>
          <w:p w14:paraId="7AC88262" w14:textId="77777777" w:rsidR="00C16393"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793EF424" w14:textId="77777777" w:rsidR="00C16393" w:rsidRPr="00557F5D" w:rsidRDefault="00C16393" w:rsidP="003C2438">
            <w:pPr>
              <w:spacing w:after="0"/>
              <w:jc w:val="center"/>
              <w:rPr>
                <w:rFonts w:cs="Arial"/>
              </w:rPr>
            </w:pPr>
            <w:r>
              <w:rPr>
                <w:rFonts w:cs="Arial"/>
              </w:rPr>
              <w:t>ALOCAT</w:t>
            </w:r>
          </w:p>
        </w:tc>
      </w:tr>
      <w:tr w:rsidR="003649D1" w:rsidRPr="00557F5D" w14:paraId="481FA39E" w14:textId="77777777" w:rsidTr="00C20542">
        <w:trPr>
          <w:cantSplit/>
          <w:trHeight w:val="255"/>
          <w:jc w:val="center"/>
        </w:trPr>
        <w:tc>
          <w:tcPr>
            <w:tcW w:w="446" w:type="dxa"/>
            <w:vMerge w:val="restart"/>
            <w:tcBorders>
              <w:top w:val="nil"/>
              <w:left w:val="single" w:sz="8" w:space="0" w:color="auto"/>
              <w:right w:val="single" w:sz="4" w:space="0" w:color="auto"/>
            </w:tcBorders>
            <w:shd w:val="clear" w:color="000000" w:fill="FFFFFF"/>
            <w:vAlign w:val="center"/>
            <w:hideMark/>
          </w:tcPr>
          <w:p w14:paraId="63812A79" w14:textId="300931D1" w:rsidR="00C16393" w:rsidRPr="00557F5D" w:rsidRDefault="008D0A18" w:rsidP="003C2438">
            <w:pPr>
              <w:spacing w:after="0"/>
              <w:rPr>
                <w:rFonts w:cs="Arial"/>
              </w:rPr>
            </w:pPr>
            <w:r>
              <w:rPr>
                <w:rFonts w:cs="Arial"/>
              </w:rPr>
              <w:t>11</w:t>
            </w:r>
          </w:p>
        </w:tc>
        <w:tc>
          <w:tcPr>
            <w:tcW w:w="2022" w:type="dxa"/>
            <w:gridSpan w:val="2"/>
            <w:tcBorders>
              <w:top w:val="nil"/>
              <w:left w:val="nil"/>
              <w:bottom w:val="single" w:sz="4" w:space="0" w:color="auto"/>
              <w:right w:val="nil"/>
            </w:tcBorders>
            <w:shd w:val="clear" w:color="000000" w:fill="FFFFFF"/>
            <w:vAlign w:val="center"/>
            <w:hideMark/>
          </w:tcPr>
          <w:p w14:paraId="6D474270" w14:textId="77777777" w:rsidR="00C16393" w:rsidRPr="00557F5D" w:rsidRDefault="00C16393" w:rsidP="003C2438">
            <w:pPr>
              <w:spacing w:after="0"/>
              <w:rPr>
                <w:rFonts w:cs="Arial"/>
              </w:rPr>
            </w:pPr>
            <w:proofErr w:type="spellStart"/>
            <w:r w:rsidRPr="00557F5D">
              <w:rPr>
                <w:rFonts w:cs="Arial"/>
              </w:rPr>
              <w:t>RLM</w:t>
            </w:r>
            <w:r>
              <w:rPr>
                <w:rFonts w:cs="Arial"/>
              </w:rPr>
              <w:t>o</w:t>
            </w:r>
            <w:r w:rsidRPr="00557F5D">
              <w:rPr>
                <w:rFonts w:cs="Arial"/>
              </w:rPr>
              <w:t>T</w:t>
            </w:r>
            <w:proofErr w:type="spellEnd"/>
            <w:r>
              <w:rPr>
                <w:rFonts w:cs="Arial"/>
              </w:rPr>
              <w:t xml:space="preserve"> </w:t>
            </w:r>
            <w:r w:rsidRPr="00044A94">
              <w:rPr>
                <w:rFonts w:cs="Arial"/>
                <w:sz w:val="20"/>
              </w:rPr>
              <w:t>(B</w:t>
            </w:r>
            <w:r>
              <w:rPr>
                <w:rFonts w:cs="Arial"/>
                <w:sz w:val="20"/>
              </w:rPr>
              <w:t>BW</w:t>
            </w:r>
            <w:r w:rsidRPr="00044A94">
              <w:rPr>
                <w:rFonts w:cs="Arial"/>
                <w:sz w:val="20"/>
              </w:rPr>
              <w:t>)</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61CCC4C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vAlign w:val="center"/>
          </w:tcPr>
          <w:p w14:paraId="07A55345"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C783D27"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5BCEFF1F"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F1E2F24"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4033A9E"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AEC7E4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DB4B96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938FE4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A7FD88A"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5A2EB98"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634E84E" w14:textId="77777777" w:rsidR="00C16393" w:rsidRPr="00557F5D" w:rsidRDefault="00C16393" w:rsidP="003C2438">
            <w:pPr>
              <w:spacing w:after="0"/>
              <w:jc w:val="center"/>
              <w:rPr>
                <w:rFonts w:cs="Arial"/>
              </w:rPr>
            </w:pPr>
          </w:p>
        </w:tc>
        <w:tc>
          <w:tcPr>
            <w:tcW w:w="446" w:type="dxa"/>
            <w:gridSpan w:val="2"/>
            <w:vMerge w:val="restart"/>
            <w:tcBorders>
              <w:top w:val="nil"/>
              <w:left w:val="nil"/>
              <w:right w:val="single" w:sz="4" w:space="0" w:color="auto"/>
            </w:tcBorders>
            <w:shd w:val="clear" w:color="000000" w:fill="FFFFFF"/>
            <w:noWrap/>
            <w:vAlign w:val="center"/>
            <w:hideMark/>
          </w:tcPr>
          <w:p w14:paraId="76C0DA1D" w14:textId="77777777" w:rsidR="00C16393" w:rsidRPr="00557F5D" w:rsidRDefault="009A2A71" w:rsidP="003C2438">
            <w:pPr>
              <w:spacing w:after="0"/>
              <w:jc w:val="center"/>
              <w:rPr>
                <w:rFonts w:cs="Arial"/>
              </w:rPr>
            </w:pPr>
            <w:r w:rsidRPr="009D7005">
              <w:rPr>
                <w:rFonts w:cs="Arial"/>
              </w:rPr>
              <w:t>x</w:t>
            </w: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5F7C8C4F" w14:textId="77777777" w:rsidR="00C16393" w:rsidRPr="00557F5D" w:rsidRDefault="00C16393" w:rsidP="003C2438">
            <w:pPr>
              <w:spacing w:after="0"/>
              <w:jc w:val="center"/>
              <w:rPr>
                <w:rFonts w:cs="Arial"/>
              </w:rPr>
            </w:pPr>
            <w:r w:rsidRPr="00557F5D">
              <w:rPr>
                <w:rFonts w:cs="Arial"/>
              </w:rPr>
              <w:t>ALOCAT</w:t>
            </w:r>
          </w:p>
        </w:tc>
      </w:tr>
      <w:tr w:rsidR="003649D1" w:rsidRPr="00557F5D" w14:paraId="0573CD23" w14:textId="77777777" w:rsidTr="00C20542">
        <w:trPr>
          <w:cantSplit/>
          <w:trHeight w:val="255"/>
          <w:jc w:val="center"/>
        </w:trPr>
        <w:tc>
          <w:tcPr>
            <w:tcW w:w="446" w:type="dxa"/>
            <w:vMerge/>
            <w:tcBorders>
              <w:left w:val="single" w:sz="8" w:space="0" w:color="auto"/>
              <w:bottom w:val="single" w:sz="4" w:space="0" w:color="auto"/>
              <w:right w:val="single" w:sz="4" w:space="0" w:color="auto"/>
            </w:tcBorders>
            <w:shd w:val="clear" w:color="000000" w:fill="FFFFFF"/>
          </w:tcPr>
          <w:p w14:paraId="00D4B3FA" w14:textId="77777777" w:rsidR="00C16393" w:rsidRDefault="00C16393" w:rsidP="003C2438">
            <w:pPr>
              <w:spacing w:after="0"/>
              <w:rPr>
                <w:rFonts w:cs="Arial"/>
              </w:rPr>
            </w:pPr>
          </w:p>
        </w:tc>
        <w:tc>
          <w:tcPr>
            <w:tcW w:w="2022" w:type="dxa"/>
            <w:gridSpan w:val="2"/>
            <w:tcBorders>
              <w:top w:val="nil"/>
              <w:left w:val="nil"/>
              <w:bottom w:val="single" w:sz="4" w:space="0" w:color="auto"/>
              <w:right w:val="nil"/>
            </w:tcBorders>
            <w:shd w:val="clear" w:color="000000" w:fill="FFFFFF"/>
            <w:vAlign w:val="center"/>
          </w:tcPr>
          <w:p w14:paraId="7B092D8C" w14:textId="77777777" w:rsidR="00C16393" w:rsidRPr="00557F5D" w:rsidRDefault="00C16393" w:rsidP="003C2438">
            <w:pPr>
              <w:spacing w:after="0"/>
              <w:rPr>
                <w:rFonts w:cs="Arial"/>
              </w:rPr>
            </w:pPr>
            <w:proofErr w:type="spellStart"/>
            <w:r>
              <w:rPr>
                <w:rFonts w:cs="Arial"/>
              </w:rPr>
              <w:t>RLMoT</w:t>
            </w:r>
            <w:proofErr w:type="spellEnd"/>
            <w:r>
              <w:rPr>
                <w:rFonts w:cs="Arial"/>
              </w:rPr>
              <w:t xml:space="preserve"> </w:t>
            </w:r>
            <w:r w:rsidRPr="00044A94">
              <w:rPr>
                <w:rFonts w:cs="Arial"/>
                <w:sz w:val="20"/>
              </w:rPr>
              <w:t>(A</w:t>
            </w:r>
            <w:r>
              <w:rPr>
                <w:rFonts w:cs="Arial"/>
                <w:sz w:val="20"/>
              </w:rPr>
              <w:t>BW</w:t>
            </w:r>
            <w:r w:rsidRPr="00044A94">
              <w:rPr>
                <w:rFonts w:cs="Arial"/>
                <w:sz w:val="20"/>
              </w:rPr>
              <w:t>)</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A2548C0" w14:textId="77777777" w:rsidR="00C16393"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7364BA8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7A559407"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401CC475"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AA99658"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6F97FA4"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CA28FF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379EB52"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745748A"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E94C479"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C4236D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733EAAB2" w14:textId="77777777" w:rsidR="00C16393" w:rsidRDefault="00C16393" w:rsidP="003C2438">
            <w:pPr>
              <w:spacing w:after="0"/>
              <w:jc w:val="center"/>
              <w:rPr>
                <w:rFonts w:cs="Arial"/>
              </w:rPr>
            </w:pPr>
            <w:r>
              <w:rPr>
                <w:rFonts w:cs="Arial"/>
              </w:rPr>
              <w:t>x</w:t>
            </w:r>
          </w:p>
        </w:tc>
        <w:tc>
          <w:tcPr>
            <w:tcW w:w="446" w:type="dxa"/>
            <w:gridSpan w:val="2"/>
            <w:vMerge/>
            <w:tcBorders>
              <w:left w:val="nil"/>
              <w:bottom w:val="single" w:sz="4" w:space="0" w:color="auto"/>
              <w:right w:val="single" w:sz="4" w:space="0" w:color="auto"/>
            </w:tcBorders>
            <w:shd w:val="clear" w:color="000000" w:fill="FFFFFF"/>
            <w:noWrap/>
            <w:vAlign w:val="center"/>
          </w:tcPr>
          <w:p w14:paraId="462771A3" w14:textId="77777777" w:rsidR="00C16393"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723F6788" w14:textId="77777777" w:rsidR="00C16393" w:rsidRPr="00557F5D" w:rsidRDefault="00C16393" w:rsidP="003C2438">
            <w:pPr>
              <w:spacing w:after="0"/>
              <w:jc w:val="center"/>
              <w:rPr>
                <w:rFonts w:cs="Arial"/>
              </w:rPr>
            </w:pPr>
            <w:r>
              <w:rPr>
                <w:rFonts w:cs="Arial"/>
              </w:rPr>
              <w:t>ALOCAT</w:t>
            </w:r>
          </w:p>
        </w:tc>
      </w:tr>
      <w:tr w:rsidR="00B01A1E" w:rsidRPr="00557F5D" w14:paraId="04E9A61A"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hideMark/>
          </w:tcPr>
          <w:p w14:paraId="46916D97" w14:textId="6BC8DAA4" w:rsidR="00C16393" w:rsidRPr="00557F5D" w:rsidRDefault="008D0A18" w:rsidP="003C2438">
            <w:pPr>
              <w:spacing w:after="0"/>
              <w:rPr>
                <w:rFonts w:cs="Arial"/>
              </w:rPr>
            </w:pPr>
            <w:r>
              <w:rPr>
                <w:rFonts w:cs="Arial"/>
              </w:rPr>
              <w:t>12</w:t>
            </w:r>
          </w:p>
        </w:tc>
        <w:tc>
          <w:tcPr>
            <w:tcW w:w="2022" w:type="dxa"/>
            <w:gridSpan w:val="2"/>
            <w:tcBorders>
              <w:top w:val="nil"/>
              <w:left w:val="nil"/>
              <w:bottom w:val="single" w:sz="4" w:space="0" w:color="auto"/>
              <w:right w:val="nil"/>
            </w:tcBorders>
            <w:shd w:val="clear" w:color="000000" w:fill="FFFFFF"/>
            <w:vAlign w:val="center"/>
            <w:hideMark/>
          </w:tcPr>
          <w:p w14:paraId="54260455" w14:textId="77777777" w:rsidR="00C16393" w:rsidRPr="00557F5D" w:rsidRDefault="00C16393" w:rsidP="003C2438">
            <w:pPr>
              <w:spacing w:after="0"/>
              <w:rPr>
                <w:rFonts w:cs="Arial"/>
              </w:rPr>
            </w:pPr>
            <w:proofErr w:type="spellStart"/>
            <w:r w:rsidRPr="00557F5D">
              <w:rPr>
                <w:rFonts w:cs="Arial"/>
              </w:rPr>
              <w:t>SLPsyn</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51811FD9"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61AFA20B"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9E8748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55CA8A5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62B54F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767B4F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0963FC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F1952D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98AE52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0850E9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B8D640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A439B6A"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6EAE0BCB" w14:textId="77777777" w:rsidR="00C16393" w:rsidRPr="00557F5D" w:rsidRDefault="00C16393" w:rsidP="003C2438">
            <w:pPr>
              <w:spacing w:after="0"/>
              <w:jc w:val="center"/>
              <w:rPr>
                <w:rFonts w:cs="Arial"/>
              </w:rPr>
            </w:pPr>
            <w:r>
              <w:rPr>
                <w:rFonts w:cs="Arial"/>
              </w:rPr>
              <w:t>x</w:t>
            </w: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2607663B" w14:textId="77777777" w:rsidR="00C16393" w:rsidRPr="00557F5D" w:rsidRDefault="00C16393" w:rsidP="003C2438">
            <w:pPr>
              <w:spacing w:after="0"/>
              <w:jc w:val="center"/>
              <w:rPr>
                <w:rFonts w:cs="Arial"/>
              </w:rPr>
            </w:pPr>
            <w:r w:rsidRPr="00557F5D">
              <w:rPr>
                <w:rFonts w:cs="Arial"/>
              </w:rPr>
              <w:t>ALOCAT</w:t>
            </w:r>
          </w:p>
        </w:tc>
      </w:tr>
      <w:tr w:rsidR="00B01A1E" w:rsidRPr="00557F5D" w14:paraId="3E2C6F4E"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hideMark/>
          </w:tcPr>
          <w:p w14:paraId="1295DD8F" w14:textId="1378BCDE" w:rsidR="00C16393" w:rsidRPr="00557F5D" w:rsidRDefault="008D0A18" w:rsidP="003C2438">
            <w:pPr>
              <w:spacing w:after="0"/>
              <w:rPr>
                <w:rFonts w:cs="Arial"/>
              </w:rPr>
            </w:pPr>
            <w:r>
              <w:rPr>
                <w:rFonts w:cs="Arial"/>
              </w:rPr>
              <w:t>13</w:t>
            </w:r>
          </w:p>
        </w:tc>
        <w:tc>
          <w:tcPr>
            <w:tcW w:w="2022" w:type="dxa"/>
            <w:gridSpan w:val="2"/>
            <w:tcBorders>
              <w:top w:val="nil"/>
              <w:left w:val="nil"/>
              <w:bottom w:val="single" w:sz="4" w:space="0" w:color="auto"/>
              <w:right w:val="nil"/>
            </w:tcBorders>
            <w:shd w:val="clear" w:color="000000" w:fill="FFFFFF"/>
            <w:vAlign w:val="center"/>
            <w:hideMark/>
          </w:tcPr>
          <w:p w14:paraId="1A616D93" w14:textId="77777777" w:rsidR="00C16393" w:rsidRPr="00557F5D" w:rsidRDefault="00C16393" w:rsidP="003C2438">
            <w:pPr>
              <w:spacing w:after="0"/>
              <w:rPr>
                <w:rFonts w:cs="Arial"/>
              </w:rPr>
            </w:pPr>
            <w:proofErr w:type="spellStart"/>
            <w:r w:rsidRPr="00557F5D">
              <w:rPr>
                <w:rFonts w:cs="Arial"/>
              </w:rPr>
              <w:t>SLPana</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26B563D7"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17C3F4DE"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395A03F"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2E31622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79081F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DD7836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FD7EA1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93D5E7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25E8FD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0C202C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DF2538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47A5E51"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15813D31" w14:textId="77777777" w:rsidR="00C16393" w:rsidRPr="00557F5D" w:rsidRDefault="00C16393" w:rsidP="003C2438">
            <w:pPr>
              <w:spacing w:after="0"/>
              <w:jc w:val="center"/>
              <w:rPr>
                <w:rFonts w:cs="Arial"/>
              </w:rPr>
            </w:pPr>
            <w:r>
              <w:rPr>
                <w:rFonts w:cs="Arial"/>
              </w:rPr>
              <w:t>x</w:t>
            </w: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1A154CB5" w14:textId="77777777" w:rsidR="00C16393" w:rsidRPr="00557F5D" w:rsidRDefault="00C16393" w:rsidP="003C2438">
            <w:pPr>
              <w:spacing w:after="0"/>
              <w:jc w:val="center"/>
              <w:rPr>
                <w:rFonts w:cs="Arial"/>
              </w:rPr>
            </w:pPr>
            <w:r w:rsidRPr="00557F5D">
              <w:rPr>
                <w:rFonts w:cs="Arial"/>
              </w:rPr>
              <w:t>ALOCAT</w:t>
            </w:r>
          </w:p>
        </w:tc>
      </w:tr>
      <w:tr w:rsidR="00B01A1E" w:rsidRPr="00557F5D" w14:paraId="016FC127"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49B6DBFA" w14:textId="19F24AB8" w:rsidR="00C16393" w:rsidRPr="00557F5D" w:rsidRDefault="008D0A18" w:rsidP="003C2438">
            <w:pPr>
              <w:spacing w:after="0"/>
              <w:rPr>
                <w:rFonts w:cs="Arial"/>
              </w:rPr>
            </w:pPr>
            <w:r>
              <w:rPr>
                <w:rFonts w:cs="Arial"/>
              </w:rPr>
              <w:t>1</w:t>
            </w:r>
            <w:r w:rsidR="00683419">
              <w:rPr>
                <w:rFonts w:cs="Arial"/>
              </w:rPr>
              <w:t>6</w:t>
            </w:r>
          </w:p>
        </w:tc>
        <w:tc>
          <w:tcPr>
            <w:tcW w:w="2022" w:type="dxa"/>
            <w:gridSpan w:val="2"/>
            <w:tcBorders>
              <w:top w:val="nil"/>
              <w:left w:val="nil"/>
              <w:bottom w:val="single" w:sz="8" w:space="0" w:color="auto"/>
              <w:right w:val="nil"/>
            </w:tcBorders>
            <w:shd w:val="clear" w:color="000000" w:fill="FFFFFF"/>
            <w:vAlign w:val="center"/>
            <w:hideMark/>
          </w:tcPr>
          <w:p w14:paraId="0721DB18" w14:textId="77777777" w:rsidR="00C16393" w:rsidRPr="00557F5D" w:rsidRDefault="00C16393" w:rsidP="003C2438">
            <w:pPr>
              <w:spacing w:after="0"/>
              <w:rPr>
                <w:rFonts w:cs="Arial"/>
              </w:rPr>
            </w:pPr>
            <w:r>
              <w:rPr>
                <w:rFonts w:cs="Arial"/>
              </w:rPr>
              <w:t>BK</w:t>
            </w:r>
            <w:r w:rsidRPr="00557F5D">
              <w:rPr>
                <w:rFonts w:cs="Arial"/>
              </w:rPr>
              <w:t>SALD</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hideMark/>
          </w:tcPr>
          <w:p w14:paraId="38DECFF5"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vAlign w:val="center"/>
          </w:tcPr>
          <w:p w14:paraId="56DCB23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6BAE8588"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2145952A"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5782F5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EBC261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30D4CBE"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045E485"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45CB7CE"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4042C7C"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F2B51F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5BF32333"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199A5284"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hideMark/>
          </w:tcPr>
          <w:p w14:paraId="505C5683" w14:textId="77777777" w:rsidR="00C16393" w:rsidRPr="00557F5D" w:rsidRDefault="00C16393" w:rsidP="003C2438">
            <w:pPr>
              <w:spacing w:after="0"/>
              <w:jc w:val="center"/>
              <w:rPr>
                <w:rFonts w:cs="Arial"/>
              </w:rPr>
            </w:pPr>
            <w:r w:rsidRPr="00557F5D">
              <w:rPr>
                <w:rFonts w:cs="Arial"/>
              </w:rPr>
              <w:t>IMBNOT</w:t>
            </w:r>
          </w:p>
        </w:tc>
      </w:tr>
      <w:tr w:rsidR="00B01A1E" w:rsidRPr="00557F5D" w14:paraId="5E517A80"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hideMark/>
          </w:tcPr>
          <w:p w14:paraId="37519550" w14:textId="7F2945EA" w:rsidR="00C16393" w:rsidRPr="00557F5D" w:rsidRDefault="008D0A18" w:rsidP="003C2438">
            <w:pPr>
              <w:spacing w:after="0"/>
              <w:rPr>
                <w:rFonts w:cs="Arial"/>
              </w:rPr>
            </w:pPr>
            <w:r>
              <w:rPr>
                <w:rFonts w:cs="Arial"/>
              </w:rPr>
              <w:t>1</w:t>
            </w:r>
            <w:r w:rsidR="00683419">
              <w:rPr>
                <w:rFonts w:cs="Arial"/>
              </w:rPr>
              <w:t>7</w:t>
            </w:r>
          </w:p>
        </w:tc>
        <w:tc>
          <w:tcPr>
            <w:tcW w:w="2022" w:type="dxa"/>
            <w:gridSpan w:val="2"/>
            <w:tcBorders>
              <w:top w:val="nil"/>
              <w:left w:val="nil"/>
              <w:bottom w:val="single" w:sz="4" w:space="0" w:color="auto"/>
              <w:right w:val="nil"/>
            </w:tcBorders>
            <w:shd w:val="clear" w:color="000000" w:fill="FFFFFF"/>
            <w:vAlign w:val="center"/>
            <w:hideMark/>
          </w:tcPr>
          <w:p w14:paraId="4FD9F4FB" w14:textId="77777777" w:rsidR="00C16393" w:rsidRDefault="00C16393" w:rsidP="003C2438">
            <w:pPr>
              <w:spacing w:after="0"/>
              <w:rPr>
                <w:rFonts w:cs="Arial"/>
              </w:rPr>
            </w:pPr>
            <w:proofErr w:type="spellStart"/>
            <w:r>
              <w:rPr>
                <w:rFonts w:cs="Arial"/>
              </w:rPr>
              <w:t>BK</w:t>
            </w:r>
            <w:r w:rsidRPr="00557F5D">
              <w:rPr>
                <w:rFonts w:cs="Arial"/>
              </w:rPr>
              <w:t>SALD</w:t>
            </w:r>
            <w:r>
              <w:rPr>
                <w:rFonts w:cs="Arial"/>
              </w:rPr>
              <w:t>über</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hideMark/>
          </w:tcPr>
          <w:p w14:paraId="77981B18"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215466B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F59C8D"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1283A2CB"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F0909D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78CBF4A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376235B"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6372ECE"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E0B5906"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462F9E6"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419A14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64E0261" w14:textId="77777777" w:rsidR="00C16393" w:rsidRPr="00557F5D" w:rsidRDefault="00C16393"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hideMark/>
          </w:tcPr>
          <w:p w14:paraId="39BE234C" w14:textId="77777777" w:rsidR="00C16393" w:rsidRPr="00557F5D" w:rsidRDefault="00C16393"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hideMark/>
          </w:tcPr>
          <w:p w14:paraId="4E5CEF34" w14:textId="77777777" w:rsidR="00C16393" w:rsidRPr="00557F5D" w:rsidRDefault="00C16393" w:rsidP="003C2438">
            <w:pPr>
              <w:spacing w:after="0"/>
              <w:jc w:val="center"/>
              <w:rPr>
                <w:rFonts w:cs="Arial"/>
              </w:rPr>
            </w:pPr>
            <w:r>
              <w:rPr>
                <w:rFonts w:cs="Arial"/>
              </w:rPr>
              <w:t>TRANOT</w:t>
            </w:r>
          </w:p>
        </w:tc>
      </w:tr>
      <w:tr w:rsidR="000858DF" w:rsidRPr="00557F5D" w14:paraId="089DF215"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tcPr>
          <w:p w14:paraId="3F0D87D5" w14:textId="6D6C1060" w:rsidR="000858DF" w:rsidRDefault="008D0A18" w:rsidP="003C2438">
            <w:pPr>
              <w:spacing w:after="0"/>
              <w:rPr>
                <w:rFonts w:cs="Arial"/>
              </w:rPr>
            </w:pPr>
            <w:r>
              <w:rPr>
                <w:rFonts w:cs="Arial"/>
              </w:rPr>
              <w:t>1</w:t>
            </w:r>
            <w:r w:rsidR="00683419">
              <w:rPr>
                <w:rFonts w:cs="Arial"/>
              </w:rPr>
              <w:t>8</w:t>
            </w:r>
          </w:p>
        </w:tc>
        <w:tc>
          <w:tcPr>
            <w:tcW w:w="2022" w:type="dxa"/>
            <w:gridSpan w:val="2"/>
            <w:tcBorders>
              <w:top w:val="nil"/>
              <w:left w:val="nil"/>
              <w:bottom w:val="single" w:sz="4" w:space="0" w:color="auto"/>
              <w:right w:val="nil"/>
            </w:tcBorders>
            <w:shd w:val="clear" w:color="000000" w:fill="FFFFFF"/>
            <w:vAlign w:val="center"/>
          </w:tcPr>
          <w:p w14:paraId="0520BDA4" w14:textId="3D467918" w:rsidR="000858DF" w:rsidRDefault="000858DF" w:rsidP="003C2438">
            <w:pPr>
              <w:spacing w:after="0"/>
              <w:rPr>
                <w:rFonts w:cs="Arial"/>
              </w:rPr>
            </w:pPr>
            <w:proofErr w:type="spellStart"/>
            <w:r>
              <w:rPr>
                <w:rFonts w:cs="Arial"/>
              </w:rPr>
              <w:t>BKHSALDüber</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417E616"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33E2CBF6"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1EB75A69"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7B1430E7" w14:textId="1D7DB87B" w:rsidR="000858DF"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0A5080D"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632B78F"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2B8C4D0" w14:textId="7B1AFBCE" w:rsidR="000858DF"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45632D90" w14:textId="77777777" w:rsidR="000858DF"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08D7CA87" w14:textId="77777777" w:rsidR="000858DF"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9814F05" w14:textId="553B05B8" w:rsidR="000858DF" w:rsidRPr="004467C5"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0C15293"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2389B07D"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74447224" w14:textId="77777777" w:rsidR="000858DF" w:rsidRPr="00557F5D" w:rsidRDefault="000858DF"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00DBBAE7" w14:textId="5F323613" w:rsidR="000858DF" w:rsidRDefault="000858DF" w:rsidP="003C2438">
            <w:pPr>
              <w:spacing w:after="0"/>
              <w:jc w:val="center"/>
              <w:rPr>
                <w:rFonts w:cs="Arial"/>
              </w:rPr>
            </w:pPr>
            <w:r>
              <w:rPr>
                <w:rFonts w:cs="Arial"/>
              </w:rPr>
              <w:t>TRANOT</w:t>
            </w:r>
          </w:p>
        </w:tc>
      </w:tr>
      <w:tr w:rsidR="000858DF" w:rsidRPr="00557F5D" w14:paraId="6E04E51B" w14:textId="77777777" w:rsidTr="00C20542">
        <w:trPr>
          <w:cantSplit/>
          <w:trHeight w:val="255"/>
          <w:jc w:val="center"/>
        </w:trPr>
        <w:tc>
          <w:tcPr>
            <w:tcW w:w="446" w:type="dxa"/>
            <w:tcBorders>
              <w:top w:val="nil"/>
              <w:left w:val="single" w:sz="8" w:space="0" w:color="auto"/>
              <w:bottom w:val="single" w:sz="4" w:space="0" w:color="auto"/>
              <w:right w:val="single" w:sz="4" w:space="0" w:color="auto"/>
            </w:tcBorders>
            <w:shd w:val="clear" w:color="000000" w:fill="FFFFFF"/>
          </w:tcPr>
          <w:p w14:paraId="1791EEA5" w14:textId="65BD2224" w:rsidR="000858DF" w:rsidRDefault="008D0A18" w:rsidP="003C2438">
            <w:pPr>
              <w:spacing w:after="0"/>
              <w:rPr>
                <w:rFonts w:cs="Arial"/>
              </w:rPr>
            </w:pPr>
            <w:r>
              <w:rPr>
                <w:rFonts w:cs="Arial"/>
              </w:rPr>
              <w:t>1</w:t>
            </w:r>
            <w:r w:rsidR="00683419">
              <w:rPr>
                <w:rFonts w:cs="Arial"/>
              </w:rPr>
              <w:t>9</w:t>
            </w:r>
          </w:p>
        </w:tc>
        <w:tc>
          <w:tcPr>
            <w:tcW w:w="2022" w:type="dxa"/>
            <w:gridSpan w:val="2"/>
            <w:tcBorders>
              <w:top w:val="nil"/>
              <w:left w:val="nil"/>
              <w:bottom w:val="single" w:sz="4" w:space="0" w:color="auto"/>
              <w:right w:val="nil"/>
            </w:tcBorders>
            <w:shd w:val="clear" w:color="000000" w:fill="FFFFFF"/>
            <w:vAlign w:val="center"/>
          </w:tcPr>
          <w:p w14:paraId="547CFD44" w14:textId="7D0FF693" w:rsidR="000858DF" w:rsidRDefault="000858DF" w:rsidP="003C2438">
            <w:pPr>
              <w:spacing w:after="0"/>
              <w:rPr>
                <w:rFonts w:cs="Arial"/>
              </w:rPr>
            </w:pPr>
            <w:proofErr w:type="spellStart"/>
            <w:r>
              <w:rPr>
                <w:rFonts w:cs="Arial"/>
              </w:rPr>
              <w:t>BKLSALDüber</w:t>
            </w:r>
            <w:proofErr w:type="spellEnd"/>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A0D04ED"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vAlign w:val="center"/>
          </w:tcPr>
          <w:p w14:paraId="4082CF2A"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75525AA4"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736C445B" w14:textId="1CE01529" w:rsidR="000858DF"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B873DCA"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2E5A230F"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2FFC486" w14:textId="5B987C37" w:rsidR="000858DF"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39232CDC" w14:textId="77777777" w:rsidR="000858DF"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157CC825" w14:textId="77777777" w:rsidR="000858DF"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6F16ED35" w14:textId="03E23E46" w:rsidR="000858DF" w:rsidRPr="004467C5" w:rsidRDefault="000858DF" w:rsidP="003C2438">
            <w:pPr>
              <w:spacing w:after="0"/>
              <w:jc w:val="center"/>
              <w:rPr>
                <w:rFonts w:cs="Arial"/>
              </w:rPr>
            </w:pPr>
            <w:r>
              <w:rPr>
                <w:rFonts w:cs="Arial"/>
              </w:rPr>
              <w:t>x</w:t>
            </w:r>
          </w:p>
        </w:tc>
        <w:tc>
          <w:tcPr>
            <w:tcW w:w="446" w:type="dxa"/>
            <w:gridSpan w:val="2"/>
            <w:tcBorders>
              <w:top w:val="nil"/>
              <w:left w:val="single" w:sz="4" w:space="0" w:color="auto"/>
              <w:bottom w:val="single" w:sz="4" w:space="0" w:color="auto"/>
              <w:right w:val="single" w:sz="4" w:space="0" w:color="auto"/>
            </w:tcBorders>
            <w:shd w:val="clear" w:color="000000" w:fill="FFFFFF"/>
            <w:vAlign w:val="center"/>
          </w:tcPr>
          <w:p w14:paraId="5D970C2E" w14:textId="77777777" w:rsidR="000858DF" w:rsidRPr="00557F5D" w:rsidRDefault="000858DF" w:rsidP="003C2438">
            <w:pPr>
              <w:spacing w:after="0"/>
              <w:jc w:val="center"/>
              <w:rPr>
                <w:rFonts w:cs="Arial"/>
              </w:rPr>
            </w:pPr>
          </w:p>
        </w:tc>
        <w:tc>
          <w:tcPr>
            <w:tcW w:w="446" w:type="dxa"/>
            <w:gridSpan w:val="2"/>
            <w:tcBorders>
              <w:top w:val="nil"/>
              <w:left w:val="single" w:sz="4" w:space="0" w:color="auto"/>
              <w:bottom w:val="single" w:sz="4" w:space="0" w:color="auto"/>
              <w:right w:val="single" w:sz="4" w:space="0" w:color="auto"/>
            </w:tcBorders>
            <w:shd w:val="clear" w:color="000000" w:fill="FFFFFF"/>
            <w:noWrap/>
            <w:vAlign w:val="center"/>
          </w:tcPr>
          <w:p w14:paraId="06BB195B" w14:textId="77777777" w:rsidR="000858DF" w:rsidRPr="00557F5D" w:rsidRDefault="000858DF" w:rsidP="003C2438">
            <w:pPr>
              <w:spacing w:after="0"/>
              <w:jc w:val="center"/>
              <w:rPr>
                <w:rFonts w:cs="Arial"/>
              </w:rPr>
            </w:pPr>
          </w:p>
        </w:tc>
        <w:tc>
          <w:tcPr>
            <w:tcW w:w="446" w:type="dxa"/>
            <w:gridSpan w:val="2"/>
            <w:tcBorders>
              <w:top w:val="nil"/>
              <w:left w:val="nil"/>
              <w:bottom w:val="single" w:sz="4" w:space="0" w:color="auto"/>
              <w:right w:val="single" w:sz="4" w:space="0" w:color="auto"/>
            </w:tcBorders>
            <w:shd w:val="clear" w:color="000000" w:fill="FFFFFF"/>
            <w:noWrap/>
            <w:vAlign w:val="center"/>
          </w:tcPr>
          <w:p w14:paraId="52C866F6" w14:textId="77777777" w:rsidR="000858DF" w:rsidRPr="00557F5D" w:rsidRDefault="000858DF" w:rsidP="003C2438">
            <w:pPr>
              <w:spacing w:after="0"/>
              <w:jc w:val="center"/>
              <w:rPr>
                <w:rFonts w:cs="Arial"/>
              </w:rPr>
            </w:pPr>
          </w:p>
        </w:tc>
        <w:tc>
          <w:tcPr>
            <w:tcW w:w="1179" w:type="dxa"/>
            <w:gridSpan w:val="3"/>
            <w:tcBorders>
              <w:top w:val="nil"/>
              <w:left w:val="nil"/>
              <w:bottom w:val="single" w:sz="4" w:space="0" w:color="auto"/>
              <w:right w:val="single" w:sz="8" w:space="0" w:color="auto"/>
            </w:tcBorders>
            <w:shd w:val="clear" w:color="000000" w:fill="FFFFFF"/>
            <w:noWrap/>
            <w:vAlign w:val="center"/>
          </w:tcPr>
          <w:p w14:paraId="6D22E054" w14:textId="75BA1E59" w:rsidR="000858DF" w:rsidRDefault="000858DF" w:rsidP="003C2438">
            <w:pPr>
              <w:spacing w:after="0"/>
              <w:jc w:val="center"/>
              <w:rPr>
                <w:rFonts w:cs="Arial"/>
              </w:rPr>
            </w:pPr>
            <w:r>
              <w:rPr>
                <w:rFonts w:cs="Arial"/>
              </w:rPr>
              <w:t>TRANOT</w:t>
            </w:r>
          </w:p>
        </w:tc>
      </w:tr>
      <w:tr w:rsidR="00B01A1E" w:rsidRPr="00557F5D" w14:paraId="5B6C3E1D"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hideMark/>
          </w:tcPr>
          <w:p w14:paraId="76D56DD1" w14:textId="23D3B53E" w:rsidR="00C16393" w:rsidRPr="00557F5D" w:rsidRDefault="00683419" w:rsidP="003C2438">
            <w:pPr>
              <w:spacing w:after="0"/>
              <w:rPr>
                <w:rFonts w:cs="Arial"/>
              </w:rPr>
            </w:pPr>
            <w:r>
              <w:rPr>
                <w:rFonts w:cs="Arial"/>
              </w:rPr>
              <w:t>20</w:t>
            </w:r>
          </w:p>
        </w:tc>
        <w:tc>
          <w:tcPr>
            <w:tcW w:w="2022" w:type="dxa"/>
            <w:gridSpan w:val="2"/>
            <w:tcBorders>
              <w:top w:val="single" w:sz="4" w:space="0" w:color="auto"/>
              <w:left w:val="nil"/>
              <w:bottom w:val="single" w:sz="4" w:space="0" w:color="auto"/>
              <w:right w:val="nil"/>
            </w:tcBorders>
            <w:shd w:val="clear" w:color="000000" w:fill="FFFFFF"/>
            <w:vAlign w:val="center"/>
            <w:hideMark/>
          </w:tcPr>
          <w:p w14:paraId="74E2EBA6" w14:textId="77777777" w:rsidR="00C16393" w:rsidRDefault="00C16393" w:rsidP="003C2438">
            <w:pPr>
              <w:spacing w:after="0"/>
              <w:rPr>
                <w:rFonts w:cs="Arial"/>
              </w:rPr>
            </w:pPr>
            <w:proofErr w:type="spellStart"/>
            <w:r>
              <w:rPr>
                <w:rFonts w:cs="Arial"/>
              </w:rPr>
              <w:t>BK</w:t>
            </w:r>
            <w:r w:rsidRPr="00557F5D">
              <w:rPr>
                <w:rFonts w:cs="Arial"/>
              </w:rPr>
              <w:t>SALD</w:t>
            </w:r>
            <w:r>
              <w:rPr>
                <w:rFonts w:cs="Arial"/>
              </w:rPr>
              <w:t>nach</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7741E8"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3A282BD6"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68051"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157986" w14:textId="77777777" w:rsidR="00C16393" w:rsidRPr="00557F5D"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E3B1D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2A6CB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9A23DE" w14:textId="77777777" w:rsidR="00C16393" w:rsidRPr="00557F5D"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5EBEA2"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C43587"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464C5D"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EC813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54D35"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00FAF43"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4C38259" w14:textId="77777777" w:rsidR="00C16393" w:rsidRPr="00557F5D" w:rsidRDefault="00C16393" w:rsidP="003C2438">
            <w:pPr>
              <w:spacing w:after="0"/>
              <w:jc w:val="center"/>
              <w:rPr>
                <w:rFonts w:cs="Arial"/>
              </w:rPr>
            </w:pPr>
            <w:r w:rsidRPr="00557F5D">
              <w:rPr>
                <w:rFonts w:cs="Arial"/>
              </w:rPr>
              <w:t>IMBNOT</w:t>
            </w:r>
          </w:p>
        </w:tc>
      </w:tr>
      <w:tr w:rsidR="003649D1" w:rsidRPr="00557F5D" w14:paraId="416EC9F4"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6297B7B3" w14:textId="0BDCD029" w:rsidR="00C16393" w:rsidRDefault="00683419" w:rsidP="003C2438">
            <w:pPr>
              <w:spacing w:after="0"/>
              <w:rPr>
                <w:rFonts w:cs="Arial"/>
              </w:rPr>
            </w:pPr>
            <w:r>
              <w:rPr>
                <w:rFonts w:cs="Arial"/>
              </w:rPr>
              <w:t>21</w:t>
            </w:r>
          </w:p>
        </w:tc>
        <w:tc>
          <w:tcPr>
            <w:tcW w:w="2022" w:type="dxa"/>
            <w:gridSpan w:val="2"/>
            <w:tcBorders>
              <w:top w:val="single" w:sz="4" w:space="0" w:color="auto"/>
              <w:left w:val="nil"/>
              <w:bottom w:val="single" w:sz="4" w:space="0" w:color="auto"/>
              <w:right w:val="nil"/>
            </w:tcBorders>
            <w:shd w:val="clear" w:color="000000" w:fill="FFFFFF"/>
            <w:vAlign w:val="center"/>
          </w:tcPr>
          <w:p w14:paraId="716F2DB5" w14:textId="77777777" w:rsidR="00C16393" w:rsidRDefault="00C16393" w:rsidP="003C2438">
            <w:pPr>
              <w:spacing w:after="0"/>
              <w:rPr>
                <w:rFonts w:cs="Arial"/>
              </w:rPr>
            </w:pPr>
            <w:r>
              <w:rPr>
                <w:rFonts w:cs="Arial"/>
              </w:rPr>
              <w:t>BKSALDABR</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39773B"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24A003A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B8E2C1"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34DFCBB9"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897483C"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EBAD8F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22A49E"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122B46"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12E929"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5877D5F" w14:textId="77777777" w:rsidR="00C16393" w:rsidRPr="004467C5"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E1772F"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A61F77"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0511E676"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1AC2E242" w14:textId="77777777" w:rsidR="00C16393" w:rsidRPr="00557F5D" w:rsidRDefault="00C16393" w:rsidP="003C2438">
            <w:pPr>
              <w:spacing w:after="0"/>
              <w:jc w:val="center"/>
              <w:rPr>
                <w:rFonts w:cs="Arial"/>
              </w:rPr>
            </w:pPr>
            <w:r>
              <w:rPr>
                <w:rFonts w:cs="Arial"/>
              </w:rPr>
              <w:t>IMBNOT</w:t>
            </w:r>
          </w:p>
        </w:tc>
      </w:tr>
      <w:tr w:rsidR="003649D1" w:rsidRPr="00557F5D" w14:paraId="51603261"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52467686" w14:textId="312A770F" w:rsidR="00C16393" w:rsidRDefault="00683419" w:rsidP="003C2438">
            <w:pPr>
              <w:spacing w:after="0"/>
              <w:rPr>
                <w:rFonts w:cs="Arial"/>
              </w:rPr>
            </w:pPr>
            <w:r>
              <w:rPr>
                <w:rFonts w:cs="Arial"/>
              </w:rPr>
              <w:t>22</w:t>
            </w:r>
          </w:p>
        </w:tc>
        <w:tc>
          <w:tcPr>
            <w:tcW w:w="2022" w:type="dxa"/>
            <w:gridSpan w:val="2"/>
            <w:tcBorders>
              <w:top w:val="single" w:sz="4" w:space="0" w:color="auto"/>
              <w:left w:val="nil"/>
              <w:bottom w:val="single" w:sz="4" w:space="0" w:color="auto"/>
              <w:right w:val="nil"/>
            </w:tcBorders>
            <w:shd w:val="clear" w:color="000000" w:fill="FFFFFF"/>
            <w:vAlign w:val="center"/>
          </w:tcPr>
          <w:p w14:paraId="743DC732" w14:textId="77777777" w:rsidR="00C16393" w:rsidRDefault="00C16393" w:rsidP="003C2438">
            <w:pPr>
              <w:spacing w:after="0"/>
              <w:rPr>
                <w:rFonts w:cs="Arial"/>
              </w:rPr>
            </w:pPr>
            <w:proofErr w:type="spellStart"/>
            <w:r>
              <w:rPr>
                <w:rFonts w:cs="Arial"/>
              </w:rPr>
              <w:t>BKSALDABRüber</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0FC52D"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550BF42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A1C3AC"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46DC8470"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4D1863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15E6E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483BB4"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275809"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691DA0"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A23A1E" w14:textId="77777777" w:rsidR="00C16393" w:rsidRPr="004467C5"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39C9D8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548EBA"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58F43602"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2BC8CCA9" w14:textId="77777777" w:rsidR="00C16393" w:rsidRPr="00557F5D" w:rsidRDefault="00C16393" w:rsidP="003C2438">
            <w:pPr>
              <w:spacing w:after="0"/>
              <w:jc w:val="center"/>
              <w:rPr>
                <w:rFonts w:cs="Arial"/>
              </w:rPr>
            </w:pPr>
            <w:r>
              <w:rPr>
                <w:rFonts w:cs="Arial"/>
              </w:rPr>
              <w:t>TRANOT</w:t>
            </w:r>
          </w:p>
        </w:tc>
      </w:tr>
      <w:tr w:rsidR="003649D1" w:rsidRPr="00557F5D" w14:paraId="510D4968"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72799BE9" w14:textId="45263CD6" w:rsidR="00C16393" w:rsidRDefault="00683419" w:rsidP="003C2438">
            <w:pPr>
              <w:spacing w:after="0"/>
              <w:rPr>
                <w:rFonts w:cs="Arial"/>
              </w:rPr>
            </w:pPr>
            <w:r>
              <w:rPr>
                <w:rFonts w:cs="Arial"/>
              </w:rPr>
              <w:t>23</w:t>
            </w:r>
          </w:p>
        </w:tc>
        <w:tc>
          <w:tcPr>
            <w:tcW w:w="2022" w:type="dxa"/>
            <w:gridSpan w:val="2"/>
            <w:tcBorders>
              <w:top w:val="single" w:sz="4" w:space="0" w:color="auto"/>
              <w:left w:val="nil"/>
              <w:bottom w:val="single" w:sz="4" w:space="0" w:color="auto"/>
              <w:right w:val="nil"/>
            </w:tcBorders>
            <w:shd w:val="clear" w:color="000000" w:fill="FFFFFF"/>
            <w:vAlign w:val="center"/>
          </w:tcPr>
          <w:p w14:paraId="3E5F3055" w14:textId="77777777" w:rsidR="00C16393" w:rsidRDefault="00C16393" w:rsidP="003C2438">
            <w:pPr>
              <w:spacing w:after="0"/>
              <w:rPr>
                <w:rFonts w:cs="Arial"/>
              </w:rPr>
            </w:pPr>
            <w:proofErr w:type="spellStart"/>
            <w:r>
              <w:rPr>
                <w:rFonts w:cs="Arial"/>
              </w:rPr>
              <w:t>BKSALDABRnach</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CDFBED"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4D46A52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3A1B17"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122E0000"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C2ADC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91AAD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5319F9"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183D92"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FEFB42"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F9D80F" w14:textId="77777777" w:rsidR="00C16393" w:rsidRPr="004467C5"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E2A36C"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A43642"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48C25B84"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633DB31D" w14:textId="77777777" w:rsidR="00C16393" w:rsidRPr="00557F5D" w:rsidRDefault="00C16393" w:rsidP="003C2438">
            <w:pPr>
              <w:spacing w:after="0"/>
              <w:jc w:val="center"/>
              <w:rPr>
                <w:rFonts w:cs="Arial"/>
              </w:rPr>
            </w:pPr>
            <w:r>
              <w:rPr>
                <w:rFonts w:cs="Arial"/>
              </w:rPr>
              <w:t>IMBNOT</w:t>
            </w:r>
          </w:p>
        </w:tc>
      </w:tr>
      <w:tr w:rsidR="003649D1" w:rsidRPr="00557F5D" w14:paraId="7E2D83EA"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05C60DE0" w14:textId="66F8B508" w:rsidR="00C16393" w:rsidRDefault="00683419" w:rsidP="003C2438">
            <w:pPr>
              <w:spacing w:after="0"/>
              <w:rPr>
                <w:rFonts w:cs="Arial"/>
              </w:rPr>
            </w:pPr>
            <w:r>
              <w:rPr>
                <w:rFonts w:cs="Arial"/>
              </w:rPr>
              <w:t>24</w:t>
            </w:r>
          </w:p>
        </w:tc>
        <w:tc>
          <w:tcPr>
            <w:tcW w:w="2022" w:type="dxa"/>
            <w:gridSpan w:val="2"/>
            <w:tcBorders>
              <w:top w:val="single" w:sz="4" w:space="0" w:color="auto"/>
              <w:left w:val="nil"/>
              <w:bottom w:val="single" w:sz="4" w:space="0" w:color="auto"/>
              <w:right w:val="nil"/>
            </w:tcBorders>
            <w:shd w:val="clear" w:color="000000" w:fill="FFFFFF"/>
            <w:vAlign w:val="center"/>
          </w:tcPr>
          <w:p w14:paraId="1A0EFDDA" w14:textId="77777777" w:rsidR="00C16393" w:rsidRDefault="00C16393" w:rsidP="003C2438">
            <w:pPr>
              <w:spacing w:after="0"/>
              <w:rPr>
                <w:rFonts w:cs="Arial"/>
              </w:rPr>
            </w:pPr>
            <w:r>
              <w:rPr>
                <w:rFonts w:cs="Arial"/>
              </w:rPr>
              <w:t>BKRLMDIF</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C2D65DE"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04A9CF0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7880DD"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06F443AE"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D50FD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CCFE0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3A8279"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AC48AE"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56D0445"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49825E"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1B059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B19F70"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153E46A9"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11297300" w14:textId="77777777" w:rsidR="00C16393" w:rsidRDefault="00C16393" w:rsidP="003C2438">
            <w:pPr>
              <w:spacing w:after="0"/>
              <w:jc w:val="center"/>
              <w:rPr>
                <w:rFonts w:cs="Arial"/>
              </w:rPr>
            </w:pPr>
            <w:r>
              <w:rPr>
                <w:rFonts w:cs="Arial"/>
              </w:rPr>
              <w:t>IMBNOT</w:t>
            </w:r>
          </w:p>
        </w:tc>
      </w:tr>
      <w:tr w:rsidR="003649D1" w:rsidRPr="00557F5D" w14:paraId="664EBB59"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332A9BB3" w14:textId="6E45E532" w:rsidR="00C16393" w:rsidRDefault="00683419" w:rsidP="003C2438">
            <w:pPr>
              <w:spacing w:after="0"/>
              <w:rPr>
                <w:rFonts w:cs="Arial"/>
              </w:rPr>
            </w:pPr>
            <w:r>
              <w:rPr>
                <w:rFonts w:cs="Arial"/>
              </w:rPr>
              <w:t>25</w:t>
            </w:r>
          </w:p>
        </w:tc>
        <w:tc>
          <w:tcPr>
            <w:tcW w:w="2022" w:type="dxa"/>
            <w:gridSpan w:val="2"/>
            <w:tcBorders>
              <w:top w:val="single" w:sz="4" w:space="0" w:color="auto"/>
              <w:left w:val="nil"/>
              <w:bottom w:val="single" w:sz="4" w:space="0" w:color="auto"/>
              <w:right w:val="nil"/>
            </w:tcBorders>
            <w:shd w:val="clear" w:color="000000" w:fill="FFFFFF"/>
            <w:vAlign w:val="center"/>
          </w:tcPr>
          <w:p w14:paraId="04A3E6E4" w14:textId="77777777" w:rsidR="00C16393" w:rsidRDefault="00C16393" w:rsidP="003C2438">
            <w:pPr>
              <w:spacing w:after="0"/>
              <w:rPr>
                <w:rFonts w:cs="Arial"/>
              </w:rPr>
            </w:pPr>
            <w:proofErr w:type="spellStart"/>
            <w:r>
              <w:rPr>
                <w:rFonts w:cs="Arial"/>
              </w:rPr>
              <w:t>BKRLMDIFüber</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DD6989"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2F2662C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A8DE29"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5F5FB19F"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2DFBCC"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021B58D"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3EA031"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943399"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8C3480"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C6C3A8"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64CBD80"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0EBD8D"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258AB333"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5509715C" w14:textId="77777777" w:rsidR="00C16393" w:rsidRDefault="00C16393" w:rsidP="003C2438">
            <w:pPr>
              <w:spacing w:after="0"/>
              <w:jc w:val="center"/>
              <w:rPr>
                <w:rFonts w:cs="Arial"/>
              </w:rPr>
            </w:pPr>
            <w:r>
              <w:rPr>
                <w:rFonts w:cs="Arial"/>
              </w:rPr>
              <w:t>TRANOT</w:t>
            </w:r>
          </w:p>
        </w:tc>
      </w:tr>
      <w:tr w:rsidR="003649D1" w:rsidRPr="00557F5D" w14:paraId="42B34BF6"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757638DE" w14:textId="0A76A195" w:rsidR="00C16393" w:rsidRDefault="00683419" w:rsidP="003C2438">
            <w:pPr>
              <w:spacing w:after="0"/>
              <w:rPr>
                <w:rFonts w:cs="Arial"/>
              </w:rPr>
            </w:pPr>
            <w:r>
              <w:rPr>
                <w:rFonts w:cs="Arial"/>
              </w:rPr>
              <w:t>26</w:t>
            </w:r>
          </w:p>
        </w:tc>
        <w:tc>
          <w:tcPr>
            <w:tcW w:w="2022" w:type="dxa"/>
            <w:gridSpan w:val="2"/>
            <w:tcBorders>
              <w:top w:val="single" w:sz="4" w:space="0" w:color="auto"/>
              <w:left w:val="nil"/>
              <w:bottom w:val="single" w:sz="4" w:space="0" w:color="auto"/>
              <w:right w:val="nil"/>
            </w:tcBorders>
            <w:shd w:val="clear" w:color="000000" w:fill="FFFFFF"/>
            <w:vAlign w:val="center"/>
          </w:tcPr>
          <w:p w14:paraId="5370A04C" w14:textId="77777777" w:rsidR="00C16393" w:rsidRDefault="00C16393" w:rsidP="003C2438">
            <w:pPr>
              <w:spacing w:after="0"/>
              <w:rPr>
                <w:rFonts w:cs="Arial"/>
              </w:rPr>
            </w:pPr>
            <w:proofErr w:type="spellStart"/>
            <w:r>
              <w:rPr>
                <w:rFonts w:cs="Arial"/>
              </w:rPr>
              <w:t>BKRLMDIFnach</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C262FF"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165C8CE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956F13"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3AD315DA"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FA200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AC034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06F7B1"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58F1A2"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3A8D65"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4F48B7"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A552F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6CE0AB"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24F3BB2B"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35601931" w14:textId="77777777" w:rsidR="00C16393" w:rsidRDefault="00C16393" w:rsidP="003C2438">
            <w:pPr>
              <w:spacing w:after="0"/>
              <w:jc w:val="center"/>
              <w:rPr>
                <w:rFonts w:cs="Arial"/>
              </w:rPr>
            </w:pPr>
            <w:r>
              <w:rPr>
                <w:rFonts w:cs="Arial"/>
              </w:rPr>
              <w:t>IMBNOT</w:t>
            </w:r>
          </w:p>
        </w:tc>
      </w:tr>
      <w:tr w:rsidR="003649D1" w:rsidRPr="00557F5D" w14:paraId="3986A55F"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7375EA11" w14:textId="042192B2" w:rsidR="00C16393" w:rsidRDefault="00683419" w:rsidP="003C2438">
            <w:pPr>
              <w:spacing w:after="0"/>
              <w:rPr>
                <w:rFonts w:cs="Arial"/>
              </w:rPr>
            </w:pPr>
            <w:r>
              <w:rPr>
                <w:rFonts w:cs="Arial"/>
              </w:rPr>
              <w:t>27</w:t>
            </w:r>
          </w:p>
        </w:tc>
        <w:tc>
          <w:tcPr>
            <w:tcW w:w="2022" w:type="dxa"/>
            <w:gridSpan w:val="2"/>
            <w:tcBorders>
              <w:top w:val="single" w:sz="4" w:space="0" w:color="auto"/>
              <w:left w:val="nil"/>
              <w:bottom w:val="single" w:sz="4" w:space="0" w:color="auto"/>
              <w:right w:val="nil"/>
            </w:tcBorders>
            <w:shd w:val="clear" w:color="000000" w:fill="FFFFFF"/>
            <w:vAlign w:val="center"/>
          </w:tcPr>
          <w:p w14:paraId="0DA175E1" w14:textId="77777777" w:rsidR="00C16393" w:rsidRDefault="00C16393" w:rsidP="003C2438">
            <w:pPr>
              <w:spacing w:after="0"/>
              <w:rPr>
                <w:rFonts w:cs="Arial"/>
              </w:rPr>
            </w:pPr>
            <w:r>
              <w:rPr>
                <w:rFonts w:cs="Arial"/>
              </w:rPr>
              <w:t>BKKUM</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33FB34"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1338B1C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095932"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5EAF793A"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CA8A6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2C58AD"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52B4B9"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8EBE8CF"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D4F319A"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2ECA13"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0AE86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81DB42"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21C53CC8"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26B99B46" w14:textId="77777777" w:rsidR="00C16393" w:rsidRDefault="00C16393" w:rsidP="003C2438">
            <w:pPr>
              <w:spacing w:after="0"/>
              <w:jc w:val="center"/>
              <w:rPr>
                <w:rFonts w:cs="Arial"/>
              </w:rPr>
            </w:pPr>
            <w:r>
              <w:rPr>
                <w:rFonts w:cs="Arial"/>
              </w:rPr>
              <w:t>IMBNOT</w:t>
            </w:r>
          </w:p>
        </w:tc>
      </w:tr>
      <w:tr w:rsidR="003649D1" w:rsidRPr="00557F5D" w14:paraId="40BFB22D"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7D82F849" w14:textId="170567AC" w:rsidR="00C16393" w:rsidRDefault="00683419" w:rsidP="003C2438">
            <w:pPr>
              <w:spacing w:after="0"/>
              <w:rPr>
                <w:rFonts w:cs="Arial"/>
              </w:rPr>
            </w:pPr>
            <w:r>
              <w:rPr>
                <w:rFonts w:cs="Arial"/>
              </w:rPr>
              <w:t>28</w:t>
            </w:r>
          </w:p>
        </w:tc>
        <w:tc>
          <w:tcPr>
            <w:tcW w:w="2022" w:type="dxa"/>
            <w:gridSpan w:val="2"/>
            <w:tcBorders>
              <w:top w:val="single" w:sz="4" w:space="0" w:color="auto"/>
              <w:left w:val="nil"/>
              <w:bottom w:val="single" w:sz="4" w:space="0" w:color="auto"/>
              <w:right w:val="nil"/>
            </w:tcBorders>
            <w:shd w:val="clear" w:color="000000" w:fill="FFFFFF"/>
            <w:vAlign w:val="center"/>
          </w:tcPr>
          <w:p w14:paraId="247C135D" w14:textId="77777777" w:rsidR="00C16393" w:rsidRDefault="00C16393" w:rsidP="003C2438">
            <w:pPr>
              <w:spacing w:after="0"/>
              <w:rPr>
                <w:rFonts w:cs="Arial"/>
              </w:rPr>
            </w:pPr>
            <w:proofErr w:type="spellStart"/>
            <w:r>
              <w:rPr>
                <w:rFonts w:cs="Arial"/>
              </w:rPr>
              <w:t>BKKUMüber</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6FFA097"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57C0977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7FD5E6"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4D3DA355"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AFD85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0C0B2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14A6D1"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507CFD"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D7C051"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F9A510"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3E3526"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89C095"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52ADDC6F"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72EE7306" w14:textId="77777777" w:rsidR="00C16393" w:rsidRDefault="00C16393" w:rsidP="003C2438">
            <w:pPr>
              <w:spacing w:after="0"/>
              <w:jc w:val="center"/>
              <w:rPr>
                <w:rFonts w:cs="Arial"/>
              </w:rPr>
            </w:pPr>
            <w:r>
              <w:rPr>
                <w:rFonts w:cs="Arial"/>
              </w:rPr>
              <w:t>TRANOT</w:t>
            </w:r>
          </w:p>
        </w:tc>
      </w:tr>
      <w:tr w:rsidR="003649D1" w:rsidRPr="00557F5D" w14:paraId="36DCEB2C" w14:textId="77777777" w:rsidTr="00C20542">
        <w:trPr>
          <w:cantSplit/>
          <w:trHeight w:val="255"/>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15235213" w14:textId="4566DD05" w:rsidR="00C16393" w:rsidRDefault="00683419" w:rsidP="003C2438">
            <w:pPr>
              <w:spacing w:after="0"/>
              <w:rPr>
                <w:rFonts w:cs="Arial"/>
              </w:rPr>
            </w:pPr>
            <w:r>
              <w:rPr>
                <w:rFonts w:cs="Arial"/>
              </w:rPr>
              <w:t>29</w:t>
            </w:r>
          </w:p>
        </w:tc>
        <w:tc>
          <w:tcPr>
            <w:tcW w:w="2022" w:type="dxa"/>
            <w:gridSpan w:val="2"/>
            <w:tcBorders>
              <w:top w:val="single" w:sz="4" w:space="0" w:color="auto"/>
              <w:left w:val="nil"/>
              <w:bottom w:val="single" w:sz="4" w:space="0" w:color="auto"/>
              <w:right w:val="nil"/>
            </w:tcBorders>
            <w:shd w:val="clear" w:color="000000" w:fill="FFFFFF"/>
            <w:vAlign w:val="center"/>
          </w:tcPr>
          <w:p w14:paraId="071061B2" w14:textId="77777777" w:rsidR="00C16393" w:rsidRDefault="00C16393" w:rsidP="003C2438">
            <w:pPr>
              <w:spacing w:after="0"/>
              <w:rPr>
                <w:rFonts w:cs="Arial"/>
              </w:rPr>
            </w:pPr>
            <w:proofErr w:type="spellStart"/>
            <w:r>
              <w:rPr>
                <w:rFonts w:cs="Arial"/>
              </w:rPr>
              <w:t>BKKUMnach</w:t>
            </w:r>
            <w:proofErr w:type="spellEnd"/>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80A562"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vAlign w:val="center"/>
          </w:tcPr>
          <w:p w14:paraId="54557186"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F1021C"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74EAE39B"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2A9FD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425ED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53DE57A"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2996511"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C71EA9"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EFF8F0"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72DC3DC"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BFC35D"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4" w:space="0" w:color="auto"/>
              <w:right w:val="single" w:sz="4" w:space="0" w:color="auto"/>
            </w:tcBorders>
            <w:shd w:val="clear" w:color="000000" w:fill="FFFFFF"/>
            <w:noWrap/>
            <w:vAlign w:val="center"/>
          </w:tcPr>
          <w:p w14:paraId="24B684C1"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4" w:space="0" w:color="auto"/>
              <w:right w:val="single" w:sz="4" w:space="0" w:color="auto"/>
            </w:tcBorders>
            <w:shd w:val="clear" w:color="000000" w:fill="FFFFFF"/>
            <w:noWrap/>
            <w:vAlign w:val="center"/>
          </w:tcPr>
          <w:p w14:paraId="090F9BE9" w14:textId="77777777" w:rsidR="00C16393" w:rsidRDefault="00C16393" w:rsidP="003C2438">
            <w:pPr>
              <w:spacing w:after="0"/>
              <w:jc w:val="center"/>
              <w:rPr>
                <w:rFonts w:cs="Arial"/>
              </w:rPr>
            </w:pPr>
            <w:r>
              <w:rPr>
                <w:rFonts w:cs="Arial"/>
              </w:rPr>
              <w:t>IMBNOT</w:t>
            </w:r>
          </w:p>
        </w:tc>
      </w:tr>
      <w:tr w:rsidR="00024C73" w:rsidRPr="00557F5D" w14:paraId="5424D1F9" w14:textId="77777777" w:rsidTr="00C20542">
        <w:trPr>
          <w:cantSplit/>
          <w:trHeight w:val="255"/>
          <w:jc w:val="center"/>
        </w:trPr>
        <w:tc>
          <w:tcPr>
            <w:tcW w:w="446" w:type="dxa"/>
            <w:tcBorders>
              <w:top w:val="single" w:sz="4" w:space="0" w:color="auto"/>
              <w:left w:val="single" w:sz="8" w:space="0" w:color="auto"/>
              <w:bottom w:val="single" w:sz="8" w:space="0" w:color="auto"/>
              <w:right w:val="single" w:sz="4" w:space="0" w:color="auto"/>
            </w:tcBorders>
            <w:shd w:val="clear" w:color="000000" w:fill="FFFFFF"/>
            <w:hideMark/>
          </w:tcPr>
          <w:p w14:paraId="5436D34C" w14:textId="1639D0C0" w:rsidR="00C16393" w:rsidRPr="00557F5D" w:rsidRDefault="00683419" w:rsidP="003C2438">
            <w:pPr>
              <w:spacing w:after="0"/>
              <w:rPr>
                <w:rFonts w:cs="Arial"/>
              </w:rPr>
            </w:pPr>
            <w:r>
              <w:rPr>
                <w:rFonts w:cs="Arial"/>
              </w:rPr>
              <w:lastRenderedPageBreak/>
              <w:t>30</w:t>
            </w:r>
          </w:p>
        </w:tc>
        <w:tc>
          <w:tcPr>
            <w:tcW w:w="2022" w:type="dxa"/>
            <w:gridSpan w:val="2"/>
            <w:tcBorders>
              <w:top w:val="single" w:sz="4" w:space="0" w:color="auto"/>
              <w:left w:val="nil"/>
              <w:bottom w:val="single" w:sz="8" w:space="0" w:color="auto"/>
              <w:right w:val="nil"/>
            </w:tcBorders>
            <w:shd w:val="clear" w:color="000000" w:fill="FFFFFF"/>
            <w:vAlign w:val="center"/>
            <w:hideMark/>
          </w:tcPr>
          <w:p w14:paraId="5654DC0E" w14:textId="77777777" w:rsidR="00C16393" w:rsidRDefault="00C16393" w:rsidP="003C2438">
            <w:pPr>
              <w:spacing w:after="0"/>
              <w:rPr>
                <w:rFonts w:cs="Arial"/>
              </w:rPr>
            </w:pPr>
            <w:r>
              <w:rPr>
                <w:rFonts w:cs="Arial"/>
              </w:rPr>
              <w:t>BKTOL</w:t>
            </w: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08AEFF0"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8" w:space="0" w:color="auto"/>
              <w:right w:val="single" w:sz="4" w:space="0" w:color="auto"/>
            </w:tcBorders>
            <w:shd w:val="clear" w:color="000000" w:fill="FFFFFF"/>
            <w:vAlign w:val="center"/>
          </w:tcPr>
          <w:p w14:paraId="3D237E6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15B57324"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8" w:space="0" w:color="auto"/>
              <w:right w:val="single" w:sz="4" w:space="0" w:color="auto"/>
            </w:tcBorders>
            <w:shd w:val="clear" w:color="000000" w:fill="FFFFFF"/>
            <w:noWrap/>
            <w:vAlign w:val="center"/>
            <w:hideMark/>
          </w:tcPr>
          <w:p w14:paraId="6D0EDC41" w14:textId="77777777" w:rsidR="00C16393" w:rsidRPr="00557F5D"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6E24A1F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0E65B65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6F108044" w14:textId="77777777" w:rsidR="00C16393" w:rsidRPr="00557F5D"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6715A30B"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441CBE07"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1DB2F500"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vAlign w:val="center"/>
          </w:tcPr>
          <w:p w14:paraId="756DCE66"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10941140" w14:textId="77777777" w:rsidR="00C16393" w:rsidRPr="00557F5D" w:rsidRDefault="00C16393" w:rsidP="003C2438">
            <w:pPr>
              <w:spacing w:after="0"/>
              <w:jc w:val="center"/>
              <w:rPr>
                <w:rFonts w:cs="Arial"/>
              </w:rPr>
            </w:pPr>
          </w:p>
        </w:tc>
        <w:tc>
          <w:tcPr>
            <w:tcW w:w="446" w:type="dxa"/>
            <w:gridSpan w:val="2"/>
            <w:tcBorders>
              <w:top w:val="single" w:sz="4" w:space="0" w:color="auto"/>
              <w:left w:val="nil"/>
              <w:bottom w:val="single" w:sz="8" w:space="0" w:color="auto"/>
              <w:right w:val="single" w:sz="4" w:space="0" w:color="auto"/>
            </w:tcBorders>
            <w:shd w:val="clear" w:color="000000" w:fill="FFFFFF"/>
            <w:noWrap/>
            <w:vAlign w:val="center"/>
            <w:hideMark/>
          </w:tcPr>
          <w:p w14:paraId="1B6670D6" w14:textId="77777777" w:rsidR="00C16393" w:rsidRPr="00557F5D" w:rsidRDefault="00C16393" w:rsidP="003C2438">
            <w:pPr>
              <w:spacing w:after="0"/>
              <w:jc w:val="center"/>
              <w:rPr>
                <w:rFonts w:cs="Arial"/>
              </w:rPr>
            </w:pPr>
          </w:p>
        </w:tc>
        <w:tc>
          <w:tcPr>
            <w:tcW w:w="1179" w:type="dxa"/>
            <w:gridSpan w:val="3"/>
            <w:tcBorders>
              <w:top w:val="single" w:sz="4" w:space="0" w:color="auto"/>
              <w:left w:val="nil"/>
              <w:bottom w:val="single" w:sz="8" w:space="0" w:color="auto"/>
              <w:right w:val="single" w:sz="8" w:space="0" w:color="auto"/>
            </w:tcBorders>
            <w:shd w:val="clear" w:color="000000" w:fill="FFFFFF"/>
            <w:noWrap/>
            <w:vAlign w:val="center"/>
            <w:hideMark/>
          </w:tcPr>
          <w:p w14:paraId="44037824" w14:textId="77777777" w:rsidR="00C16393" w:rsidRPr="00557F5D" w:rsidRDefault="00C16393" w:rsidP="003C2438">
            <w:pPr>
              <w:spacing w:after="0"/>
              <w:jc w:val="center"/>
              <w:rPr>
                <w:rFonts w:cs="Arial"/>
              </w:rPr>
            </w:pPr>
            <w:r w:rsidRPr="00557F5D">
              <w:rPr>
                <w:rFonts w:cs="Arial"/>
              </w:rPr>
              <w:t>IMBNOT</w:t>
            </w:r>
          </w:p>
        </w:tc>
      </w:tr>
      <w:tr w:rsidR="00024C73" w:rsidRPr="00557F5D" w14:paraId="2A224B62"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23980F95" w14:textId="430A179D" w:rsidR="00C16393" w:rsidRPr="00557F5D" w:rsidRDefault="00683419" w:rsidP="003C2438">
            <w:pPr>
              <w:spacing w:after="0"/>
              <w:rPr>
                <w:rFonts w:cs="Arial"/>
              </w:rPr>
            </w:pPr>
            <w:r>
              <w:rPr>
                <w:rFonts w:cs="Arial"/>
              </w:rPr>
              <w:t>31</w:t>
            </w:r>
          </w:p>
        </w:tc>
        <w:tc>
          <w:tcPr>
            <w:tcW w:w="2022" w:type="dxa"/>
            <w:gridSpan w:val="2"/>
            <w:tcBorders>
              <w:top w:val="nil"/>
              <w:left w:val="nil"/>
              <w:bottom w:val="single" w:sz="8" w:space="0" w:color="auto"/>
              <w:right w:val="nil"/>
            </w:tcBorders>
            <w:shd w:val="clear" w:color="000000" w:fill="FFFFFF"/>
            <w:vAlign w:val="center"/>
            <w:hideMark/>
          </w:tcPr>
          <w:p w14:paraId="1B9A7D9B" w14:textId="77777777" w:rsidR="00C16393" w:rsidRDefault="00C16393" w:rsidP="003C2438">
            <w:pPr>
              <w:spacing w:after="0"/>
              <w:rPr>
                <w:rFonts w:cs="Arial"/>
              </w:rPr>
            </w:pPr>
            <w:proofErr w:type="spellStart"/>
            <w:r>
              <w:rPr>
                <w:rFonts w:cs="Arial"/>
              </w:rPr>
              <w:t>BKTOLüber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hideMark/>
          </w:tcPr>
          <w:p w14:paraId="10D158D0"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vAlign w:val="center"/>
          </w:tcPr>
          <w:p w14:paraId="4A48CB3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65A840BC"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02C86B01"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DBDBEC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34BF79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4652D0D"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87E081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60A29CE"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EF2CBE7"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38557B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6D834951"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60A0A4F4"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hideMark/>
          </w:tcPr>
          <w:p w14:paraId="0DE520A6" w14:textId="77777777" w:rsidR="00C16393" w:rsidRPr="00557F5D" w:rsidRDefault="00C16393" w:rsidP="003C2438">
            <w:pPr>
              <w:spacing w:after="0"/>
              <w:jc w:val="center"/>
              <w:rPr>
                <w:rFonts w:cs="Arial"/>
              </w:rPr>
            </w:pPr>
            <w:r>
              <w:rPr>
                <w:rFonts w:cs="Arial"/>
              </w:rPr>
              <w:t>TRANOT</w:t>
            </w:r>
          </w:p>
        </w:tc>
      </w:tr>
      <w:tr w:rsidR="00024C73" w:rsidRPr="00557F5D" w14:paraId="3B960925"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00B2C898" w14:textId="7538AEE9" w:rsidR="00C16393" w:rsidRPr="00557F5D" w:rsidRDefault="00683419" w:rsidP="003C2438">
            <w:pPr>
              <w:spacing w:after="0"/>
              <w:rPr>
                <w:rFonts w:cs="Arial"/>
              </w:rPr>
            </w:pPr>
            <w:r>
              <w:rPr>
                <w:rFonts w:cs="Arial"/>
              </w:rPr>
              <w:t>32</w:t>
            </w:r>
          </w:p>
        </w:tc>
        <w:tc>
          <w:tcPr>
            <w:tcW w:w="2022" w:type="dxa"/>
            <w:gridSpan w:val="2"/>
            <w:tcBorders>
              <w:top w:val="nil"/>
              <w:left w:val="nil"/>
              <w:bottom w:val="single" w:sz="8" w:space="0" w:color="auto"/>
              <w:right w:val="nil"/>
            </w:tcBorders>
            <w:shd w:val="clear" w:color="000000" w:fill="FFFFFF"/>
            <w:vAlign w:val="center"/>
            <w:hideMark/>
          </w:tcPr>
          <w:p w14:paraId="65C62876" w14:textId="77777777" w:rsidR="00C16393" w:rsidRDefault="00C16393" w:rsidP="003C2438">
            <w:pPr>
              <w:spacing w:after="0"/>
              <w:rPr>
                <w:rFonts w:cs="Arial"/>
              </w:rPr>
            </w:pPr>
            <w:proofErr w:type="spellStart"/>
            <w:r>
              <w:rPr>
                <w:rFonts w:cs="Arial"/>
              </w:rPr>
              <w:t>BKTOLnach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hideMark/>
          </w:tcPr>
          <w:p w14:paraId="7E0B2E60"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0DFF19A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0E88E4FB"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34C5309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BE5448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581DF2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25BCB25"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68CFF6A"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A2F6F75"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8D3AF34"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BF50D4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5309FBEF"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4112D5B1"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hideMark/>
          </w:tcPr>
          <w:p w14:paraId="0A9CC74A" w14:textId="77777777" w:rsidR="00C16393" w:rsidRPr="00557F5D" w:rsidRDefault="00C16393" w:rsidP="003C2438">
            <w:pPr>
              <w:spacing w:after="0"/>
              <w:jc w:val="center"/>
              <w:rPr>
                <w:rFonts w:cs="Arial"/>
              </w:rPr>
            </w:pPr>
            <w:r w:rsidRPr="00557F5D">
              <w:rPr>
                <w:rFonts w:cs="Arial"/>
              </w:rPr>
              <w:t>IMBNOT</w:t>
            </w:r>
          </w:p>
        </w:tc>
      </w:tr>
      <w:tr w:rsidR="00024C73" w:rsidRPr="00557F5D" w14:paraId="1A1B87E7"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05E9B12D" w14:textId="1A9B086C" w:rsidR="00C16393" w:rsidRPr="00557F5D" w:rsidRDefault="00683419" w:rsidP="003C2438">
            <w:pPr>
              <w:spacing w:after="0"/>
              <w:rPr>
                <w:rFonts w:cs="Arial"/>
              </w:rPr>
            </w:pPr>
            <w:r>
              <w:rPr>
                <w:rFonts w:cs="Arial"/>
              </w:rPr>
              <w:t>33</w:t>
            </w:r>
          </w:p>
        </w:tc>
        <w:tc>
          <w:tcPr>
            <w:tcW w:w="2022" w:type="dxa"/>
            <w:gridSpan w:val="2"/>
            <w:tcBorders>
              <w:top w:val="nil"/>
              <w:left w:val="nil"/>
              <w:bottom w:val="single" w:sz="8" w:space="0" w:color="auto"/>
              <w:right w:val="nil"/>
            </w:tcBorders>
            <w:shd w:val="clear" w:color="000000" w:fill="FFFFFF"/>
            <w:vAlign w:val="center"/>
            <w:hideMark/>
          </w:tcPr>
          <w:p w14:paraId="713ED1ED" w14:textId="77777777" w:rsidR="00C16393" w:rsidRDefault="00C16393" w:rsidP="003C2438">
            <w:pPr>
              <w:spacing w:after="0"/>
              <w:rPr>
                <w:rFonts w:cs="Arial"/>
              </w:rPr>
            </w:pPr>
            <w:r>
              <w:rPr>
                <w:rFonts w:cs="Arial"/>
              </w:rPr>
              <w:t>UETOL</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hideMark/>
          </w:tcPr>
          <w:p w14:paraId="12087559"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698AA1B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066B914D"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67B1EEF1"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02887B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DEA599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27C740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B7B75BA"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A6023D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54C66BF"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F0E6D3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67811A9E"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5EE7036D"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hideMark/>
          </w:tcPr>
          <w:p w14:paraId="5F7B593E" w14:textId="77777777" w:rsidR="00C16393" w:rsidRPr="00557F5D" w:rsidRDefault="00C16393" w:rsidP="003C2438">
            <w:pPr>
              <w:spacing w:after="0"/>
              <w:jc w:val="center"/>
              <w:rPr>
                <w:rFonts w:cs="Arial"/>
              </w:rPr>
            </w:pPr>
            <w:r w:rsidRPr="00557F5D">
              <w:rPr>
                <w:rFonts w:cs="Arial"/>
              </w:rPr>
              <w:t>IMBNOT</w:t>
            </w:r>
          </w:p>
        </w:tc>
      </w:tr>
      <w:tr w:rsidR="00024C73" w:rsidRPr="00557F5D" w14:paraId="73F5CAF5"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2D395D5F" w14:textId="489EE0BD" w:rsidR="00C16393" w:rsidRPr="00557F5D" w:rsidRDefault="00683419" w:rsidP="003C2438">
            <w:pPr>
              <w:spacing w:after="0"/>
              <w:rPr>
                <w:rFonts w:cs="Arial"/>
              </w:rPr>
            </w:pPr>
            <w:r>
              <w:rPr>
                <w:rFonts w:cs="Arial"/>
              </w:rPr>
              <w:t>34</w:t>
            </w:r>
          </w:p>
        </w:tc>
        <w:tc>
          <w:tcPr>
            <w:tcW w:w="2022" w:type="dxa"/>
            <w:gridSpan w:val="2"/>
            <w:tcBorders>
              <w:top w:val="nil"/>
              <w:left w:val="nil"/>
              <w:bottom w:val="single" w:sz="8" w:space="0" w:color="auto"/>
              <w:right w:val="nil"/>
            </w:tcBorders>
            <w:shd w:val="clear" w:color="000000" w:fill="FFFFFF"/>
            <w:vAlign w:val="center"/>
            <w:hideMark/>
          </w:tcPr>
          <w:p w14:paraId="0CBFBEAF" w14:textId="77777777" w:rsidR="00C16393" w:rsidRDefault="00C16393" w:rsidP="003C2438">
            <w:pPr>
              <w:spacing w:after="0"/>
              <w:rPr>
                <w:rFonts w:cs="Arial"/>
              </w:rPr>
            </w:pPr>
            <w:proofErr w:type="spellStart"/>
            <w:r>
              <w:rPr>
                <w:rFonts w:cs="Arial"/>
              </w:rPr>
              <w:t>UETOLnach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hideMark/>
          </w:tcPr>
          <w:p w14:paraId="330309C1"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169A043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2DA04FF4"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7A28104A"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E05E01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273B4D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BED8321"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1CC7FE6"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D537E82"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72926E7"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0C6586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443AB4F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hideMark/>
          </w:tcPr>
          <w:p w14:paraId="1B3C8AF9"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hideMark/>
          </w:tcPr>
          <w:p w14:paraId="7CAC2AE0" w14:textId="77777777" w:rsidR="00C16393" w:rsidRPr="00557F5D" w:rsidRDefault="00C16393" w:rsidP="003C2438">
            <w:pPr>
              <w:spacing w:after="0"/>
              <w:jc w:val="center"/>
              <w:rPr>
                <w:rFonts w:cs="Arial"/>
              </w:rPr>
            </w:pPr>
            <w:r w:rsidRPr="00557F5D">
              <w:rPr>
                <w:rFonts w:cs="Arial"/>
              </w:rPr>
              <w:t>IMBNOT</w:t>
            </w:r>
          </w:p>
        </w:tc>
      </w:tr>
      <w:tr w:rsidR="00B01A1E" w:rsidRPr="00557F5D" w14:paraId="58141C6E"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hideMark/>
          </w:tcPr>
          <w:p w14:paraId="37781550" w14:textId="122093C5" w:rsidR="00C16393" w:rsidRPr="00557F5D" w:rsidRDefault="00683419" w:rsidP="003C2438">
            <w:pPr>
              <w:spacing w:after="0"/>
              <w:rPr>
                <w:rFonts w:cs="Arial"/>
              </w:rPr>
            </w:pPr>
            <w:r>
              <w:rPr>
                <w:rFonts w:cs="Arial"/>
              </w:rPr>
              <w:t>35</w:t>
            </w:r>
          </w:p>
        </w:tc>
        <w:tc>
          <w:tcPr>
            <w:tcW w:w="2022" w:type="dxa"/>
            <w:gridSpan w:val="2"/>
            <w:tcBorders>
              <w:top w:val="nil"/>
              <w:left w:val="nil"/>
              <w:bottom w:val="single" w:sz="8" w:space="0" w:color="auto"/>
              <w:right w:val="nil"/>
            </w:tcBorders>
            <w:shd w:val="clear" w:color="000000" w:fill="FFFFFF"/>
            <w:vAlign w:val="center"/>
          </w:tcPr>
          <w:p w14:paraId="14D65EBB" w14:textId="77777777" w:rsidR="00C16393" w:rsidRDefault="00C16393" w:rsidP="003C2438">
            <w:pPr>
              <w:spacing w:after="0"/>
              <w:rPr>
                <w:rFonts w:cs="Arial"/>
              </w:rPr>
            </w:pPr>
            <w:r>
              <w:rPr>
                <w:rFonts w:cs="Arial"/>
              </w:rPr>
              <w:t>BKFLEX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EFCD60A"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44AC40F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1F45C70F"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52F2572D"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607333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D438A1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3162D90"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4DEBB89"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FCD68E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63D9885" w14:textId="77777777" w:rsidR="00C16393" w:rsidRPr="00557F5D"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410E7C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7999A3C"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1ABEC5D1"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23B7AA7C" w14:textId="77777777" w:rsidR="00C16393" w:rsidRPr="00557F5D" w:rsidRDefault="00C16393" w:rsidP="003C2438">
            <w:pPr>
              <w:spacing w:after="0"/>
              <w:jc w:val="center"/>
              <w:rPr>
                <w:rFonts w:cs="Arial"/>
              </w:rPr>
            </w:pPr>
            <w:r>
              <w:rPr>
                <w:rFonts w:cs="Arial"/>
              </w:rPr>
              <w:t>IMBNOT</w:t>
            </w:r>
          </w:p>
        </w:tc>
      </w:tr>
      <w:tr w:rsidR="00B01A1E" w:rsidRPr="00557F5D" w14:paraId="6C31E167"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16938972" w14:textId="06D1AFA2" w:rsidR="00C16393" w:rsidRPr="00633C96" w:rsidRDefault="00683419" w:rsidP="003C2438">
            <w:pPr>
              <w:spacing w:after="0"/>
              <w:rPr>
                <w:rFonts w:cs="Arial"/>
              </w:rPr>
            </w:pPr>
            <w:r>
              <w:rPr>
                <w:rFonts w:cs="Arial"/>
              </w:rPr>
              <w:t>36</w:t>
            </w:r>
          </w:p>
        </w:tc>
        <w:tc>
          <w:tcPr>
            <w:tcW w:w="2022" w:type="dxa"/>
            <w:gridSpan w:val="2"/>
            <w:tcBorders>
              <w:top w:val="nil"/>
              <w:left w:val="nil"/>
              <w:bottom w:val="single" w:sz="8" w:space="0" w:color="auto"/>
              <w:right w:val="nil"/>
            </w:tcBorders>
            <w:shd w:val="clear" w:color="000000" w:fill="FFFFFF"/>
            <w:vAlign w:val="center"/>
          </w:tcPr>
          <w:p w14:paraId="350C99F4" w14:textId="77777777" w:rsidR="00C16393" w:rsidDel="005F34B9" w:rsidRDefault="00C16393" w:rsidP="003C2438">
            <w:pPr>
              <w:spacing w:after="0"/>
              <w:rPr>
                <w:rFonts w:cs="Arial"/>
              </w:rPr>
            </w:pPr>
            <w:proofErr w:type="spellStart"/>
            <w:r>
              <w:rPr>
                <w:rFonts w:cs="Arial"/>
              </w:rPr>
              <w:t>BKFLEXüber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F7B00AE"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6CD5E14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643091B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36525453"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F79B4E5"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B1D6645"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1E93DEE" w14:textId="77777777" w:rsidR="00C16393" w:rsidDel="005F34B9"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BF9BDA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6ECD874"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738A37E" w14:textId="77777777" w:rsidR="00C16393" w:rsidRPr="004467C5" w:rsidDel="005F34B9"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2E5125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28FC2C01"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6D30EAE5"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08B03D72" w14:textId="77777777" w:rsidR="00C16393" w:rsidDel="005F34B9" w:rsidRDefault="00C16393" w:rsidP="003C2438">
            <w:pPr>
              <w:spacing w:after="0"/>
              <w:jc w:val="center"/>
              <w:rPr>
                <w:rFonts w:cs="Arial"/>
              </w:rPr>
            </w:pPr>
            <w:r>
              <w:rPr>
                <w:rFonts w:cs="Arial"/>
              </w:rPr>
              <w:t>TRANOT</w:t>
            </w:r>
          </w:p>
        </w:tc>
      </w:tr>
      <w:tr w:rsidR="00B01A1E" w:rsidRPr="00557F5D" w14:paraId="2B97D393"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50A125F3" w14:textId="354B7CC5" w:rsidR="00C16393" w:rsidRPr="00633C96" w:rsidRDefault="00683419" w:rsidP="003C2438">
            <w:pPr>
              <w:spacing w:after="0"/>
              <w:rPr>
                <w:rFonts w:cs="Arial"/>
              </w:rPr>
            </w:pPr>
            <w:r>
              <w:rPr>
                <w:rFonts w:cs="Arial"/>
              </w:rPr>
              <w:t>37</w:t>
            </w:r>
          </w:p>
        </w:tc>
        <w:tc>
          <w:tcPr>
            <w:tcW w:w="2022" w:type="dxa"/>
            <w:gridSpan w:val="2"/>
            <w:tcBorders>
              <w:top w:val="nil"/>
              <w:left w:val="nil"/>
              <w:bottom w:val="single" w:sz="8" w:space="0" w:color="auto"/>
              <w:right w:val="nil"/>
            </w:tcBorders>
            <w:shd w:val="clear" w:color="000000" w:fill="FFFFFF"/>
            <w:vAlign w:val="center"/>
          </w:tcPr>
          <w:p w14:paraId="5139CD18" w14:textId="77777777" w:rsidR="00C16393" w:rsidDel="005F34B9" w:rsidRDefault="00C16393" w:rsidP="003C2438">
            <w:pPr>
              <w:spacing w:after="0"/>
              <w:rPr>
                <w:rFonts w:cs="Arial"/>
              </w:rPr>
            </w:pPr>
            <w:proofErr w:type="spellStart"/>
            <w:r>
              <w:rPr>
                <w:rFonts w:cs="Arial"/>
              </w:rPr>
              <w:t>BKFLEXnach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17DE830"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4641447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50EB761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741D7444" w14:textId="77777777" w:rsidR="00C16393" w:rsidRPr="00557F5D"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9024BD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82449C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32E3201" w14:textId="77777777" w:rsidR="00C16393" w:rsidDel="005F34B9"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E410F61"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0F7CCD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D7B15D8" w14:textId="77777777" w:rsidR="00C16393" w:rsidRPr="004467C5" w:rsidDel="005F34B9"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601FE5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45867D8F"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538BB4D5"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31A54012" w14:textId="77777777" w:rsidR="00C16393" w:rsidDel="005F34B9" w:rsidRDefault="00C16393" w:rsidP="003C2438">
            <w:pPr>
              <w:spacing w:after="0"/>
              <w:jc w:val="center"/>
              <w:rPr>
                <w:rFonts w:cs="Arial"/>
              </w:rPr>
            </w:pPr>
            <w:r>
              <w:rPr>
                <w:rFonts w:cs="Arial"/>
              </w:rPr>
              <w:t>IMBNOT</w:t>
            </w:r>
          </w:p>
        </w:tc>
      </w:tr>
      <w:tr w:rsidR="003649D1" w:rsidRPr="00557F5D" w14:paraId="13F449DA"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7A9C6A7E" w14:textId="2BFE5DC5" w:rsidR="00C16393" w:rsidRDefault="00683419" w:rsidP="003C2438">
            <w:pPr>
              <w:spacing w:after="0"/>
              <w:rPr>
                <w:rFonts w:cs="Arial"/>
              </w:rPr>
            </w:pPr>
            <w:r>
              <w:rPr>
                <w:rFonts w:cs="Arial"/>
              </w:rPr>
              <w:t>38</w:t>
            </w:r>
          </w:p>
        </w:tc>
        <w:tc>
          <w:tcPr>
            <w:tcW w:w="2022" w:type="dxa"/>
            <w:gridSpan w:val="2"/>
            <w:tcBorders>
              <w:top w:val="nil"/>
              <w:left w:val="nil"/>
              <w:bottom w:val="single" w:sz="8" w:space="0" w:color="auto"/>
              <w:right w:val="nil"/>
            </w:tcBorders>
            <w:shd w:val="clear" w:color="000000" w:fill="FFFFFF"/>
            <w:vAlign w:val="bottom"/>
          </w:tcPr>
          <w:p w14:paraId="5DAE5789" w14:textId="77777777" w:rsidR="00C16393" w:rsidRDefault="00C16393" w:rsidP="003C2438">
            <w:pPr>
              <w:spacing w:after="0"/>
              <w:rPr>
                <w:rFonts w:cs="Arial"/>
              </w:rPr>
            </w:pPr>
            <w:proofErr w:type="spellStart"/>
            <w:r>
              <w:rPr>
                <w:rFonts w:cs="Arial"/>
              </w:rPr>
              <w:t>SLPUMLüber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461150A"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1B70D43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5288E7B7"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692E2CBF"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B77905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4E994E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00325D6"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3CF3F2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0B5E4A0"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D10AFD5" w14:textId="77777777" w:rsidR="00C16393" w:rsidRPr="004467C5"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43652D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53143754"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499B60B7"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68DA2618" w14:textId="77777777" w:rsidR="00C16393" w:rsidRPr="00557F5D" w:rsidRDefault="00C16393" w:rsidP="003C2438">
            <w:pPr>
              <w:spacing w:after="0"/>
              <w:jc w:val="center"/>
              <w:rPr>
                <w:rFonts w:cs="Arial"/>
              </w:rPr>
            </w:pPr>
            <w:r>
              <w:rPr>
                <w:rFonts w:cs="Arial"/>
              </w:rPr>
              <w:t>TRANOT</w:t>
            </w:r>
          </w:p>
        </w:tc>
      </w:tr>
      <w:tr w:rsidR="00024C73" w:rsidRPr="00557F5D" w14:paraId="77903335"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1DC1EF96" w14:textId="58601DFD" w:rsidR="00C16393" w:rsidRPr="007712B0" w:rsidRDefault="00683419" w:rsidP="003C2438">
            <w:pPr>
              <w:spacing w:after="0"/>
              <w:rPr>
                <w:rFonts w:cs="Arial"/>
              </w:rPr>
            </w:pPr>
            <w:r>
              <w:rPr>
                <w:rFonts w:cs="Arial"/>
              </w:rPr>
              <w:t>39</w:t>
            </w:r>
          </w:p>
        </w:tc>
        <w:tc>
          <w:tcPr>
            <w:tcW w:w="2022" w:type="dxa"/>
            <w:gridSpan w:val="2"/>
            <w:tcBorders>
              <w:top w:val="nil"/>
              <w:left w:val="nil"/>
              <w:bottom w:val="single" w:sz="8" w:space="0" w:color="auto"/>
              <w:right w:val="nil"/>
            </w:tcBorders>
            <w:shd w:val="clear" w:color="000000" w:fill="FFFFFF"/>
            <w:vAlign w:val="bottom"/>
          </w:tcPr>
          <w:p w14:paraId="34111A98" w14:textId="77777777" w:rsidR="00C16393" w:rsidRDefault="00C16393" w:rsidP="003C2438">
            <w:pPr>
              <w:spacing w:after="0"/>
              <w:rPr>
                <w:rFonts w:cs="Arial"/>
              </w:rPr>
            </w:pPr>
            <w:proofErr w:type="spellStart"/>
            <w:r>
              <w:rPr>
                <w:rFonts w:cs="Arial"/>
              </w:rPr>
              <w:t>SLPUMLnach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F360F8A"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27FEDE3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779F25C9"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2F79995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6FD5CAD"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0D9352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7D93757"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32CEF7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DEB0FBB"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DC743A3" w14:textId="77777777" w:rsidR="00C16393" w:rsidRPr="004467C5"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07AA1B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B9B2A6C"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4AB74082"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73329BCE" w14:textId="77777777" w:rsidR="00C16393" w:rsidRDefault="00C16393" w:rsidP="003C2438">
            <w:pPr>
              <w:spacing w:after="0"/>
              <w:jc w:val="center"/>
              <w:rPr>
                <w:rFonts w:cs="Arial"/>
              </w:rPr>
            </w:pPr>
            <w:r>
              <w:rPr>
                <w:rFonts w:cs="Arial"/>
              </w:rPr>
              <w:t>IMBNOT</w:t>
            </w:r>
          </w:p>
        </w:tc>
      </w:tr>
      <w:tr w:rsidR="003649D1" w:rsidRPr="00557F5D" w14:paraId="5AC61864"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72095E61" w14:textId="7A6B616D" w:rsidR="00C16393" w:rsidRDefault="00683419" w:rsidP="003C2438">
            <w:pPr>
              <w:spacing w:after="0"/>
              <w:rPr>
                <w:rFonts w:cs="Arial"/>
              </w:rPr>
            </w:pPr>
            <w:r>
              <w:rPr>
                <w:rFonts w:cs="Arial"/>
              </w:rPr>
              <w:t>40</w:t>
            </w:r>
          </w:p>
        </w:tc>
        <w:tc>
          <w:tcPr>
            <w:tcW w:w="2022" w:type="dxa"/>
            <w:gridSpan w:val="2"/>
            <w:tcBorders>
              <w:top w:val="nil"/>
              <w:left w:val="nil"/>
              <w:bottom w:val="single" w:sz="8" w:space="0" w:color="auto"/>
              <w:right w:val="nil"/>
            </w:tcBorders>
            <w:shd w:val="clear" w:color="000000" w:fill="FFFFFF"/>
            <w:vAlign w:val="bottom"/>
          </w:tcPr>
          <w:p w14:paraId="6C769F41" w14:textId="77777777" w:rsidR="00C16393" w:rsidRDefault="00C16393" w:rsidP="003C2438">
            <w:pPr>
              <w:spacing w:after="0"/>
              <w:rPr>
                <w:rFonts w:cs="Arial"/>
              </w:rPr>
            </w:pPr>
            <w:proofErr w:type="spellStart"/>
            <w:r>
              <w:rPr>
                <w:rFonts w:cs="Arial"/>
              </w:rPr>
              <w:t>RLMUMLüber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DC86FBC"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2D734129"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9978EC6"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064D0359"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386106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92FF33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F918C59"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DC1FB3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5D022E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CD71C22" w14:textId="77777777" w:rsidR="00C16393" w:rsidRPr="004467C5"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35F0AA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7027D139"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429278E2"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083455A4" w14:textId="77777777" w:rsidR="00C16393" w:rsidRPr="00557F5D" w:rsidRDefault="00C16393" w:rsidP="003C2438">
            <w:pPr>
              <w:spacing w:after="0"/>
              <w:jc w:val="center"/>
              <w:rPr>
                <w:rFonts w:cs="Arial"/>
              </w:rPr>
            </w:pPr>
            <w:r>
              <w:rPr>
                <w:rFonts w:cs="Arial"/>
              </w:rPr>
              <w:t>TRANOT</w:t>
            </w:r>
          </w:p>
        </w:tc>
      </w:tr>
      <w:tr w:rsidR="00024C73" w:rsidRPr="00557F5D" w14:paraId="483C2B61"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7CA2ADC9" w14:textId="04858FBB" w:rsidR="00C16393" w:rsidRPr="007712B0" w:rsidRDefault="00683419" w:rsidP="003C2438">
            <w:pPr>
              <w:spacing w:after="0"/>
              <w:rPr>
                <w:rFonts w:cs="Arial"/>
              </w:rPr>
            </w:pPr>
            <w:r>
              <w:rPr>
                <w:rFonts w:cs="Arial"/>
              </w:rPr>
              <w:t>41</w:t>
            </w:r>
          </w:p>
        </w:tc>
        <w:tc>
          <w:tcPr>
            <w:tcW w:w="2022" w:type="dxa"/>
            <w:gridSpan w:val="2"/>
            <w:tcBorders>
              <w:top w:val="nil"/>
              <w:left w:val="nil"/>
              <w:bottom w:val="single" w:sz="8" w:space="0" w:color="auto"/>
              <w:right w:val="nil"/>
            </w:tcBorders>
            <w:shd w:val="clear" w:color="000000" w:fill="FFFFFF"/>
            <w:vAlign w:val="bottom"/>
          </w:tcPr>
          <w:p w14:paraId="07F1E2B9" w14:textId="77777777" w:rsidR="00C16393" w:rsidRDefault="00C16393" w:rsidP="003C2438">
            <w:pPr>
              <w:spacing w:after="0"/>
              <w:rPr>
                <w:rFonts w:cs="Arial"/>
              </w:rPr>
            </w:pPr>
            <w:proofErr w:type="spellStart"/>
            <w:r>
              <w:rPr>
                <w:rFonts w:cs="Arial"/>
              </w:rPr>
              <w:t>RLMUMLnach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593797E"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65A8D001"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1840B286"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050D7156"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FC19BA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17C297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350444D"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959181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9FED7B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0A676E5" w14:textId="77777777" w:rsidR="00C16393" w:rsidRPr="004467C5"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3D2C3337"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63B5A0EA"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49EB2C57"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5E10DEB2" w14:textId="77777777" w:rsidR="00C16393" w:rsidRDefault="00C16393" w:rsidP="003C2438">
            <w:pPr>
              <w:spacing w:after="0"/>
              <w:jc w:val="center"/>
              <w:rPr>
                <w:rFonts w:cs="Arial"/>
              </w:rPr>
            </w:pPr>
            <w:r>
              <w:rPr>
                <w:rFonts w:cs="Arial"/>
              </w:rPr>
              <w:t>IMBNOT</w:t>
            </w:r>
          </w:p>
        </w:tc>
      </w:tr>
      <w:tr w:rsidR="00024C73" w:rsidRPr="00557F5D" w14:paraId="24E3D7A4"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4759047A" w14:textId="12E7B99A" w:rsidR="00C16393" w:rsidRDefault="00683419" w:rsidP="003C2438">
            <w:pPr>
              <w:spacing w:after="0"/>
              <w:rPr>
                <w:rFonts w:cs="Arial"/>
              </w:rPr>
            </w:pPr>
            <w:r>
              <w:rPr>
                <w:rFonts w:cs="Arial"/>
              </w:rPr>
              <w:t>42</w:t>
            </w:r>
          </w:p>
        </w:tc>
        <w:tc>
          <w:tcPr>
            <w:tcW w:w="2022" w:type="dxa"/>
            <w:gridSpan w:val="2"/>
            <w:tcBorders>
              <w:top w:val="nil"/>
              <w:left w:val="nil"/>
              <w:bottom w:val="single" w:sz="8" w:space="0" w:color="auto"/>
              <w:right w:val="nil"/>
            </w:tcBorders>
            <w:shd w:val="clear" w:color="000000" w:fill="FFFFFF"/>
            <w:vAlign w:val="bottom"/>
          </w:tcPr>
          <w:p w14:paraId="3D0D86CD" w14:textId="77777777" w:rsidR="00C16393" w:rsidRDefault="00C16393" w:rsidP="003C2438">
            <w:pPr>
              <w:spacing w:after="0"/>
              <w:rPr>
                <w:rFonts w:cs="Arial"/>
              </w:rPr>
            </w:pPr>
            <w:proofErr w:type="spellStart"/>
            <w:r>
              <w:rPr>
                <w:rFonts w:cs="Arial"/>
              </w:rPr>
              <w:t>KONVUMLüber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AF92F14"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548FEC7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06FF8D6"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52A9EE8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C308124"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BD72296"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756AC89"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325C7A7"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B69413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FF88678"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C4B841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5817E9D5"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28726B0B"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48815698" w14:textId="77777777" w:rsidR="00C16393" w:rsidRDefault="00C16393" w:rsidP="003C2438">
            <w:pPr>
              <w:spacing w:after="0"/>
              <w:jc w:val="center"/>
              <w:rPr>
                <w:rFonts w:cs="Arial"/>
              </w:rPr>
            </w:pPr>
            <w:r>
              <w:rPr>
                <w:rFonts w:cs="Arial"/>
              </w:rPr>
              <w:t>TRANOT</w:t>
            </w:r>
          </w:p>
        </w:tc>
      </w:tr>
      <w:tr w:rsidR="00024C73" w:rsidRPr="00557F5D" w14:paraId="71B6094C"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53D480EC" w14:textId="5EC7F30E" w:rsidR="00C16393" w:rsidRDefault="00683419" w:rsidP="003C2438">
            <w:pPr>
              <w:spacing w:after="0"/>
              <w:rPr>
                <w:rFonts w:cs="Arial"/>
              </w:rPr>
            </w:pPr>
            <w:r>
              <w:rPr>
                <w:rFonts w:cs="Arial"/>
              </w:rPr>
              <w:t>43</w:t>
            </w:r>
          </w:p>
        </w:tc>
        <w:tc>
          <w:tcPr>
            <w:tcW w:w="2022" w:type="dxa"/>
            <w:gridSpan w:val="2"/>
            <w:tcBorders>
              <w:top w:val="nil"/>
              <w:left w:val="nil"/>
              <w:bottom w:val="single" w:sz="8" w:space="0" w:color="auto"/>
              <w:right w:val="nil"/>
            </w:tcBorders>
            <w:shd w:val="clear" w:color="000000" w:fill="FFFFFF"/>
            <w:vAlign w:val="bottom"/>
          </w:tcPr>
          <w:p w14:paraId="1A62CF7A" w14:textId="77777777" w:rsidR="00C16393" w:rsidRDefault="00C16393" w:rsidP="003C2438">
            <w:pPr>
              <w:spacing w:after="0"/>
              <w:rPr>
                <w:rFonts w:cs="Arial"/>
              </w:rPr>
            </w:pPr>
            <w:proofErr w:type="spellStart"/>
            <w:r>
              <w:rPr>
                <w:rFonts w:cs="Arial"/>
              </w:rPr>
              <w:t>KONVUMLnach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BBE4AD1"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2E49296A"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47C69A27"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2914B16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9E73B4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6D8D6DF"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7B813EF"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BE19961"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8C60B1C"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0A50817"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63428CE"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7A0E477D"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10D992C1"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05DFB1D6" w14:textId="77777777" w:rsidR="00C16393" w:rsidRDefault="00C16393" w:rsidP="003C2438">
            <w:pPr>
              <w:spacing w:after="0"/>
              <w:jc w:val="center"/>
              <w:rPr>
                <w:rFonts w:cs="Arial"/>
              </w:rPr>
            </w:pPr>
            <w:r>
              <w:rPr>
                <w:rFonts w:cs="Arial"/>
              </w:rPr>
              <w:t>IMBNOT</w:t>
            </w:r>
          </w:p>
        </w:tc>
      </w:tr>
      <w:tr w:rsidR="00024C73" w:rsidRPr="00557F5D" w14:paraId="16B91125"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6F8FAF67" w14:textId="37C43D13" w:rsidR="00C16393" w:rsidRDefault="00683419" w:rsidP="003C2438">
            <w:pPr>
              <w:spacing w:after="0"/>
              <w:rPr>
                <w:rFonts w:cs="Arial"/>
              </w:rPr>
            </w:pPr>
            <w:r>
              <w:rPr>
                <w:rFonts w:cs="Arial"/>
              </w:rPr>
              <w:t>44</w:t>
            </w:r>
          </w:p>
        </w:tc>
        <w:tc>
          <w:tcPr>
            <w:tcW w:w="2022" w:type="dxa"/>
            <w:gridSpan w:val="2"/>
            <w:tcBorders>
              <w:top w:val="nil"/>
              <w:left w:val="nil"/>
              <w:bottom w:val="single" w:sz="8" w:space="0" w:color="auto"/>
              <w:right w:val="nil"/>
            </w:tcBorders>
            <w:shd w:val="clear" w:color="000000" w:fill="FFFFFF"/>
            <w:vAlign w:val="center"/>
          </w:tcPr>
          <w:p w14:paraId="7648F9ED" w14:textId="77777777" w:rsidR="00C16393" w:rsidRDefault="00C16393" w:rsidP="003C2438">
            <w:pPr>
              <w:spacing w:after="0"/>
              <w:rPr>
                <w:rFonts w:cs="Arial"/>
              </w:rPr>
            </w:pPr>
            <w:r>
              <w:rPr>
                <w:rFonts w:cs="Arial"/>
              </w:rPr>
              <w:t>KONVHL</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8A8EE8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33D2E358"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C6872F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0E0E8ECD"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F88FCA0"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550822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C9D1D6F"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27EDEF3"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83BEFE2"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E6EA89C" w14:textId="77777777" w:rsidR="00C16393"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6475E02"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0AEE5DCD"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75914A9A"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61E7DA93" w14:textId="77777777" w:rsidR="00C16393" w:rsidRDefault="00C16393" w:rsidP="003C2438">
            <w:pPr>
              <w:spacing w:after="0"/>
              <w:jc w:val="center"/>
              <w:rPr>
                <w:rFonts w:cs="Arial"/>
              </w:rPr>
            </w:pPr>
            <w:r w:rsidRPr="00557F5D">
              <w:rPr>
                <w:rFonts w:cs="Arial"/>
              </w:rPr>
              <w:t>IMBNOT</w:t>
            </w:r>
          </w:p>
        </w:tc>
      </w:tr>
      <w:tr w:rsidR="00024C73" w:rsidRPr="00557F5D" w14:paraId="41058340"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54D386D1" w14:textId="7E67C556" w:rsidR="00C16393" w:rsidRDefault="00683419" w:rsidP="003C2438">
            <w:pPr>
              <w:spacing w:after="0"/>
              <w:rPr>
                <w:rFonts w:cs="Arial"/>
              </w:rPr>
            </w:pPr>
            <w:r>
              <w:rPr>
                <w:rFonts w:cs="Arial"/>
              </w:rPr>
              <w:t>45</w:t>
            </w:r>
          </w:p>
        </w:tc>
        <w:tc>
          <w:tcPr>
            <w:tcW w:w="2022" w:type="dxa"/>
            <w:gridSpan w:val="2"/>
            <w:tcBorders>
              <w:top w:val="nil"/>
              <w:left w:val="nil"/>
              <w:bottom w:val="single" w:sz="8" w:space="0" w:color="auto"/>
              <w:right w:val="nil"/>
            </w:tcBorders>
            <w:shd w:val="clear" w:color="000000" w:fill="FFFFFF"/>
            <w:vAlign w:val="center"/>
          </w:tcPr>
          <w:p w14:paraId="51E7D99D" w14:textId="77777777" w:rsidR="00C16393" w:rsidRDefault="00C16393" w:rsidP="003C2438">
            <w:pPr>
              <w:spacing w:after="0"/>
              <w:rPr>
                <w:rFonts w:cs="Arial"/>
              </w:rPr>
            </w:pPr>
            <w:r>
              <w:rPr>
                <w:rFonts w:cs="Arial"/>
              </w:rPr>
              <w:t>KONVLH</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694462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415367FC"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37C8FC06"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347944FA"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B57F9A5"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9110C13"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E092CA3" w14:textId="77777777" w:rsidR="00C16393" w:rsidRDefault="00C16393"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1024D18"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054706D" w14:textId="77777777" w:rsidR="00C16393"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269F638" w14:textId="77777777" w:rsidR="00C16393" w:rsidRDefault="00C16393" w:rsidP="003C2438">
            <w:pPr>
              <w:spacing w:after="0"/>
              <w:jc w:val="center"/>
              <w:rPr>
                <w:rFonts w:cs="Arial"/>
              </w:rPr>
            </w:pPr>
            <w:r w:rsidRPr="004467C5">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617760B" w14:textId="77777777" w:rsidR="00C16393" w:rsidRPr="00557F5D" w:rsidRDefault="00C16393"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5D186A92" w14:textId="77777777" w:rsidR="00C16393" w:rsidRPr="00557F5D" w:rsidRDefault="00C16393"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0CBD566F" w14:textId="77777777" w:rsidR="00C16393" w:rsidRPr="00557F5D" w:rsidRDefault="00C16393"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56A9894F" w14:textId="77777777" w:rsidR="00C16393" w:rsidRDefault="00C16393" w:rsidP="003C2438">
            <w:pPr>
              <w:spacing w:after="0"/>
              <w:jc w:val="center"/>
              <w:rPr>
                <w:rFonts w:cs="Arial"/>
              </w:rPr>
            </w:pPr>
            <w:r w:rsidRPr="00557F5D">
              <w:rPr>
                <w:rFonts w:cs="Arial"/>
              </w:rPr>
              <w:t>IMBNOT</w:t>
            </w:r>
          </w:p>
        </w:tc>
      </w:tr>
      <w:tr w:rsidR="00686CDD" w:rsidRPr="00557F5D" w14:paraId="22E166FE"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32281C5C" w14:textId="65F1FC64" w:rsidR="00686CDD" w:rsidRDefault="00683419" w:rsidP="003C2438">
            <w:pPr>
              <w:spacing w:after="0"/>
              <w:rPr>
                <w:rFonts w:cs="Arial"/>
              </w:rPr>
            </w:pPr>
            <w:r>
              <w:rPr>
                <w:rFonts w:cs="Arial"/>
              </w:rPr>
              <w:t>46</w:t>
            </w:r>
          </w:p>
        </w:tc>
        <w:tc>
          <w:tcPr>
            <w:tcW w:w="2022" w:type="dxa"/>
            <w:gridSpan w:val="2"/>
            <w:tcBorders>
              <w:top w:val="nil"/>
              <w:left w:val="nil"/>
              <w:bottom w:val="single" w:sz="8" w:space="0" w:color="auto"/>
              <w:right w:val="nil"/>
            </w:tcBorders>
            <w:shd w:val="clear" w:color="000000" w:fill="FFFFFF"/>
            <w:vAlign w:val="center"/>
          </w:tcPr>
          <w:p w14:paraId="47D4D28F" w14:textId="7F87BEED" w:rsidR="00686CDD" w:rsidRDefault="00686CDD" w:rsidP="003C2438">
            <w:pPr>
              <w:spacing w:after="0"/>
              <w:rPr>
                <w:rFonts w:cs="Arial"/>
              </w:rPr>
            </w:pPr>
            <w:proofErr w:type="spellStart"/>
            <w:r w:rsidRPr="00060418">
              <w:rPr>
                <w:rFonts w:cs="Arial"/>
              </w:rPr>
              <w:t>SPUMLüber</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A9E8952"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3F06F2AB"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089868D6"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59FA7DA2"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9B289EA"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161BC95"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D8C9398" w14:textId="2B719675" w:rsidR="00686CDD" w:rsidRDefault="00686CDD"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507048A"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945DF32"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089082CB" w14:textId="3FA5C897" w:rsidR="00686CDD" w:rsidRPr="004467C5" w:rsidRDefault="00686CDD"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2AF66284"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492E2158"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09C1FA13" w14:textId="77777777" w:rsidR="00686CDD" w:rsidRPr="00557F5D" w:rsidRDefault="00686CDD"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71A35ADB" w14:textId="2E35E14B" w:rsidR="00686CDD" w:rsidRPr="00557F5D" w:rsidRDefault="00686CDD" w:rsidP="003C2438">
            <w:pPr>
              <w:spacing w:after="0"/>
              <w:jc w:val="center"/>
              <w:rPr>
                <w:rFonts w:cs="Arial"/>
              </w:rPr>
            </w:pPr>
            <w:r>
              <w:rPr>
                <w:rFonts w:cs="Arial"/>
              </w:rPr>
              <w:t>TRANOT</w:t>
            </w:r>
          </w:p>
        </w:tc>
      </w:tr>
      <w:tr w:rsidR="00686CDD" w:rsidRPr="00557F5D" w14:paraId="108545AF" w14:textId="77777777" w:rsidTr="00C20542">
        <w:trPr>
          <w:cantSplit/>
          <w:trHeight w:val="255"/>
          <w:jc w:val="center"/>
        </w:trPr>
        <w:tc>
          <w:tcPr>
            <w:tcW w:w="446" w:type="dxa"/>
            <w:tcBorders>
              <w:top w:val="nil"/>
              <w:left w:val="single" w:sz="8" w:space="0" w:color="auto"/>
              <w:bottom w:val="single" w:sz="8" w:space="0" w:color="auto"/>
              <w:right w:val="single" w:sz="4" w:space="0" w:color="auto"/>
            </w:tcBorders>
            <w:shd w:val="clear" w:color="000000" w:fill="FFFFFF"/>
          </w:tcPr>
          <w:p w14:paraId="116B45F9" w14:textId="4E9C9F29" w:rsidR="00686CDD" w:rsidRDefault="00686CDD" w:rsidP="003C2438">
            <w:pPr>
              <w:spacing w:after="0"/>
              <w:rPr>
                <w:rFonts w:cs="Arial"/>
              </w:rPr>
            </w:pPr>
            <w:r>
              <w:rPr>
                <w:rFonts w:cs="Arial"/>
              </w:rPr>
              <w:t>4</w:t>
            </w:r>
            <w:r w:rsidR="00683419">
              <w:rPr>
                <w:rFonts w:cs="Arial"/>
              </w:rPr>
              <w:t>7</w:t>
            </w:r>
          </w:p>
        </w:tc>
        <w:tc>
          <w:tcPr>
            <w:tcW w:w="2022" w:type="dxa"/>
            <w:gridSpan w:val="2"/>
            <w:tcBorders>
              <w:top w:val="nil"/>
              <w:left w:val="nil"/>
              <w:bottom w:val="single" w:sz="8" w:space="0" w:color="auto"/>
              <w:right w:val="nil"/>
            </w:tcBorders>
            <w:shd w:val="clear" w:color="000000" w:fill="FFFFFF"/>
            <w:vAlign w:val="center"/>
          </w:tcPr>
          <w:p w14:paraId="5B6828B6" w14:textId="7890E767" w:rsidR="00686CDD" w:rsidRDefault="00686CDD" w:rsidP="003C2438">
            <w:pPr>
              <w:spacing w:after="0"/>
              <w:rPr>
                <w:rFonts w:cs="Arial"/>
              </w:rPr>
            </w:pPr>
            <w:proofErr w:type="spellStart"/>
            <w:r w:rsidRPr="00060418">
              <w:rPr>
                <w:rFonts w:cs="Arial"/>
              </w:rPr>
              <w:t>SPUMLnach</w:t>
            </w:r>
            <w:proofErr w:type="spellEnd"/>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45EEC45B"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tcPr>
          <w:p w14:paraId="73EFA2A9"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4B4011CC"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73F7A83B"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EFDD990"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6B906C82"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E9FB987" w14:textId="560D2AA3" w:rsidR="00686CDD" w:rsidRDefault="00686CDD"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709D4515"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C703D0D" w14:textId="77777777" w:rsidR="00686CD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58E2F077" w14:textId="52298AA0" w:rsidR="00686CDD" w:rsidRPr="004467C5" w:rsidRDefault="00686CDD" w:rsidP="003C2438">
            <w:pPr>
              <w:spacing w:after="0"/>
              <w:jc w:val="center"/>
              <w:rPr>
                <w:rFonts w:cs="Arial"/>
              </w:rPr>
            </w:pPr>
            <w:r>
              <w:rPr>
                <w:rFonts w:cs="Arial"/>
              </w:rPr>
              <w:t>x</w:t>
            </w:r>
          </w:p>
        </w:tc>
        <w:tc>
          <w:tcPr>
            <w:tcW w:w="446" w:type="dxa"/>
            <w:gridSpan w:val="2"/>
            <w:tcBorders>
              <w:top w:val="nil"/>
              <w:left w:val="single" w:sz="4" w:space="0" w:color="auto"/>
              <w:bottom w:val="single" w:sz="8" w:space="0" w:color="auto"/>
              <w:right w:val="single" w:sz="4" w:space="0" w:color="auto"/>
            </w:tcBorders>
            <w:shd w:val="clear" w:color="000000" w:fill="FFFFFF"/>
            <w:vAlign w:val="center"/>
          </w:tcPr>
          <w:p w14:paraId="152FEFC8" w14:textId="77777777" w:rsidR="00686CDD" w:rsidRPr="00557F5D" w:rsidRDefault="00686CDD" w:rsidP="003C2438">
            <w:pPr>
              <w:spacing w:after="0"/>
              <w:jc w:val="center"/>
              <w:rPr>
                <w:rFonts w:cs="Arial"/>
              </w:rPr>
            </w:pPr>
          </w:p>
        </w:tc>
        <w:tc>
          <w:tcPr>
            <w:tcW w:w="446" w:type="dxa"/>
            <w:gridSpan w:val="2"/>
            <w:tcBorders>
              <w:top w:val="nil"/>
              <w:left w:val="single" w:sz="4" w:space="0" w:color="auto"/>
              <w:bottom w:val="single" w:sz="8" w:space="0" w:color="auto"/>
              <w:right w:val="single" w:sz="4" w:space="0" w:color="auto"/>
            </w:tcBorders>
            <w:shd w:val="clear" w:color="000000" w:fill="FFFFFF"/>
            <w:noWrap/>
            <w:vAlign w:val="center"/>
          </w:tcPr>
          <w:p w14:paraId="6B0E8A5E" w14:textId="77777777" w:rsidR="00686CDD" w:rsidRPr="00557F5D" w:rsidRDefault="00686CDD" w:rsidP="003C2438">
            <w:pPr>
              <w:spacing w:after="0"/>
              <w:jc w:val="center"/>
              <w:rPr>
                <w:rFonts w:cs="Arial"/>
              </w:rPr>
            </w:pPr>
          </w:p>
        </w:tc>
        <w:tc>
          <w:tcPr>
            <w:tcW w:w="446" w:type="dxa"/>
            <w:gridSpan w:val="2"/>
            <w:tcBorders>
              <w:top w:val="nil"/>
              <w:left w:val="nil"/>
              <w:bottom w:val="single" w:sz="8" w:space="0" w:color="auto"/>
              <w:right w:val="single" w:sz="4" w:space="0" w:color="auto"/>
            </w:tcBorders>
            <w:shd w:val="clear" w:color="000000" w:fill="FFFFFF"/>
            <w:noWrap/>
            <w:vAlign w:val="center"/>
          </w:tcPr>
          <w:p w14:paraId="27DF39A0" w14:textId="77777777" w:rsidR="00686CDD" w:rsidRPr="00557F5D" w:rsidRDefault="00686CDD" w:rsidP="003C2438">
            <w:pPr>
              <w:spacing w:after="0"/>
              <w:jc w:val="center"/>
              <w:rPr>
                <w:rFonts w:cs="Arial"/>
              </w:rPr>
            </w:pPr>
          </w:p>
        </w:tc>
        <w:tc>
          <w:tcPr>
            <w:tcW w:w="1179" w:type="dxa"/>
            <w:gridSpan w:val="3"/>
            <w:tcBorders>
              <w:top w:val="nil"/>
              <w:left w:val="nil"/>
              <w:bottom w:val="single" w:sz="8" w:space="0" w:color="auto"/>
              <w:right w:val="single" w:sz="8" w:space="0" w:color="auto"/>
            </w:tcBorders>
            <w:shd w:val="clear" w:color="000000" w:fill="FFFFFF"/>
            <w:noWrap/>
            <w:vAlign w:val="center"/>
          </w:tcPr>
          <w:p w14:paraId="39B2842B" w14:textId="55854DD3" w:rsidR="00686CDD" w:rsidRPr="00557F5D" w:rsidRDefault="00686CDD" w:rsidP="003C2438">
            <w:pPr>
              <w:spacing w:after="0"/>
              <w:jc w:val="center"/>
              <w:rPr>
                <w:rFonts w:cs="Arial"/>
              </w:rPr>
            </w:pPr>
            <w:r>
              <w:rPr>
                <w:rFonts w:cs="Arial"/>
              </w:rPr>
              <w:t>IMBNOT</w:t>
            </w:r>
          </w:p>
        </w:tc>
      </w:tr>
      <w:tr w:rsidR="009B260A" w:rsidRPr="00557F5D" w14:paraId="4EE50C7D"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0B890924" w14:textId="6E0A605C" w:rsidR="00C16393" w:rsidRDefault="00686CDD" w:rsidP="003C2438">
            <w:pPr>
              <w:spacing w:after="0"/>
              <w:rPr>
                <w:rFonts w:cs="Arial"/>
              </w:rPr>
            </w:pPr>
            <w:r>
              <w:rPr>
                <w:rFonts w:cs="Arial"/>
              </w:rPr>
              <w:t>4</w:t>
            </w:r>
            <w:r w:rsidR="00683419">
              <w:rPr>
                <w:rFonts w:cs="Arial"/>
              </w:rPr>
              <w:t>8</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23306A38" w14:textId="77777777" w:rsidR="00C16393" w:rsidRDefault="00C16393" w:rsidP="003C2438">
            <w:pPr>
              <w:spacing w:after="0"/>
              <w:rPr>
                <w:rFonts w:cs="Arial"/>
              </w:rPr>
            </w:pPr>
            <w:r>
              <w:rPr>
                <w:rFonts w:cs="Arial"/>
              </w:rPr>
              <w:t>BIOFLEX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67AC6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0B4DBEE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A0F1A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62FEFC"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DD04A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08654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22B3EE"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5D889B"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4E5F4E"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AAE145"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90D4CD"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40BA4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370EA9"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C3A2D35" w14:textId="77777777" w:rsidR="00C16393" w:rsidRDefault="00C16393" w:rsidP="003C2438">
            <w:pPr>
              <w:spacing w:after="0"/>
              <w:jc w:val="center"/>
              <w:rPr>
                <w:rFonts w:cs="Arial"/>
              </w:rPr>
            </w:pPr>
            <w:r>
              <w:rPr>
                <w:rFonts w:cs="Arial"/>
              </w:rPr>
              <w:t>IMBNOT</w:t>
            </w:r>
          </w:p>
        </w:tc>
      </w:tr>
      <w:tr w:rsidR="009B260A" w:rsidRPr="00557F5D" w14:paraId="2896FFB6"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441D0721" w14:textId="1F1FADD3" w:rsidR="00C16393" w:rsidRDefault="00686CDD" w:rsidP="003C2438">
            <w:pPr>
              <w:spacing w:after="0"/>
              <w:rPr>
                <w:rFonts w:cs="Arial"/>
              </w:rPr>
            </w:pPr>
            <w:r>
              <w:rPr>
                <w:rFonts w:cs="Arial"/>
              </w:rPr>
              <w:t>4</w:t>
            </w:r>
            <w:r w:rsidR="00683419">
              <w:rPr>
                <w:rFonts w:cs="Arial"/>
              </w:rPr>
              <w:t>9</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28A75029" w14:textId="77777777" w:rsidR="00C16393" w:rsidRDefault="00C16393" w:rsidP="003C2438">
            <w:pPr>
              <w:spacing w:after="0"/>
              <w:rPr>
                <w:rFonts w:cs="Arial"/>
              </w:rPr>
            </w:pPr>
            <w:r>
              <w:rPr>
                <w:rFonts w:cs="Arial"/>
              </w:rPr>
              <w:t>BIOFLEXMAX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BB003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62036D0E"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7BABB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769DEF"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095C49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A3F54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057A83"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39C5A4"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5FD414"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58099D"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C75B0A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07416D"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65BA01"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09D962D" w14:textId="77777777" w:rsidR="00C16393" w:rsidRDefault="00C16393" w:rsidP="003C2438">
            <w:pPr>
              <w:spacing w:after="0"/>
              <w:jc w:val="center"/>
              <w:rPr>
                <w:rFonts w:cs="Arial"/>
              </w:rPr>
            </w:pPr>
            <w:r>
              <w:rPr>
                <w:rFonts w:cs="Arial"/>
              </w:rPr>
              <w:t>IMBNOT</w:t>
            </w:r>
          </w:p>
        </w:tc>
      </w:tr>
      <w:tr w:rsidR="009B260A" w:rsidRPr="00557F5D" w14:paraId="51ACD36B"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43DCA7E8" w14:textId="1D5C29A2" w:rsidR="00C16393" w:rsidRDefault="00683419" w:rsidP="003C2438">
            <w:pPr>
              <w:spacing w:after="0"/>
              <w:rPr>
                <w:rFonts w:cs="Arial"/>
              </w:rPr>
            </w:pPr>
            <w:r>
              <w:rPr>
                <w:rFonts w:cs="Arial"/>
              </w:rPr>
              <w:t>50</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0322515E" w14:textId="77777777" w:rsidR="00C16393" w:rsidRDefault="00C16393" w:rsidP="003C2438">
            <w:pPr>
              <w:spacing w:after="0"/>
              <w:rPr>
                <w:rFonts w:cs="Arial"/>
              </w:rPr>
            </w:pPr>
            <w:r>
              <w:rPr>
                <w:rFonts w:cs="Arial"/>
              </w:rPr>
              <w:t>BIOFLEXSALD</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982DB5"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271E5931"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506E8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AC7CE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4026D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1F1B96"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7231A4"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E74CDA"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7C0CBA"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7012AFE"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DB09A5"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0DE1B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985317"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9B862A3" w14:textId="77777777" w:rsidR="00C16393" w:rsidRDefault="00C16393" w:rsidP="003C2438">
            <w:pPr>
              <w:spacing w:after="0"/>
              <w:jc w:val="center"/>
              <w:rPr>
                <w:rFonts w:cs="Arial"/>
              </w:rPr>
            </w:pPr>
            <w:r>
              <w:rPr>
                <w:rFonts w:cs="Arial"/>
              </w:rPr>
              <w:t>IMBNOT</w:t>
            </w:r>
          </w:p>
        </w:tc>
      </w:tr>
      <w:tr w:rsidR="009B260A" w:rsidRPr="00557F5D" w14:paraId="1209DC84"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6E377F4B" w14:textId="73B5E53E" w:rsidR="00C16393" w:rsidRDefault="00683419" w:rsidP="003C2438">
            <w:pPr>
              <w:spacing w:after="0"/>
              <w:rPr>
                <w:rFonts w:cs="Arial"/>
              </w:rPr>
            </w:pPr>
            <w:r>
              <w:rPr>
                <w:rFonts w:cs="Arial"/>
              </w:rPr>
              <w:t>51</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621B4EC3" w14:textId="77777777" w:rsidR="00C16393" w:rsidRDefault="00C16393" w:rsidP="003C2438">
            <w:pPr>
              <w:spacing w:after="0"/>
              <w:rPr>
                <w:rFonts w:cs="Arial"/>
              </w:rPr>
            </w:pPr>
            <w:r>
              <w:rPr>
                <w:rFonts w:cs="Arial"/>
              </w:rPr>
              <w:t>BIOABRSALD</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A98C0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1F6E6FD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C56FE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6216B5"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50DDCE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E101EF"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613EA24"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0A4963"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AE1A6D"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038C209"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787F40"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B6ABFD"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F0FEEC"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77080CB" w14:textId="77777777" w:rsidR="00C16393" w:rsidRDefault="00C16393" w:rsidP="003C2438">
            <w:pPr>
              <w:spacing w:after="0"/>
              <w:jc w:val="center"/>
              <w:rPr>
                <w:rFonts w:cs="Arial"/>
              </w:rPr>
            </w:pPr>
            <w:r>
              <w:rPr>
                <w:rFonts w:cs="Arial"/>
              </w:rPr>
              <w:t>IMBNOT</w:t>
            </w:r>
          </w:p>
        </w:tc>
      </w:tr>
      <w:tr w:rsidR="009B260A" w:rsidRPr="00557F5D" w14:paraId="22658851"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1F5D7598" w14:textId="242880F9" w:rsidR="00C16393" w:rsidRDefault="00686CDD" w:rsidP="003C2438">
            <w:pPr>
              <w:spacing w:after="0"/>
              <w:rPr>
                <w:rFonts w:cs="Arial"/>
              </w:rPr>
            </w:pPr>
            <w:r>
              <w:rPr>
                <w:rFonts w:cs="Arial"/>
              </w:rPr>
              <w:t>5</w:t>
            </w:r>
            <w:r w:rsidR="00683419">
              <w:rPr>
                <w:rFonts w:cs="Arial"/>
              </w:rPr>
              <w:t>2</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F750030" w14:textId="77777777" w:rsidR="00C16393" w:rsidRDefault="00C16393" w:rsidP="003C2438">
            <w:pPr>
              <w:spacing w:after="0"/>
              <w:rPr>
                <w:rFonts w:cs="Arial"/>
              </w:rPr>
            </w:pPr>
            <w:r>
              <w:rPr>
                <w:rFonts w:cs="Arial"/>
              </w:rPr>
              <w:t>BIOUEBERTR</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95259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42CF671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B2023F"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0CE329"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735F2E"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1745E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E14865"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A31B3D"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58D71D"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41595C" w14:textId="77777777" w:rsidR="00C16393" w:rsidRPr="004467C5"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0E18D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DC5BE8"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BE9EA8"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6D988E5" w14:textId="77777777" w:rsidR="00C16393" w:rsidRDefault="00C16393" w:rsidP="003C2438">
            <w:pPr>
              <w:spacing w:after="0"/>
              <w:jc w:val="center"/>
              <w:rPr>
                <w:rFonts w:cs="Arial"/>
              </w:rPr>
            </w:pPr>
            <w:r>
              <w:rPr>
                <w:rFonts w:cs="Arial"/>
              </w:rPr>
              <w:t>IMBNOT</w:t>
            </w:r>
          </w:p>
        </w:tc>
      </w:tr>
      <w:tr w:rsidR="009B260A" w:rsidRPr="00557F5D" w14:paraId="3B43A2A0"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2C2B5E13" w14:textId="40E89744" w:rsidR="00C16393" w:rsidRDefault="00686CDD" w:rsidP="003C2438">
            <w:pPr>
              <w:spacing w:after="0"/>
              <w:rPr>
                <w:rFonts w:cs="Arial"/>
              </w:rPr>
            </w:pPr>
            <w:r>
              <w:rPr>
                <w:rFonts w:cs="Arial"/>
              </w:rPr>
              <w:t>5</w:t>
            </w:r>
            <w:r w:rsidR="00683419">
              <w:rPr>
                <w:rFonts w:cs="Arial"/>
              </w:rPr>
              <w:t>3</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16C4BFCB" w14:textId="77777777" w:rsidR="00C16393" w:rsidRDefault="00C16393" w:rsidP="003C2438">
            <w:pPr>
              <w:spacing w:after="0"/>
              <w:rPr>
                <w:rFonts w:cs="Arial"/>
              </w:rPr>
            </w:pPr>
            <w:r>
              <w:rPr>
                <w:rFonts w:cs="Arial"/>
              </w:rPr>
              <w:t>BIOKONVHL</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FE8DC4"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0491427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AF93C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58DF1"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E31D0E"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DE9F5E"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94A79A"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EE793E"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ADFF23"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21C3BA"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5E712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2833BF"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55F7E8"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0147119" w14:textId="77777777" w:rsidR="00C16393" w:rsidRDefault="00C16393" w:rsidP="003C2438">
            <w:pPr>
              <w:spacing w:after="0"/>
              <w:jc w:val="center"/>
              <w:rPr>
                <w:rFonts w:cs="Arial"/>
              </w:rPr>
            </w:pPr>
            <w:r>
              <w:rPr>
                <w:rFonts w:cs="Arial"/>
              </w:rPr>
              <w:t>IMBNOT</w:t>
            </w:r>
          </w:p>
        </w:tc>
      </w:tr>
      <w:tr w:rsidR="009B260A" w:rsidRPr="00557F5D" w14:paraId="16B224A7" w14:textId="77777777" w:rsidTr="00C20542">
        <w:trPr>
          <w:cantSplit/>
          <w:trHeight w:val="270"/>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2CC2A619" w14:textId="35FFD822" w:rsidR="00C16393" w:rsidRDefault="00686CDD" w:rsidP="003C2438">
            <w:pPr>
              <w:spacing w:after="0"/>
              <w:rPr>
                <w:rFonts w:cs="Arial"/>
              </w:rPr>
            </w:pPr>
            <w:r>
              <w:rPr>
                <w:rFonts w:cs="Arial"/>
              </w:rPr>
              <w:t>5</w:t>
            </w:r>
            <w:r w:rsidR="00683419">
              <w:rPr>
                <w:rFonts w:cs="Arial"/>
              </w:rPr>
              <w:t>4</w:t>
            </w:r>
          </w:p>
        </w:tc>
        <w:tc>
          <w:tcPr>
            <w:tcW w:w="202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26ADBFB" w14:textId="77777777" w:rsidR="00C16393" w:rsidRDefault="00C16393" w:rsidP="003C2438">
            <w:pPr>
              <w:spacing w:after="0"/>
              <w:rPr>
                <w:rFonts w:cs="Arial"/>
              </w:rPr>
            </w:pPr>
            <w:r>
              <w:rPr>
                <w:rFonts w:cs="Arial"/>
              </w:rPr>
              <w:t>BIOKONVLH</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86104A"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tcPr>
          <w:p w14:paraId="6A2BB422"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AA609B"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48F580"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FEE525"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A9BEBE"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075411"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D30F03B" w14:textId="77777777" w:rsidR="00C16393" w:rsidRDefault="00C16393" w:rsidP="003C2438">
            <w:pPr>
              <w:spacing w:after="0"/>
              <w:jc w:val="center"/>
              <w:rPr>
                <w:rFonts w:cs="Arial"/>
              </w:rPr>
            </w:pPr>
            <w:r>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7D0264" w14:textId="77777777" w:rsidR="00C16393"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D192F1" w14:textId="77777777" w:rsidR="00C16393" w:rsidRDefault="00C16393" w:rsidP="003C2438">
            <w:pPr>
              <w:spacing w:after="0"/>
              <w:jc w:val="center"/>
              <w:rPr>
                <w:rFonts w:cs="Arial"/>
              </w:rPr>
            </w:pPr>
            <w:r w:rsidRPr="004467C5">
              <w:rPr>
                <w:rFonts w:cs="Arial"/>
              </w:rPr>
              <w:t>x</w:t>
            </w: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FEEE83"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10CB97" w14:textId="77777777" w:rsidR="00C16393" w:rsidRPr="00557F5D" w:rsidRDefault="00C16393" w:rsidP="003C2438">
            <w:pPr>
              <w:spacing w:after="0"/>
              <w:jc w:val="center"/>
              <w:rPr>
                <w:rFonts w:cs="Arial"/>
              </w:rPr>
            </w:pPr>
          </w:p>
        </w:tc>
        <w:tc>
          <w:tcPr>
            <w:tcW w:w="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5F3BF2" w14:textId="77777777" w:rsidR="00C16393" w:rsidRPr="00557F5D" w:rsidRDefault="00C16393" w:rsidP="003C2438">
            <w:pPr>
              <w:spacing w:after="0"/>
              <w:jc w:val="center"/>
              <w:rPr>
                <w:rFonts w:cs="Arial"/>
              </w:rPr>
            </w:pPr>
          </w:p>
        </w:tc>
        <w:tc>
          <w:tcPr>
            <w:tcW w:w="117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F8B8676" w14:textId="77777777" w:rsidR="00C16393" w:rsidRDefault="00C16393" w:rsidP="003C2438">
            <w:pPr>
              <w:spacing w:after="0"/>
              <w:jc w:val="center"/>
              <w:rPr>
                <w:rFonts w:cs="Arial"/>
              </w:rPr>
            </w:pPr>
            <w:r>
              <w:rPr>
                <w:rFonts w:cs="Arial"/>
              </w:rPr>
              <w:t>IMBNOT</w:t>
            </w:r>
          </w:p>
        </w:tc>
      </w:tr>
      <w:tr w:rsidR="009B260A" w:rsidRPr="00557F5D" w14:paraId="593D2E81" w14:textId="77777777" w:rsidTr="00C20542">
        <w:trPr>
          <w:trHeight w:val="270"/>
          <w:jc w:val="center"/>
        </w:trPr>
        <w:tc>
          <w:tcPr>
            <w:tcW w:w="446" w:type="dxa"/>
            <w:tcBorders>
              <w:top w:val="single" w:sz="4" w:space="0" w:color="auto"/>
              <w:left w:val="nil"/>
              <w:bottom w:val="nil"/>
              <w:right w:val="nil"/>
            </w:tcBorders>
            <w:shd w:val="clear" w:color="000000" w:fill="FFFFFF"/>
            <w:vAlign w:val="bottom"/>
            <w:hideMark/>
          </w:tcPr>
          <w:p w14:paraId="4B34CE98" w14:textId="77777777" w:rsidR="00C16393" w:rsidRPr="00557F5D" w:rsidRDefault="00C16393" w:rsidP="003C2438">
            <w:pPr>
              <w:spacing w:after="0"/>
              <w:rPr>
                <w:rFonts w:cs="Arial"/>
              </w:rPr>
            </w:pPr>
            <w:r w:rsidRPr="00557F5D">
              <w:rPr>
                <w:rFonts w:cs="Arial"/>
              </w:rPr>
              <w:t> </w:t>
            </w:r>
          </w:p>
        </w:tc>
        <w:tc>
          <w:tcPr>
            <w:tcW w:w="2022" w:type="dxa"/>
            <w:gridSpan w:val="2"/>
            <w:tcBorders>
              <w:top w:val="single" w:sz="4" w:space="0" w:color="auto"/>
              <w:left w:val="nil"/>
              <w:bottom w:val="nil"/>
              <w:right w:val="nil"/>
            </w:tcBorders>
            <w:shd w:val="clear" w:color="000000" w:fill="FFFFFF"/>
            <w:vAlign w:val="bottom"/>
            <w:hideMark/>
          </w:tcPr>
          <w:p w14:paraId="43E67256" w14:textId="77777777" w:rsidR="00C16393" w:rsidRPr="00557F5D" w:rsidRDefault="00C16393" w:rsidP="003C2438">
            <w:pPr>
              <w:spacing w:after="0"/>
              <w:rPr>
                <w:rFonts w:cs="Arial"/>
              </w:rPr>
            </w:pPr>
            <w:r w:rsidRPr="00557F5D">
              <w:rPr>
                <w:rFonts w:cs="Arial"/>
              </w:rPr>
              <w:t> </w:t>
            </w:r>
          </w:p>
        </w:tc>
        <w:tc>
          <w:tcPr>
            <w:tcW w:w="446" w:type="dxa"/>
            <w:gridSpan w:val="2"/>
            <w:tcBorders>
              <w:top w:val="single" w:sz="4" w:space="0" w:color="auto"/>
              <w:left w:val="nil"/>
              <w:bottom w:val="nil"/>
              <w:right w:val="nil"/>
            </w:tcBorders>
            <w:shd w:val="clear" w:color="000000" w:fill="FFFFFF"/>
            <w:noWrap/>
            <w:vAlign w:val="bottom"/>
            <w:hideMark/>
          </w:tcPr>
          <w:p w14:paraId="7ABD3444" w14:textId="77777777" w:rsidR="00C16393" w:rsidRPr="00557F5D" w:rsidRDefault="00C16393" w:rsidP="003C2438">
            <w:pPr>
              <w:spacing w:after="0"/>
              <w:rPr>
                <w:rFonts w:cs="Arial"/>
              </w:rPr>
            </w:pPr>
            <w:r w:rsidRPr="00557F5D">
              <w:rPr>
                <w:rFonts w:cs="Arial"/>
              </w:rPr>
              <w:t> </w:t>
            </w:r>
          </w:p>
        </w:tc>
        <w:tc>
          <w:tcPr>
            <w:tcW w:w="446" w:type="dxa"/>
            <w:gridSpan w:val="2"/>
            <w:tcBorders>
              <w:top w:val="single" w:sz="4" w:space="0" w:color="auto"/>
              <w:left w:val="nil"/>
              <w:bottom w:val="nil"/>
              <w:right w:val="nil"/>
            </w:tcBorders>
            <w:shd w:val="clear" w:color="000000" w:fill="FFFFFF"/>
          </w:tcPr>
          <w:p w14:paraId="478B0B8A"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noWrap/>
            <w:vAlign w:val="bottom"/>
            <w:hideMark/>
          </w:tcPr>
          <w:p w14:paraId="3C468A45" w14:textId="77777777" w:rsidR="00C16393" w:rsidRPr="00557F5D" w:rsidRDefault="00C16393" w:rsidP="003C2438">
            <w:pPr>
              <w:spacing w:after="0"/>
              <w:rPr>
                <w:rFonts w:cs="Arial"/>
              </w:rPr>
            </w:pPr>
            <w:r w:rsidRPr="00557F5D">
              <w:rPr>
                <w:rFonts w:cs="Arial"/>
              </w:rPr>
              <w:t> </w:t>
            </w:r>
          </w:p>
        </w:tc>
        <w:tc>
          <w:tcPr>
            <w:tcW w:w="446" w:type="dxa"/>
            <w:gridSpan w:val="2"/>
            <w:tcBorders>
              <w:top w:val="single" w:sz="4" w:space="0" w:color="auto"/>
              <w:left w:val="nil"/>
              <w:bottom w:val="nil"/>
              <w:right w:val="nil"/>
            </w:tcBorders>
            <w:shd w:val="clear" w:color="000000" w:fill="FFFFFF"/>
            <w:noWrap/>
            <w:vAlign w:val="bottom"/>
            <w:hideMark/>
          </w:tcPr>
          <w:p w14:paraId="79334A6F" w14:textId="77777777" w:rsidR="00C16393" w:rsidRPr="00557F5D" w:rsidRDefault="00C16393" w:rsidP="003C2438">
            <w:pPr>
              <w:spacing w:after="0"/>
              <w:rPr>
                <w:rFonts w:cs="Arial"/>
              </w:rPr>
            </w:pPr>
            <w:r w:rsidRPr="00557F5D">
              <w:rPr>
                <w:rFonts w:cs="Arial"/>
              </w:rPr>
              <w:t> </w:t>
            </w:r>
          </w:p>
        </w:tc>
        <w:tc>
          <w:tcPr>
            <w:tcW w:w="446" w:type="dxa"/>
            <w:gridSpan w:val="2"/>
            <w:tcBorders>
              <w:top w:val="single" w:sz="4" w:space="0" w:color="auto"/>
              <w:left w:val="nil"/>
              <w:bottom w:val="nil"/>
              <w:right w:val="nil"/>
            </w:tcBorders>
            <w:shd w:val="clear" w:color="000000" w:fill="FFFFFF"/>
          </w:tcPr>
          <w:p w14:paraId="3FBB8E91"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19592F76"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0D7E9318"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4BDDAF4C"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129ADD90"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5A32A6D1"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tcPr>
          <w:p w14:paraId="64368108" w14:textId="77777777" w:rsidR="00C16393" w:rsidRPr="00557F5D" w:rsidRDefault="00C16393" w:rsidP="003C2438">
            <w:pPr>
              <w:spacing w:after="0"/>
              <w:rPr>
                <w:rFonts w:cs="Arial"/>
              </w:rPr>
            </w:pPr>
          </w:p>
        </w:tc>
        <w:tc>
          <w:tcPr>
            <w:tcW w:w="446" w:type="dxa"/>
            <w:gridSpan w:val="2"/>
            <w:tcBorders>
              <w:top w:val="single" w:sz="4" w:space="0" w:color="auto"/>
              <w:left w:val="nil"/>
              <w:bottom w:val="nil"/>
              <w:right w:val="nil"/>
            </w:tcBorders>
            <w:shd w:val="clear" w:color="000000" w:fill="FFFFFF"/>
            <w:noWrap/>
            <w:vAlign w:val="bottom"/>
            <w:hideMark/>
          </w:tcPr>
          <w:p w14:paraId="1A00F955" w14:textId="77777777" w:rsidR="00C16393" w:rsidRPr="00557F5D" w:rsidRDefault="00C16393" w:rsidP="003C2438">
            <w:pPr>
              <w:spacing w:after="0"/>
              <w:rPr>
                <w:rFonts w:cs="Arial"/>
              </w:rPr>
            </w:pPr>
            <w:r w:rsidRPr="00557F5D">
              <w:rPr>
                <w:rFonts w:cs="Arial"/>
              </w:rPr>
              <w:t> </w:t>
            </w:r>
          </w:p>
        </w:tc>
        <w:tc>
          <w:tcPr>
            <w:tcW w:w="446" w:type="dxa"/>
            <w:gridSpan w:val="2"/>
            <w:tcBorders>
              <w:top w:val="single" w:sz="4" w:space="0" w:color="auto"/>
              <w:left w:val="nil"/>
              <w:bottom w:val="nil"/>
              <w:right w:val="nil"/>
            </w:tcBorders>
            <w:shd w:val="clear" w:color="000000" w:fill="FFFFFF"/>
            <w:noWrap/>
            <w:vAlign w:val="bottom"/>
            <w:hideMark/>
          </w:tcPr>
          <w:p w14:paraId="3269FB29" w14:textId="77777777" w:rsidR="00C16393" w:rsidRPr="00557F5D" w:rsidRDefault="00C16393" w:rsidP="003C2438">
            <w:pPr>
              <w:spacing w:after="0"/>
              <w:rPr>
                <w:rFonts w:cs="Arial"/>
              </w:rPr>
            </w:pPr>
            <w:r w:rsidRPr="00557F5D">
              <w:rPr>
                <w:rFonts w:cs="Arial"/>
              </w:rPr>
              <w:t> </w:t>
            </w:r>
          </w:p>
        </w:tc>
        <w:tc>
          <w:tcPr>
            <w:tcW w:w="1179" w:type="dxa"/>
            <w:gridSpan w:val="3"/>
            <w:tcBorders>
              <w:top w:val="single" w:sz="4" w:space="0" w:color="auto"/>
              <w:left w:val="nil"/>
              <w:bottom w:val="nil"/>
              <w:right w:val="nil"/>
            </w:tcBorders>
            <w:shd w:val="clear" w:color="000000" w:fill="FFFFFF"/>
            <w:noWrap/>
            <w:vAlign w:val="bottom"/>
            <w:hideMark/>
          </w:tcPr>
          <w:p w14:paraId="26D52019" w14:textId="77777777" w:rsidR="00C16393" w:rsidRPr="00557F5D" w:rsidRDefault="00C16393" w:rsidP="003C2438">
            <w:pPr>
              <w:spacing w:after="0"/>
              <w:rPr>
                <w:rFonts w:cs="Arial"/>
              </w:rPr>
            </w:pPr>
            <w:r w:rsidRPr="00557F5D">
              <w:rPr>
                <w:rFonts w:cs="Arial"/>
              </w:rPr>
              <w:t> </w:t>
            </w:r>
          </w:p>
        </w:tc>
      </w:tr>
      <w:tr w:rsidR="009B260A" w:rsidRPr="00557F5D" w14:paraId="4EA1C2EC" w14:textId="77777777" w:rsidTr="00C20542">
        <w:trPr>
          <w:gridAfter w:val="1"/>
          <w:wAfter w:w="23" w:type="dxa"/>
          <w:trHeight w:val="66"/>
          <w:jc w:val="center"/>
        </w:trPr>
        <w:tc>
          <w:tcPr>
            <w:tcW w:w="577" w:type="dxa"/>
            <w:gridSpan w:val="2"/>
            <w:tcBorders>
              <w:top w:val="nil"/>
              <w:left w:val="nil"/>
              <w:bottom w:val="nil"/>
              <w:right w:val="nil"/>
            </w:tcBorders>
            <w:shd w:val="clear" w:color="000000" w:fill="FFFFFF"/>
            <w:noWrap/>
            <w:vAlign w:val="bottom"/>
            <w:hideMark/>
          </w:tcPr>
          <w:p w14:paraId="1B2DF963" w14:textId="77777777" w:rsidR="00E157A6" w:rsidRDefault="00C16393" w:rsidP="003C2438">
            <w:pPr>
              <w:spacing w:after="0"/>
              <w:jc w:val="center"/>
              <w:rPr>
                <w:rFonts w:cs="Arial"/>
              </w:rPr>
            </w:pPr>
            <w:r w:rsidRPr="00557F5D">
              <w:rPr>
                <w:rFonts w:cs="Arial"/>
              </w:rPr>
              <w:lastRenderedPageBreak/>
              <w:t>X</w:t>
            </w:r>
          </w:p>
        </w:tc>
        <w:tc>
          <w:tcPr>
            <w:tcW w:w="2035" w:type="dxa"/>
            <w:gridSpan w:val="2"/>
            <w:tcBorders>
              <w:top w:val="nil"/>
              <w:left w:val="nil"/>
              <w:bottom w:val="nil"/>
              <w:right w:val="nil"/>
            </w:tcBorders>
            <w:shd w:val="clear" w:color="000000" w:fill="FFFFFF"/>
            <w:noWrap/>
            <w:vAlign w:val="bottom"/>
            <w:hideMark/>
          </w:tcPr>
          <w:p w14:paraId="4DC4FB5E" w14:textId="77777777" w:rsidR="00E157A6" w:rsidRDefault="00C16393" w:rsidP="003C2438">
            <w:pPr>
              <w:spacing w:after="0"/>
              <w:rPr>
                <w:rFonts w:cs="Arial"/>
              </w:rPr>
            </w:pPr>
            <w:r w:rsidRPr="00557F5D">
              <w:rPr>
                <w:rFonts w:cs="Arial"/>
              </w:rPr>
              <w:t>Versand immer</w:t>
            </w:r>
          </w:p>
        </w:tc>
        <w:tc>
          <w:tcPr>
            <w:tcW w:w="446" w:type="dxa"/>
            <w:gridSpan w:val="2"/>
            <w:tcBorders>
              <w:top w:val="nil"/>
              <w:left w:val="nil"/>
              <w:bottom w:val="nil"/>
              <w:right w:val="nil"/>
            </w:tcBorders>
            <w:shd w:val="clear" w:color="000000" w:fill="FFFFFF"/>
            <w:noWrap/>
            <w:vAlign w:val="bottom"/>
            <w:hideMark/>
          </w:tcPr>
          <w:p w14:paraId="18EC2C07" w14:textId="77777777" w:rsidR="00C16393" w:rsidRPr="00557F5D" w:rsidRDefault="00C16393" w:rsidP="003C2438">
            <w:pPr>
              <w:spacing w:after="0"/>
              <w:rPr>
                <w:rFonts w:cs="Arial"/>
              </w:rPr>
            </w:pPr>
            <w:r w:rsidRPr="00557F5D">
              <w:rPr>
                <w:rFonts w:cs="Arial"/>
              </w:rPr>
              <w:t> </w:t>
            </w:r>
          </w:p>
        </w:tc>
        <w:tc>
          <w:tcPr>
            <w:tcW w:w="446" w:type="dxa"/>
            <w:gridSpan w:val="2"/>
            <w:tcBorders>
              <w:top w:val="nil"/>
              <w:left w:val="nil"/>
              <w:bottom w:val="nil"/>
              <w:right w:val="nil"/>
            </w:tcBorders>
            <w:shd w:val="clear" w:color="000000" w:fill="FFFFFF"/>
          </w:tcPr>
          <w:p w14:paraId="3761CB15" w14:textId="77777777" w:rsidR="00C16393" w:rsidRPr="00557F5D" w:rsidRDefault="00C16393" w:rsidP="003C2438">
            <w:pPr>
              <w:spacing w:after="0"/>
              <w:rPr>
                <w:rFonts w:cs="Arial"/>
              </w:rPr>
            </w:pPr>
          </w:p>
        </w:tc>
        <w:tc>
          <w:tcPr>
            <w:tcW w:w="447" w:type="dxa"/>
            <w:gridSpan w:val="2"/>
            <w:tcBorders>
              <w:top w:val="nil"/>
              <w:left w:val="nil"/>
              <w:bottom w:val="nil"/>
              <w:right w:val="nil"/>
            </w:tcBorders>
            <w:shd w:val="clear" w:color="000000" w:fill="FFFFFF"/>
            <w:noWrap/>
            <w:vAlign w:val="bottom"/>
            <w:hideMark/>
          </w:tcPr>
          <w:p w14:paraId="3DB8A37F" w14:textId="77777777" w:rsidR="00C16393" w:rsidRPr="00557F5D" w:rsidRDefault="00C16393" w:rsidP="003C2438">
            <w:pPr>
              <w:spacing w:after="0"/>
              <w:rPr>
                <w:rFonts w:cs="Arial"/>
              </w:rPr>
            </w:pPr>
            <w:r w:rsidRPr="00557F5D">
              <w:rPr>
                <w:rFonts w:cs="Arial"/>
              </w:rPr>
              <w:t> </w:t>
            </w:r>
          </w:p>
        </w:tc>
        <w:tc>
          <w:tcPr>
            <w:tcW w:w="446" w:type="dxa"/>
            <w:gridSpan w:val="2"/>
            <w:tcBorders>
              <w:top w:val="nil"/>
              <w:left w:val="nil"/>
              <w:bottom w:val="nil"/>
              <w:right w:val="nil"/>
            </w:tcBorders>
            <w:shd w:val="clear" w:color="000000" w:fill="FFFFFF"/>
            <w:noWrap/>
            <w:vAlign w:val="bottom"/>
            <w:hideMark/>
          </w:tcPr>
          <w:p w14:paraId="6F6501D2" w14:textId="77777777" w:rsidR="00C16393" w:rsidRPr="00557F5D" w:rsidRDefault="00C16393" w:rsidP="003C2438">
            <w:pPr>
              <w:spacing w:after="0"/>
              <w:rPr>
                <w:rFonts w:cs="Arial"/>
              </w:rPr>
            </w:pPr>
            <w:r w:rsidRPr="00557F5D">
              <w:rPr>
                <w:rFonts w:cs="Arial"/>
              </w:rPr>
              <w:t> </w:t>
            </w:r>
          </w:p>
        </w:tc>
        <w:tc>
          <w:tcPr>
            <w:tcW w:w="446" w:type="dxa"/>
            <w:gridSpan w:val="2"/>
            <w:tcBorders>
              <w:top w:val="nil"/>
              <w:left w:val="nil"/>
              <w:bottom w:val="nil"/>
              <w:right w:val="nil"/>
            </w:tcBorders>
            <w:shd w:val="clear" w:color="000000" w:fill="FFFFFF"/>
          </w:tcPr>
          <w:p w14:paraId="1103C875" w14:textId="77777777" w:rsidR="00C16393" w:rsidRPr="00557F5D" w:rsidRDefault="00C16393" w:rsidP="003C2438">
            <w:pPr>
              <w:spacing w:after="0"/>
              <w:rPr>
                <w:rFonts w:cs="Arial"/>
              </w:rPr>
            </w:pPr>
          </w:p>
        </w:tc>
        <w:tc>
          <w:tcPr>
            <w:tcW w:w="446" w:type="dxa"/>
            <w:gridSpan w:val="2"/>
            <w:tcBorders>
              <w:top w:val="nil"/>
              <w:left w:val="nil"/>
              <w:bottom w:val="nil"/>
              <w:right w:val="nil"/>
            </w:tcBorders>
            <w:shd w:val="clear" w:color="000000" w:fill="FFFFFF"/>
          </w:tcPr>
          <w:p w14:paraId="592DEB06" w14:textId="77777777" w:rsidR="00C16393" w:rsidRPr="00557F5D" w:rsidRDefault="00C16393" w:rsidP="003C2438">
            <w:pPr>
              <w:spacing w:after="0"/>
              <w:rPr>
                <w:rFonts w:cs="Arial"/>
              </w:rPr>
            </w:pPr>
          </w:p>
        </w:tc>
        <w:tc>
          <w:tcPr>
            <w:tcW w:w="445" w:type="dxa"/>
            <w:gridSpan w:val="2"/>
            <w:tcBorders>
              <w:top w:val="nil"/>
              <w:left w:val="nil"/>
              <w:bottom w:val="nil"/>
              <w:right w:val="nil"/>
            </w:tcBorders>
            <w:shd w:val="clear" w:color="000000" w:fill="FFFFFF"/>
          </w:tcPr>
          <w:p w14:paraId="519E19B3" w14:textId="77777777" w:rsidR="00C16393" w:rsidRPr="00557F5D" w:rsidRDefault="00C16393" w:rsidP="003C2438">
            <w:pPr>
              <w:spacing w:after="0"/>
              <w:rPr>
                <w:rFonts w:cs="Arial"/>
              </w:rPr>
            </w:pPr>
          </w:p>
        </w:tc>
        <w:tc>
          <w:tcPr>
            <w:tcW w:w="447" w:type="dxa"/>
            <w:gridSpan w:val="2"/>
            <w:tcBorders>
              <w:top w:val="nil"/>
              <w:left w:val="nil"/>
              <w:bottom w:val="nil"/>
              <w:right w:val="nil"/>
            </w:tcBorders>
            <w:shd w:val="clear" w:color="000000" w:fill="FFFFFF"/>
          </w:tcPr>
          <w:p w14:paraId="394CBDAC" w14:textId="77777777" w:rsidR="00C16393" w:rsidRPr="00557F5D" w:rsidRDefault="00C16393" w:rsidP="003C2438">
            <w:pPr>
              <w:spacing w:after="0"/>
              <w:rPr>
                <w:rFonts w:cs="Arial"/>
              </w:rPr>
            </w:pPr>
          </w:p>
        </w:tc>
        <w:tc>
          <w:tcPr>
            <w:tcW w:w="439" w:type="dxa"/>
            <w:gridSpan w:val="2"/>
            <w:tcBorders>
              <w:top w:val="nil"/>
              <w:left w:val="nil"/>
              <w:bottom w:val="nil"/>
              <w:right w:val="nil"/>
            </w:tcBorders>
            <w:shd w:val="clear" w:color="000000" w:fill="FFFFFF"/>
          </w:tcPr>
          <w:p w14:paraId="50153A90" w14:textId="77777777" w:rsidR="00C16393" w:rsidRPr="00557F5D" w:rsidRDefault="00C16393" w:rsidP="003C2438">
            <w:pPr>
              <w:spacing w:after="0"/>
              <w:rPr>
                <w:rFonts w:cs="Arial"/>
              </w:rPr>
            </w:pPr>
          </w:p>
        </w:tc>
        <w:tc>
          <w:tcPr>
            <w:tcW w:w="446" w:type="dxa"/>
            <w:gridSpan w:val="2"/>
            <w:tcBorders>
              <w:top w:val="nil"/>
              <w:left w:val="nil"/>
              <w:bottom w:val="nil"/>
              <w:right w:val="nil"/>
            </w:tcBorders>
            <w:shd w:val="clear" w:color="000000" w:fill="FFFFFF"/>
          </w:tcPr>
          <w:p w14:paraId="5974804D" w14:textId="77777777" w:rsidR="00C16393" w:rsidRPr="00557F5D" w:rsidRDefault="00C16393" w:rsidP="003C2438">
            <w:pPr>
              <w:spacing w:after="0"/>
              <w:rPr>
                <w:rFonts w:cs="Arial"/>
              </w:rPr>
            </w:pPr>
          </w:p>
        </w:tc>
        <w:tc>
          <w:tcPr>
            <w:tcW w:w="446" w:type="dxa"/>
            <w:gridSpan w:val="2"/>
            <w:tcBorders>
              <w:top w:val="nil"/>
              <w:left w:val="nil"/>
              <w:bottom w:val="nil"/>
              <w:right w:val="nil"/>
            </w:tcBorders>
            <w:shd w:val="clear" w:color="000000" w:fill="FFFFFF"/>
          </w:tcPr>
          <w:p w14:paraId="656AE994" w14:textId="77777777" w:rsidR="00C16393" w:rsidRPr="00557F5D" w:rsidRDefault="00C16393" w:rsidP="003C2438">
            <w:pPr>
              <w:spacing w:after="0"/>
              <w:rPr>
                <w:rFonts w:cs="Arial"/>
              </w:rPr>
            </w:pPr>
          </w:p>
        </w:tc>
        <w:tc>
          <w:tcPr>
            <w:tcW w:w="446" w:type="dxa"/>
            <w:gridSpan w:val="2"/>
            <w:tcBorders>
              <w:top w:val="nil"/>
              <w:left w:val="nil"/>
              <w:bottom w:val="nil"/>
              <w:right w:val="nil"/>
            </w:tcBorders>
            <w:shd w:val="clear" w:color="000000" w:fill="FFFFFF"/>
            <w:noWrap/>
            <w:vAlign w:val="bottom"/>
            <w:hideMark/>
          </w:tcPr>
          <w:p w14:paraId="518FCA47" w14:textId="77777777" w:rsidR="00C16393" w:rsidRPr="00557F5D" w:rsidRDefault="00C16393" w:rsidP="003C2438">
            <w:pPr>
              <w:spacing w:after="0"/>
              <w:rPr>
                <w:rFonts w:cs="Arial"/>
              </w:rPr>
            </w:pPr>
            <w:r w:rsidRPr="00557F5D">
              <w:rPr>
                <w:rFonts w:cs="Arial"/>
              </w:rPr>
              <w:t> </w:t>
            </w:r>
          </w:p>
        </w:tc>
        <w:tc>
          <w:tcPr>
            <w:tcW w:w="439" w:type="dxa"/>
            <w:gridSpan w:val="2"/>
            <w:tcBorders>
              <w:top w:val="nil"/>
              <w:left w:val="nil"/>
              <w:bottom w:val="nil"/>
              <w:right w:val="nil"/>
            </w:tcBorders>
            <w:shd w:val="clear" w:color="000000" w:fill="FFFFFF"/>
            <w:noWrap/>
            <w:vAlign w:val="bottom"/>
            <w:hideMark/>
          </w:tcPr>
          <w:p w14:paraId="144FD4C5" w14:textId="77777777" w:rsidR="00C16393" w:rsidRPr="00557F5D" w:rsidRDefault="00C16393" w:rsidP="003C2438">
            <w:pPr>
              <w:spacing w:after="0"/>
              <w:rPr>
                <w:rFonts w:cs="Arial"/>
              </w:rPr>
            </w:pPr>
            <w:r w:rsidRPr="00557F5D">
              <w:rPr>
                <w:rFonts w:cs="Arial"/>
              </w:rPr>
              <w:t> </w:t>
            </w:r>
          </w:p>
        </w:tc>
        <w:tc>
          <w:tcPr>
            <w:tcW w:w="1025" w:type="dxa"/>
            <w:tcBorders>
              <w:top w:val="nil"/>
              <w:left w:val="nil"/>
              <w:bottom w:val="nil"/>
              <w:right w:val="nil"/>
            </w:tcBorders>
            <w:shd w:val="clear" w:color="000000" w:fill="FFFFFF"/>
            <w:noWrap/>
            <w:vAlign w:val="bottom"/>
            <w:hideMark/>
          </w:tcPr>
          <w:p w14:paraId="55A24E46" w14:textId="77777777" w:rsidR="00C16393" w:rsidRPr="00557F5D" w:rsidRDefault="00C16393" w:rsidP="003C2438">
            <w:pPr>
              <w:spacing w:after="0"/>
              <w:rPr>
                <w:rFonts w:cs="Arial"/>
              </w:rPr>
            </w:pPr>
            <w:r w:rsidRPr="00557F5D">
              <w:rPr>
                <w:rFonts w:cs="Arial"/>
              </w:rPr>
              <w:t> </w:t>
            </w:r>
          </w:p>
        </w:tc>
      </w:tr>
      <w:tr w:rsidR="004637D5" w:rsidRPr="00557F5D" w14:paraId="471BF449" w14:textId="77777777" w:rsidTr="00C20542">
        <w:trPr>
          <w:gridAfter w:val="1"/>
          <w:wAfter w:w="23" w:type="dxa"/>
          <w:trHeight w:val="255"/>
          <w:jc w:val="center"/>
        </w:trPr>
        <w:tc>
          <w:tcPr>
            <w:tcW w:w="577" w:type="dxa"/>
            <w:gridSpan w:val="2"/>
            <w:tcBorders>
              <w:top w:val="nil"/>
              <w:left w:val="nil"/>
              <w:bottom w:val="nil"/>
              <w:right w:val="nil"/>
            </w:tcBorders>
            <w:shd w:val="clear" w:color="000000" w:fill="FFFFFF"/>
            <w:vAlign w:val="bottom"/>
            <w:hideMark/>
          </w:tcPr>
          <w:p w14:paraId="2EBFBC5D" w14:textId="77777777" w:rsidR="00E157A6" w:rsidRDefault="00C20542" w:rsidP="003C2438">
            <w:pPr>
              <w:spacing w:after="0"/>
              <w:jc w:val="center"/>
              <w:rPr>
                <w:rFonts w:cs="Arial"/>
              </w:rPr>
            </w:pPr>
            <w:r>
              <w:rPr>
                <w:rFonts w:cs="Arial"/>
              </w:rPr>
              <w:t>(X)</w:t>
            </w:r>
          </w:p>
        </w:tc>
        <w:tc>
          <w:tcPr>
            <w:tcW w:w="4266" w:type="dxa"/>
            <w:gridSpan w:val="12"/>
            <w:tcBorders>
              <w:top w:val="nil"/>
              <w:left w:val="nil"/>
              <w:bottom w:val="nil"/>
              <w:right w:val="nil"/>
            </w:tcBorders>
            <w:shd w:val="clear" w:color="000000" w:fill="FFFFFF"/>
          </w:tcPr>
          <w:p w14:paraId="0CAA1374" w14:textId="77777777" w:rsidR="004637D5" w:rsidRPr="00557F5D" w:rsidRDefault="004637D5" w:rsidP="003C2438">
            <w:pPr>
              <w:spacing w:after="0"/>
              <w:rPr>
                <w:rFonts w:cs="Arial"/>
              </w:rPr>
            </w:pPr>
            <w:r w:rsidRPr="00557F5D">
              <w:rPr>
                <w:rFonts w:cs="Arial"/>
              </w:rPr>
              <w:t>Versand je nach Allokationsverfah</w:t>
            </w:r>
            <w:r>
              <w:rPr>
                <w:rFonts w:cs="Arial"/>
              </w:rPr>
              <w:t>r</w:t>
            </w:r>
            <w:r w:rsidRPr="00557F5D">
              <w:rPr>
                <w:rFonts w:cs="Arial"/>
              </w:rPr>
              <w:t>en</w:t>
            </w:r>
          </w:p>
        </w:tc>
        <w:tc>
          <w:tcPr>
            <w:tcW w:w="446" w:type="dxa"/>
            <w:gridSpan w:val="2"/>
            <w:tcBorders>
              <w:top w:val="nil"/>
              <w:left w:val="nil"/>
              <w:bottom w:val="nil"/>
              <w:right w:val="nil"/>
            </w:tcBorders>
            <w:shd w:val="clear" w:color="000000" w:fill="FFFFFF"/>
          </w:tcPr>
          <w:p w14:paraId="73B9108B" w14:textId="77777777" w:rsidR="004637D5" w:rsidRPr="00557F5D" w:rsidRDefault="004637D5" w:rsidP="003C2438">
            <w:pPr>
              <w:spacing w:after="0"/>
              <w:rPr>
                <w:rFonts w:cs="Arial"/>
              </w:rPr>
            </w:pPr>
          </w:p>
        </w:tc>
        <w:tc>
          <w:tcPr>
            <w:tcW w:w="445" w:type="dxa"/>
            <w:gridSpan w:val="2"/>
            <w:tcBorders>
              <w:top w:val="nil"/>
              <w:left w:val="nil"/>
              <w:bottom w:val="nil"/>
              <w:right w:val="nil"/>
            </w:tcBorders>
            <w:shd w:val="clear" w:color="000000" w:fill="FFFFFF"/>
          </w:tcPr>
          <w:p w14:paraId="1DBCA8AC" w14:textId="77777777" w:rsidR="004637D5" w:rsidRPr="00557F5D" w:rsidRDefault="004637D5" w:rsidP="003C2438">
            <w:pPr>
              <w:spacing w:after="0"/>
              <w:rPr>
                <w:rFonts w:cs="Arial"/>
              </w:rPr>
            </w:pPr>
          </w:p>
        </w:tc>
        <w:tc>
          <w:tcPr>
            <w:tcW w:w="447" w:type="dxa"/>
            <w:gridSpan w:val="2"/>
            <w:tcBorders>
              <w:top w:val="nil"/>
              <w:left w:val="nil"/>
              <w:bottom w:val="nil"/>
              <w:right w:val="nil"/>
            </w:tcBorders>
            <w:shd w:val="clear" w:color="000000" w:fill="FFFFFF"/>
          </w:tcPr>
          <w:p w14:paraId="699F91D8" w14:textId="77777777" w:rsidR="004637D5" w:rsidRPr="00557F5D" w:rsidRDefault="004637D5" w:rsidP="003C2438">
            <w:pPr>
              <w:spacing w:after="0"/>
              <w:rPr>
                <w:rFonts w:cs="Arial"/>
              </w:rPr>
            </w:pPr>
          </w:p>
        </w:tc>
        <w:tc>
          <w:tcPr>
            <w:tcW w:w="439" w:type="dxa"/>
            <w:gridSpan w:val="2"/>
            <w:tcBorders>
              <w:top w:val="nil"/>
              <w:left w:val="nil"/>
              <w:bottom w:val="nil"/>
              <w:right w:val="nil"/>
            </w:tcBorders>
            <w:shd w:val="clear" w:color="000000" w:fill="FFFFFF"/>
          </w:tcPr>
          <w:p w14:paraId="29AAF0A0" w14:textId="77777777" w:rsidR="004637D5" w:rsidRPr="00557F5D" w:rsidRDefault="004637D5" w:rsidP="003C2438">
            <w:pPr>
              <w:spacing w:after="0"/>
              <w:rPr>
                <w:rFonts w:cs="Arial"/>
              </w:rPr>
            </w:pPr>
          </w:p>
        </w:tc>
        <w:tc>
          <w:tcPr>
            <w:tcW w:w="446" w:type="dxa"/>
            <w:gridSpan w:val="2"/>
            <w:tcBorders>
              <w:top w:val="nil"/>
              <w:left w:val="nil"/>
              <w:bottom w:val="nil"/>
              <w:right w:val="nil"/>
            </w:tcBorders>
            <w:shd w:val="clear" w:color="000000" w:fill="FFFFFF"/>
          </w:tcPr>
          <w:p w14:paraId="1DDDE5D8" w14:textId="77777777" w:rsidR="004637D5" w:rsidRPr="00557F5D" w:rsidRDefault="004637D5" w:rsidP="003C2438">
            <w:pPr>
              <w:spacing w:after="0"/>
              <w:rPr>
                <w:rFonts w:cs="Arial"/>
              </w:rPr>
            </w:pPr>
          </w:p>
        </w:tc>
        <w:tc>
          <w:tcPr>
            <w:tcW w:w="446" w:type="dxa"/>
            <w:gridSpan w:val="2"/>
            <w:tcBorders>
              <w:top w:val="nil"/>
              <w:left w:val="nil"/>
              <w:bottom w:val="nil"/>
              <w:right w:val="nil"/>
            </w:tcBorders>
            <w:shd w:val="clear" w:color="000000" w:fill="FFFFFF"/>
          </w:tcPr>
          <w:p w14:paraId="64C76064" w14:textId="77777777" w:rsidR="004637D5" w:rsidRPr="00557F5D" w:rsidRDefault="004637D5" w:rsidP="003C2438">
            <w:pPr>
              <w:spacing w:after="0"/>
              <w:rPr>
                <w:rFonts w:cs="Arial"/>
              </w:rPr>
            </w:pPr>
          </w:p>
        </w:tc>
        <w:tc>
          <w:tcPr>
            <w:tcW w:w="446" w:type="dxa"/>
            <w:gridSpan w:val="2"/>
            <w:tcBorders>
              <w:top w:val="nil"/>
              <w:left w:val="nil"/>
              <w:bottom w:val="nil"/>
              <w:right w:val="nil"/>
            </w:tcBorders>
            <w:shd w:val="clear" w:color="000000" w:fill="FFFFFF"/>
            <w:noWrap/>
            <w:vAlign w:val="bottom"/>
            <w:hideMark/>
          </w:tcPr>
          <w:p w14:paraId="4FC9BCC3" w14:textId="77777777" w:rsidR="004637D5" w:rsidRPr="00557F5D" w:rsidRDefault="004637D5" w:rsidP="003C2438">
            <w:pPr>
              <w:spacing w:after="0"/>
              <w:rPr>
                <w:rFonts w:cs="Arial"/>
              </w:rPr>
            </w:pPr>
          </w:p>
        </w:tc>
        <w:tc>
          <w:tcPr>
            <w:tcW w:w="439" w:type="dxa"/>
            <w:gridSpan w:val="2"/>
            <w:tcBorders>
              <w:top w:val="nil"/>
              <w:left w:val="nil"/>
              <w:bottom w:val="nil"/>
              <w:right w:val="nil"/>
            </w:tcBorders>
            <w:shd w:val="clear" w:color="000000" w:fill="FFFFFF"/>
            <w:noWrap/>
            <w:vAlign w:val="bottom"/>
            <w:hideMark/>
          </w:tcPr>
          <w:p w14:paraId="095B55EA" w14:textId="77777777" w:rsidR="004637D5" w:rsidRPr="00557F5D" w:rsidRDefault="004637D5" w:rsidP="003C2438">
            <w:pPr>
              <w:spacing w:after="0"/>
              <w:rPr>
                <w:rFonts w:cs="Arial"/>
              </w:rPr>
            </w:pPr>
          </w:p>
        </w:tc>
        <w:tc>
          <w:tcPr>
            <w:tcW w:w="1025" w:type="dxa"/>
            <w:tcBorders>
              <w:top w:val="nil"/>
              <w:left w:val="nil"/>
              <w:bottom w:val="nil"/>
              <w:right w:val="nil"/>
            </w:tcBorders>
            <w:shd w:val="clear" w:color="000000" w:fill="FFFFFF"/>
            <w:noWrap/>
            <w:vAlign w:val="bottom"/>
            <w:hideMark/>
          </w:tcPr>
          <w:p w14:paraId="0FFBBA04" w14:textId="77777777" w:rsidR="004637D5" w:rsidRPr="00557F5D" w:rsidRDefault="004637D5" w:rsidP="003C2438">
            <w:pPr>
              <w:spacing w:after="0"/>
              <w:rPr>
                <w:rFonts w:cs="Arial"/>
              </w:rPr>
            </w:pPr>
          </w:p>
        </w:tc>
      </w:tr>
    </w:tbl>
    <w:p w14:paraId="16775D47" w14:textId="54C346D3" w:rsidR="00321B1B" w:rsidRPr="00996036" w:rsidRDefault="00DF612D" w:rsidP="003C2438">
      <w:pPr>
        <w:pStyle w:val="Abbildung"/>
        <w:rPr>
          <w:b/>
        </w:rPr>
      </w:pPr>
      <w:bookmarkStart w:id="309" w:name="_Toc318721898"/>
      <w:bookmarkStart w:id="310" w:name="_Toc357091932"/>
      <w:bookmarkStart w:id="311" w:name="_Toc390346564"/>
      <w:bookmarkStart w:id="312" w:name="_Toc412562634"/>
      <w:bookmarkStart w:id="313" w:name="_Toc437530320"/>
      <w:bookmarkStart w:id="314" w:name="_Toc111118594"/>
      <w:bookmarkStart w:id="315" w:name="_Toc111196140"/>
      <w:r w:rsidRPr="00996036">
        <w:rPr>
          <w:b/>
        </w:rPr>
        <w:t xml:space="preserve">Abbildung </w:t>
      </w:r>
      <w:r w:rsidR="00561FFA" w:rsidRPr="00996036">
        <w:rPr>
          <w:b/>
        </w:rPr>
        <w:fldChar w:fldCharType="begin"/>
      </w:r>
      <w:r w:rsidR="002A17C0" w:rsidRPr="00996036">
        <w:rPr>
          <w:b/>
        </w:rPr>
        <w:instrText xml:space="preserve"> SEQ Abbildung \* ARABIC </w:instrText>
      </w:r>
      <w:r w:rsidR="00561FFA" w:rsidRPr="00996036">
        <w:rPr>
          <w:b/>
        </w:rPr>
        <w:fldChar w:fldCharType="separate"/>
      </w:r>
      <w:r w:rsidR="00D400FA">
        <w:rPr>
          <w:b/>
        </w:rPr>
        <w:t>11</w:t>
      </w:r>
      <w:r w:rsidR="00561FFA" w:rsidRPr="00996036">
        <w:rPr>
          <w:b/>
        </w:rPr>
        <w:fldChar w:fldCharType="end"/>
      </w:r>
      <w:r w:rsidRPr="00996036">
        <w:rPr>
          <w:b/>
        </w:rPr>
        <w:t>: Übersicht Zeitreihenversand MGV an BKV</w:t>
      </w:r>
      <w:bookmarkEnd w:id="309"/>
      <w:bookmarkEnd w:id="310"/>
      <w:bookmarkEnd w:id="311"/>
      <w:bookmarkEnd w:id="312"/>
      <w:bookmarkEnd w:id="313"/>
      <w:bookmarkEnd w:id="314"/>
      <w:bookmarkEnd w:id="315"/>
    </w:p>
    <w:p w14:paraId="7C422E94" w14:textId="77777777" w:rsidR="00DF612D" w:rsidRDefault="00DF612D" w:rsidP="0022412E">
      <w:pPr>
        <w:pStyle w:val="berschrift1"/>
        <w:tabs>
          <w:tab w:val="clear" w:pos="567"/>
          <w:tab w:val="num" w:pos="-4962"/>
        </w:tabs>
        <w:ind w:left="868" w:hanging="868"/>
      </w:pPr>
      <w:bookmarkStart w:id="316" w:name="_Toc296694081"/>
      <w:bookmarkStart w:id="317" w:name="_Toc391540138"/>
      <w:bookmarkStart w:id="318" w:name="_Toc412661300"/>
      <w:bookmarkStart w:id="319" w:name="_Toc111118457"/>
      <w:bookmarkEnd w:id="19"/>
      <w:bookmarkEnd w:id="20"/>
      <w:bookmarkEnd w:id="21"/>
      <w:bookmarkEnd w:id="22"/>
      <w:bookmarkEnd w:id="23"/>
      <w:r>
        <w:lastRenderedPageBreak/>
        <w:t>Vorgelagerte bilanzierungsrelevante Prozesse</w:t>
      </w:r>
      <w:bookmarkEnd w:id="316"/>
      <w:bookmarkEnd w:id="317"/>
      <w:bookmarkEnd w:id="318"/>
      <w:bookmarkEnd w:id="319"/>
    </w:p>
    <w:p w14:paraId="1201D00A" w14:textId="61B7FE60" w:rsidR="002355F0" w:rsidRDefault="00DF612D" w:rsidP="00187659">
      <w:pPr>
        <w:pStyle w:val="berschrift2"/>
        <w:tabs>
          <w:tab w:val="clear" w:pos="851"/>
        </w:tabs>
        <w:spacing w:before="480"/>
        <w:ind w:left="856" w:hanging="856"/>
      </w:pPr>
      <w:bookmarkStart w:id="320" w:name="_Toc296694082"/>
      <w:bookmarkStart w:id="321" w:name="_Toc391540139"/>
      <w:bookmarkStart w:id="322" w:name="_Toc412661301"/>
      <w:bookmarkStart w:id="323" w:name="_Toc284323626"/>
      <w:bookmarkStart w:id="324" w:name="_Toc284334303"/>
      <w:bookmarkStart w:id="325" w:name="_Toc285005271"/>
      <w:bookmarkStart w:id="326" w:name="_Toc111118458"/>
      <w:r w:rsidRPr="00A37478">
        <w:t>Übermittlung</w:t>
      </w:r>
      <w:r>
        <w:t xml:space="preserve"> der zulässigen BK/SBK</w:t>
      </w:r>
      <w:bookmarkStart w:id="327" w:name="_Toc285005272"/>
      <w:bookmarkEnd w:id="320"/>
      <w:bookmarkEnd w:id="321"/>
      <w:bookmarkEnd w:id="322"/>
      <w:bookmarkEnd w:id="323"/>
      <w:bookmarkEnd w:id="324"/>
      <w:bookmarkEnd w:id="325"/>
      <w:bookmarkEnd w:id="326"/>
    </w:p>
    <w:p w14:paraId="6A96D53D" w14:textId="77777777" w:rsidR="002355F0" w:rsidRDefault="00DF612D" w:rsidP="00187659">
      <w:pPr>
        <w:spacing w:before="240"/>
        <w:rPr>
          <w:u w:val="single"/>
        </w:rPr>
      </w:pPr>
      <w:bookmarkStart w:id="328" w:name="_Toc357091935"/>
      <w:r w:rsidRPr="002E2BFB">
        <w:rPr>
          <w:u w:val="single"/>
        </w:rPr>
        <w:t>Täglich aktualisierte BK-Liste</w:t>
      </w:r>
      <w:bookmarkEnd w:id="328"/>
    </w:p>
    <w:p w14:paraId="377F7B8C" w14:textId="22FCA1F7" w:rsidR="00B6078E" w:rsidRPr="00D5153E" w:rsidRDefault="00EE4A0C" w:rsidP="003C2438">
      <w:r>
        <w:t xml:space="preserve">Der </w:t>
      </w:r>
      <w:r w:rsidR="00DF612D" w:rsidRPr="00D5153E">
        <w:t xml:space="preserve">MGV </w:t>
      </w:r>
      <w:r>
        <w:t xml:space="preserve">stellt </w:t>
      </w:r>
      <w:r w:rsidR="00DF612D" w:rsidRPr="00D5153E">
        <w:t xml:space="preserve">in einem den NB im Internet zugängigen Portal eine täglich aktualisierte Liste aller BK/SBK </w:t>
      </w:r>
      <w:r w:rsidR="00475D4C" w:rsidRPr="00475D4C">
        <w:t xml:space="preserve">mit </w:t>
      </w:r>
      <w:r w:rsidR="00907E8A" w:rsidRPr="00475D4C">
        <w:t>Bilanzkreis</w:t>
      </w:r>
      <w:r>
        <w:t>nummer</w:t>
      </w:r>
      <w:r w:rsidR="00907E8A" w:rsidRPr="00475D4C">
        <w:t xml:space="preserve">, Gültigkeitszeitraum (Beginn und Enddatum) sowie Angaben zum BKV (Name, </w:t>
      </w:r>
      <w:r w:rsidR="00033C21">
        <w:t xml:space="preserve">DVGW- oder GLN-Code, </w:t>
      </w:r>
      <w:r w:rsidR="00907E8A" w:rsidRPr="00475D4C">
        <w:t>Kontaktdaten, Ansprechpartner)</w:t>
      </w:r>
      <w:r w:rsidR="00907E8A">
        <w:t xml:space="preserve"> </w:t>
      </w:r>
      <w:r w:rsidR="00DF612D" w:rsidRPr="00D5153E">
        <w:t>als Downloaddatei (</w:t>
      </w:r>
      <w:proofErr w:type="spellStart"/>
      <w:r w:rsidR="00DF612D" w:rsidRPr="00D5153E">
        <w:t>xls</w:t>
      </w:r>
      <w:proofErr w:type="spellEnd"/>
      <w:r w:rsidR="00DF612D" w:rsidRPr="00D5153E">
        <w:t xml:space="preserve">, </w:t>
      </w:r>
      <w:proofErr w:type="spellStart"/>
      <w:r w:rsidR="00DF612D" w:rsidRPr="00D5153E">
        <w:t>csv</w:t>
      </w:r>
      <w:proofErr w:type="spellEnd"/>
      <w:r w:rsidR="00DF612D" w:rsidRPr="00D5153E">
        <w:t>) zur Verfügung. Der MGV stellt diese Informationen zusätzlich für die FNB des betreffenden Marktgebietes in elektronisch verarbeitbarer Form über ei</w:t>
      </w:r>
      <w:r w:rsidR="00B6078E" w:rsidRPr="00D5153E">
        <w:t>ne Schnittstelle zur Verfügung.</w:t>
      </w:r>
    </w:p>
    <w:p w14:paraId="30B38366" w14:textId="77777777" w:rsidR="00DF612D" w:rsidRPr="00D5153E" w:rsidRDefault="00DF612D" w:rsidP="003C2438">
      <w:r w:rsidRPr="00D5153E">
        <w:t>Falls ein NB bei einer Überprüfung der vertraglichen Regelungen (z.</w:t>
      </w:r>
      <w:r w:rsidR="00C22517">
        <w:t> </w:t>
      </w:r>
      <w:r w:rsidRPr="00D5153E">
        <w:t xml:space="preserve">B. Anlage des Lieferantenrahmenvertrages) feststellt, dass ein BK/SBK für den Liefermonat nicht auf der Liste des MGV aufgeführt </w:t>
      </w:r>
      <w:r w:rsidR="007557DC">
        <w:t xml:space="preserve">oder ungültig </w:t>
      </w:r>
      <w:r w:rsidRPr="00D5153E">
        <w:t>ist, darf der Lieferanten- oder der Bilanzkreiswechsel mit Bezug auf diesen BK/SBK abgelehnt werden.</w:t>
      </w:r>
    </w:p>
    <w:p w14:paraId="71C4BC37" w14:textId="77777777" w:rsidR="00E157A6" w:rsidRDefault="00DF612D" w:rsidP="003C2438">
      <w:pPr>
        <w:spacing w:before="240"/>
        <w:rPr>
          <w:u w:val="single"/>
        </w:rPr>
      </w:pPr>
      <w:bookmarkStart w:id="329" w:name="_Toc357091936"/>
      <w:r w:rsidRPr="00D5153E">
        <w:rPr>
          <w:u w:val="single"/>
        </w:rPr>
        <w:t>Kündigung von BK/SBK</w:t>
      </w:r>
      <w:bookmarkEnd w:id="329"/>
    </w:p>
    <w:p w14:paraId="6BEA655C" w14:textId="1FF1EE1F" w:rsidR="005E56E1" w:rsidRPr="00D5153E" w:rsidRDefault="00DF612D" w:rsidP="003C2438">
      <w:r w:rsidRPr="00D5153E">
        <w:t xml:space="preserve">BK und SBK können nur mit einer Frist von 3 Monaten </w:t>
      </w:r>
      <w:r w:rsidR="003D4016" w:rsidRPr="00D5153E">
        <w:t xml:space="preserve">zum Monatsende </w:t>
      </w:r>
      <w:r w:rsidRPr="00D5153E">
        <w:t xml:space="preserve">vom BKV gekündigt werden. </w:t>
      </w:r>
      <w:r w:rsidR="005E56E1" w:rsidRPr="005E56E1">
        <w:t xml:space="preserve">Im Fall einer außerordentlichen Kündigung eines Bilanzkreisvertrages durch den </w:t>
      </w:r>
      <w:proofErr w:type="spellStart"/>
      <w:r w:rsidR="00EE4A0C">
        <w:t>MGV</w:t>
      </w:r>
      <w:r w:rsidR="005E56E1" w:rsidRPr="005E56E1">
        <w:t>oder</w:t>
      </w:r>
      <w:proofErr w:type="spellEnd"/>
      <w:r w:rsidR="005E56E1" w:rsidRPr="005E56E1">
        <w:t xml:space="preserve"> einer Aufhebung des Bilanzkreisvertrages informiert der </w:t>
      </w:r>
      <w:r w:rsidR="00EE4A0C">
        <w:t>MGV</w:t>
      </w:r>
      <w:r w:rsidR="007576C3">
        <w:t xml:space="preserve"> </w:t>
      </w:r>
      <w:r w:rsidR="005E56E1" w:rsidRPr="005E56E1">
        <w:t xml:space="preserve">die </w:t>
      </w:r>
      <w:r w:rsidR="00EE4A0C">
        <w:t>FNB</w:t>
      </w:r>
      <w:r w:rsidR="003D4234">
        <w:t xml:space="preserve"> </w:t>
      </w:r>
      <w:r w:rsidR="005E56E1" w:rsidRPr="005E56E1">
        <w:t xml:space="preserve">und die betroffenen </w:t>
      </w:r>
      <w:r w:rsidR="00EE4A0C">
        <w:t>VNB</w:t>
      </w:r>
      <w:r w:rsidR="005E56E1" w:rsidRPr="005E56E1">
        <w:t xml:space="preserve"> im Marktgebiet hierüber unter Angabe der Bilanzkreisnummer </w:t>
      </w:r>
      <w:r w:rsidR="00AB435F">
        <w:t xml:space="preserve">und des </w:t>
      </w:r>
      <w:r w:rsidR="00EE4A0C">
        <w:t>BKV</w:t>
      </w:r>
      <w:r w:rsidR="00AB435F">
        <w:t xml:space="preserve"> </w:t>
      </w:r>
      <w:r w:rsidR="005E56E1" w:rsidRPr="005E56E1">
        <w:t>unverzüglich per E-Mail.</w:t>
      </w:r>
      <w:r w:rsidR="005E56E1">
        <w:t xml:space="preserve"> </w:t>
      </w:r>
      <w:r w:rsidR="005E56E1" w:rsidRPr="005E56E1">
        <w:t>B</w:t>
      </w:r>
      <w:r w:rsidR="00AB435F">
        <w:t xml:space="preserve">ei einer Kündigung </w:t>
      </w:r>
      <w:r w:rsidR="003B0C89">
        <w:t>oder Aufhebung eines Bilanzkreisvertrages</w:t>
      </w:r>
      <w:r w:rsidR="005E56E1" w:rsidRPr="005E56E1">
        <w:t xml:space="preserve"> werden automatisch alle </w:t>
      </w:r>
      <w:r w:rsidR="003B0C89">
        <w:t xml:space="preserve">zugehörigen </w:t>
      </w:r>
      <w:r w:rsidR="005E56E1" w:rsidRPr="005E56E1">
        <w:t>S</w:t>
      </w:r>
      <w:r w:rsidR="00AB435F">
        <w:t>BK</w:t>
      </w:r>
      <w:r w:rsidR="005E56E1">
        <w:t xml:space="preserve"> </w:t>
      </w:r>
      <w:r w:rsidR="003B0C89">
        <w:t>geschlossen</w:t>
      </w:r>
      <w:r w:rsidR="005E56E1" w:rsidRPr="005E56E1">
        <w:t>.</w:t>
      </w:r>
    </w:p>
    <w:p w14:paraId="1A3F5B3B" w14:textId="77777777" w:rsidR="00E157A6" w:rsidRDefault="00DF612D" w:rsidP="003C2438">
      <w:pPr>
        <w:spacing w:before="240"/>
        <w:rPr>
          <w:u w:val="single"/>
        </w:rPr>
      </w:pPr>
      <w:bookmarkStart w:id="330" w:name="_Toc357091937"/>
      <w:r w:rsidRPr="00D5153E">
        <w:rPr>
          <w:u w:val="single"/>
        </w:rPr>
        <w:t>Zuordnung zu BK/SBK</w:t>
      </w:r>
      <w:bookmarkEnd w:id="330"/>
    </w:p>
    <w:p w14:paraId="0B9BB3FD" w14:textId="21513BF1" w:rsidR="00DF612D" w:rsidRPr="00706A28" w:rsidRDefault="00DF612D" w:rsidP="003C2438">
      <w:r w:rsidRPr="00706A28">
        <w:t xml:space="preserve">Die Zuordnung der </w:t>
      </w:r>
      <w:r w:rsidR="00201A62">
        <w:t xml:space="preserve">Marktlokationen </w:t>
      </w:r>
      <w:r w:rsidR="00EE4A0C">
        <w:t xml:space="preserve">zum </w:t>
      </w:r>
      <w:r w:rsidRPr="00706A28">
        <w:t>jeweiligen BK/SBK nimmt der TK</w:t>
      </w:r>
      <w:r w:rsidR="00D313F9">
        <w:t>/LF</w:t>
      </w:r>
      <w:r w:rsidRPr="00706A28">
        <w:t xml:space="preserve"> im Rahmen der Neu-Anmeldung zum Lieferbeginn oder bei Einrichtung neuer BK/SBK vor und sendet sie dem NB zu. </w:t>
      </w:r>
      <w:bookmarkEnd w:id="327"/>
      <w:r w:rsidRPr="00706A28">
        <w:t>Bei erstmaligem Abschluss eines Ausspeisevertrages (ggf. in Form eines Lieferantenrahmenvertrages) übermittelt der TK</w:t>
      </w:r>
      <w:r w:rsidR="00D313F9">
        <w:t>/LF</w:t>
      </w:r>
      <w:r w:rsidRPr="00706A28">
        <w:t xml:space="preserve"> dem NB gemäß de</w:t>
      </w:r>
      <w:r w:rsidR="0095266D">
        <w:t>n</w:t>
      </w:r>
      <w:r w:rsidRPr="00706A28">
        <w:t xml:space="preserve"> vertraglichen Regelungen spätestens jedoch 10 WT vor </w:t>
      </w:r>
      <w:r w:rsidR="006D4480" w:rsidRPr="00706A28">
        <w:t xml:space="preserve">Eingang der </w:t>
      </w:r>
      <w:r w:rsidRPr="00706A28">
        <w:t xml:space="preserve">Anmeldung zum Lieferbeginn gemäß </w:t>
      </w:r>
      <w:proofErr w:type="spellStart"/>
      <w:r w:rsidRPr="00706A28">
        <w:t>GeLi</w:t>
      </w:r>
      <w:proofErr w:type="spellEnd"/>
      <w:r w:rsidRPr="00706A28">
        <w:t xml:space="preserve"> Gas die BK/SBK-Nummern, die für die Zuordnung </w:t>
      </w:r>
      <w:r w:rsidR="008049DE">
        <w:t>der von ihm belieferten</w:t>
      </w:r>
      <w:r w:rsidR="008049DE" w:rsidRPr="00706A28">
        <w:t xml:space="preserve"> </w:t>
      </w:r>
      <w:r w:rsidR="00201A62">
        <w:t xml:space="preserve">Marktlokationen </w:t>
      </w:r>
      <w:r w:rsidRPr="00706A28">
        <w:t>genutzt werden sollen.</w:t>
      </w:r>
      <w:r w:rsidR="00FC7BA4" w:rsidRPr="00706A28">
        <w:t xml:space="preserve"> </w:t>
      </w:r>
      <w:r w:rsidRPr="00706A28">
        <w:t>Auch bei nachträglichen Änderungen gilt die Frist von 10 WT.</w:t>
      </w:r>
    </w:p>
    <w:p w14:paraId="6F54A44F" w14:textId="051966A6" w:rsidR="00DF612D" w:rsidRDefault="00DF612D" w:rsidP="003C2438">
      <w:r>
        <w:t xml:space="preserve">Die NB können </w:t>
      </w:r>
      <w:r w:rsidR="00D313F9">
        <w:t>i</w:t>
      </w:r>
      <w:r>
        <w:t xml:space="preserve">hren TK eine verbindliche elektronische Lösung anbieten. </w:t>
      </w:r>
      <w:r w:rsidRPr="003E73DB">
        <w:t xml:space="preserve">Soweit und solange der NB keine elektronische Lösung anbietet, nimmt der TK die Meldung per </w:t>
      </w:r>
      <w:r w:rsidR="00DA1633" w:rsidRPr="003E73DB">
        <w:t>E-Mail an,</w:t>
      </w:r>
      <w:r w:rsidRPr="003E73DB">
        <w:t xml:space="preserve"> die für Lieferantenrahmenverträge vom NB auf dessen Internetseite </w:t>
      </w:r>
      <w:proofErr w:type="gramStart"/>
      <w:r w:rsidRPr="003E73DB">
        <w:t>benannte</w:t>
      </w:r>
      <w:proofErr w:type="gramEnd"/>
      <w:r w:rsidRPr="003E73DB">
        <w:t xml:space="preserve"> zuständige Stelle durch Übermittlung der geänderten Anlage </w:t>
      </w:r>
      <w:r w:rsidR="00536442">
        <w:t>2</w:t>
      </w:r>
      <w:r w:rsidRPr="003E73DB">
        <w:t xml:space="preserve"> des Lieferantenrahmenvertrages vor. Die Änderung ist in der Anlage </w:t>
      </w:r>
      <w:r w:rsidR="00536442">
        <w:t>2</w:t>
      </w:r>
      <w:r w:rsidRPr="003E73DB">
        <w:t xml:space="preserve"> zu kennzeichnen. Der NB bestätigt den Erhalt ebenfalls per E-Mail, sofern vom Lieferanten gewünscht.</w:t>
      </w:r>
    </w:p>
    <w:p w14:paraId="1D305BC5" w14:textId="4EDAD851" w:rsidR="00DF612D" w:rsidRDefault="00DF612D" w:rsidP="003C2438">
      <w:r>
        <w:lastRenderedPageBreak/>
        <w:t xml:space="preserve">Die zuvor genannte Mitteilung der BK/SBK-Zuordnung </w:t>
      </w:r>
      <w:r w:rsidR="00201A62">
        <w:t xml:space="preserve">der Marktlokation </w:t>
      </w:r>
      <w:r>
        <w:t>ist in jedem Fall erforderlich, damit der NB die BK/SBK in seinem Kommunikationssystem vor Empfang von UTILMD-Nachrichten in seinen Systemen einrichten kann.</w:t>
      </w:r>
    </w:p>
    <w:p w14:paraId="633D4BC9" w14:textId="0A587D8C" w:rsidR="00FC7BA4" w:rsidRDefault="00DF612D" w:rsidP="003C2438">
      <w:r>
        <w:t>Der TK sichert im Ein-/Au</w:t>
      </w:r>
      <w:r w:rsidR="00196E7D">
        <w:t>s</w:t>
      </w:r>
      <w:r>
        <w:t xml:space="preserve">speisevertrag bzw. im Lieferantenrahmenvertrag zu, dass er vom BKV ermächtigt wurde, die BK/SBK für die Zuordnung </w:t>
      </w:r>
      <w:r w:rsidR="00CC67F4">
        <w:t xml:space="preserve">der von ihm belieferten </w:t>
      </w:r>
      <w:r>
        <w:t>Ausspeisepunkte/Einspeisepunkte verwenden zu dürfen.</w:t>
      </w:r>
    </w:p>
    <w:p w14:paraId="41915934" w14:textId="508CBA0C" w:rsidR="00FC7BA4" w:rsidRDefault="00DF612D" w:rsidP="003C2438">
      <w:r w:rsidRPr="00543723">
        <w:t>Änderungen</w:t>
      </w:r>
      <w:r>
        <w:t xml:space="preserve"> der Bilanzkreiszuordnung von </w:t>
      </w:r>
      <w:r w:rsidR="00DA1633">
        <w:t>Marktlokationen auf</w:t>
      </w:r>
      <w:r w:rsidR="006D4480">
        <w:t xml:space="preserve"> einem bei dem NB</w:t>
      </w:r>
      <w:r w:rsidRPr="00543723">
        <w:t xml:space="preserve"> neu hinzugekommene</w:t>
      </w:r>
      <w:r w:rsidR="006D4480">
        <w:t>n</w:t>
      </w:r>
      <w:r w:rsidRPr="00543723">
        <w:t xml:space="preserve"> BK/SBK oder gekündigte</w:t>
      </w:r>
      <w:r w:rsidR="006D4480">
        <w:t>m</w:t>
      </w:r>
      <w:r w:rsidRPr="00543723">
        <w:t xml:space="preserve"> BK/SBK müssen dem NB ebenfalls bis </w:t>
      </w:r>
      <w:r w:rsidRPr="009A4147">
        <w:t xml:space="preserve">zum 10. WT vor </w:t>
      </w:r>
      <w:r w:rsidR="006D4480">
        <w:t xml:space="preserve">dem Eingang </w:t>
      </w:r>
      <w:r w:rsidRPr="009A4147">
        <w:t xml:space="preserve">der Stammdatenänderung gemäß </w:t>
      </w:r>
      <w:proofErr w:type="spellStart"/>
      <w:r w:rsidRPr="009A4147">
        <w:t>GeLi</w:t>
      </w:r>
      <w:proofErr w:type="spellEnd"/>
      <w:r w:rsidRPr="009A4147">
        <w:t xml:space="preserve"> Gas in</w:t>
      </w:r>
      <w:r w:rsidRPr="009B64D3">
        <w:t xml:space="preserve"> gleicher Weise mitgeteilt werden.</w:t>
      </w:r>
      <w:r>
        <w:t xml:space="preserve"> </w:t>
      </w:r>
      <w:r w:rsidRPr="00A458E1">
        <w:t xml:space="preserve">Die den </w:t>
      </w:r>
      <w:r w:rsidR="0071541D">
        <w:t>NB</w:t>
      </w:r>
      <w:r w:rsidRPr="00A458E1">
        <w:t xml:space="preserve"> nicht bekannten BK/SBK bzw. unbekannte Zuordnungen eines TK</w:t>
      </w:r>
      <w:r w:rsidR="00D313F9">
        <w:t>/LF</w:t>
      </w:r>
      <w:r w:rsidRPr="00A458E1">
        <w:t xml:space="preserve"> zu einem BK/SBK führen zu einer Ablehnung in den Prozessen nach </w:t>
      </w:r>
      <w:proofErr w:type="spellStart"/>
      <w:r w:rsidRPr="00A458E1">
        <w:t>GeLi</w:t>
      </w:r>
      <w:proofErr w:type="spellEnd"/>
      <w:r w:rsidRPr="00A458E1">
        <w:t xml:space="preserve"> Gas.</w:t>
      </w:r>
    </w:p>
    <w:p w14:paraId="0017EB0C" w14:textId="77777777" w:rsidR="00FC7BA4" w:rsidRDefault="00DF612D" w:rsidP="003C2438">
      <w:r>
        <w:t xml:space="preserve">Änderungen an der Bilanzkreiszuordnung </w:t>
      </w:r>
      <w:r w:rsidR="006D4480">
        <w:t>auf einem bei dem NB bestehenden BK/SBK</w:t>
      </w:r>
      <w:r w:rsidR="006D4480" w:rsidRPr="001753E7">
        <w:t xml:space="preserve"> </w:t>
      </w:r>
      <w:r>
        <w:t xml:space="preserve">werden mit </w:t>
      </w:r>
      <w:r w:rsidR="006D4480">
        <w:t xml:space="preserve">den für den </w:t>
      </w:r>
      <w:r w:rsidRPr="00C30DE5">
        <w:t>Stammdatenänderungsprozess</w:t>
      </w:r>
      <w:r>
        <w:t xml:space="preserve"> </w:t>
      </w:r>
      <w:r w:rsidR="00061C02">
        <w:t xml:space="preserve">geltenden </w:t>
      </w:r>
      <w:r>
        <w:t>Fristigkeit</w:t>
      </w:r>
      <w:r w:rsidR="00061C02">
        <w:t xml:space="preserve">en der </w:t>
      </w:r>
      <w:proofErr w:type="spellStart"/>
      <w:r w:rsidR="00061C02">
        <w:t>GeLi</w:t>
      </w:r>
      <w:proofErr w:type="spellEnd"/>
      <w:r w:rsidR="00061C02">
        <w:t xml:space="preserve"> Gas</w:t>
      </w:r>
      <w:r>
        <w:t xml:space="preserve"> durchgeführt (</w:t>
      </w:r>
      <w:proofErr w:type="spellStart"/>
      <w:r>
        <w:t>GeLi</w:t>
      </w:r>
      <w:proofErr w:type="spellEnd"/>
      <w:r>
        <w:t>-Prozesse, UTILMD). Eine Änderung in einen neuen BK/SBK kann nur durchgeführt werden, wenn der BK/SBK wie zuvor beschrieben dem NB gemeldet wurde.</w:t>
      </w:r>
    </w:p>
    <w:p w14:paraId="30A0E5F4" w14:textId="3A83B32A" w:rsidR="00C049D3" w:rsidRDefault="00C049D3" w:rsidP="003C2438">
      <w:r>
        <w:t xml:space="preserve">Im Rahmen einer Marktraumumstellung ist die fristgerechte Bilanzierung mit der geänderten Gasqualität sicherzustellen. Die Bilanzkreiszuordnung der umstellrelevanten </w:t>
      </w:r>
      <w:r w:rsidR="00201A62">
        <w:t xml:space="preserve">Marktlokationen </w:t>
      </w:r>
      <w:r>
        <w:t xml:space="preserve">zu H-Gas-Bilanzkreisen/Subbilanzkonten meldet der </w:t>
      </w:r>
      <w:r w:rsidR="00D313F9">
        <w:t>LF</w:t>
      </w:r>
      <w:r>
        <w:t xml:space="preserve"> dem </w:t>
      </w:r>
      <w:r w:rsidR="004F593C">
        <w:t>NB</w:t>
      </w:r>
      <w:r>
        <w:t xml:space="preserve"> mindestens 2 Monate vor dem bilanziellen Umstelltermin mit entsprechenden bilanzierungsrelevanten Änderungsmeldungen</w:t>
      </w:r>
      <w:r w:rsidR="001104CB">
        <w:t xml:space="preserve"> (nach </w:t>
      </w:r>
      <w:proofErr w:type="spellStart"/>
      <w:r w:rsidR="001104CB">
        <w:t>GeLi</w:t>
      </w:r>
      <w:proofErr w:type="spellEnd"/>
      <w:r w:rsidR="001104CB">
        <w:t xml:space="preserve"> Gas)</w:t>
      </w:r>
      <w:r>
        <w:t xml:space="preserve">. Damit kann der </w:t>
      </w:r>
      <w:r w:rsidR="004F593C">
        <w:t>NB</w:t>
      </w:r>
      <w:r>
        <w:t xml:space="preserve"> eine Vollständigkeit prüfen und es kann noch innerhalb der Mindestfristen gem. </w:t>
      </w:r>
      <w:proofErr w:type="spellStart"/>
      <w:r>
        <w:t>GeLi</w:t>
      </w:r>
      <w:proofErr w:type="spellEnd"/>
      <w:r>
        <w:t xml:space="preserve"> Gas eine ggf. erforderliche Zuordnungskorrektur erfolgen. Bei neu hinzukommenden BK/SBK oder Änderungen für solche BK/SBK gilt die genannte Frist von 10 WT für die vorherige Mitteilung der BK-/SBK-Nummern vor Eingang der UTILMD entsprechend.</w:t>
      </w:r>
    </w:p>
    <w:p w14:paraId="27A29D22" w14:textId="697D2953" w:rsidR="00C049D3" w:rsidRDefault="00C049D3" w:rsidP="003C2438">
      <w:r>
        <w:t xml:space="preserve">Der bilanzielle Umstellungstermin ist der Monatserste des Monats, ab dem Allokationswerte der umgestellten </w:t>
      </w:r>
      <w:r w:rsidR="00D313F9">
        <w:t xml:space="preserve">Marktlokationen </w:t>
      </w:r>
      <w:r>
        <w:t>ausschließlich für H-Gas-BK/SBK versandt werden.</w:t>
      </w:r>
    </w:p>
    <w:p w14:paraId="2472DA26" w14:textId="546D31CF" w:rsidR="00DF612D" w:rsidRDefault="00DF612D" w:rsidP="003C2438">
      <w:r>
        <w:t xml:space="preserve">Die Zuordnung von </w:t>
      </w:r>
      <w:r w:rsidR="00201A62">
        <w:t>Einspeisepunkten</w:t>
      </w:r>
      <w:r>
        <w:t xml:space="preserve"> zu einem Bilanzkreis ist im Einspeisevertrag verankert. Dies gilt auch für Biogas</w:t>
      </w:r>
      <w:r w:rsidR="003D4016">
        <w:t>- bzw. Wasserstoff</w:t>
      </w:r>
      <w:r>
        <w:t>einspeisungen.</w:t>
      </w:r>
    </w:p>
    <w:p w14:paraId="6527B181" w14:textId="572CFFDA" w:rsidR="00DF612D" w:rsidRDefault="00DF612D" w:rsidP="003C2438">
      <w:r>
        <w:t>Für Einspeisungen aus Biogasanlagen, inländischer Produktion (ohne Biogas)</w:t>
      </w:r>
      <w:r w:rsidR="00DD526F">
        <w:t>, Wasserstoff</w:t>
      </w:r>
      <w:r w:rsidR="00A96A8C">
        <w:t>-E</w:t>
      </w:r>
      <w:r w:rsidR="00DD526F">
        <w:t>rzeugungsanlagen</w:t>
      </w:r>
      <w:r>
        <w:t xml:space="preserve"> und Speichern meldet der TK</w:t>
      </w:r>
      <w:r w:rsidR="00D313F9">
        <w:t>/LF</w:t>
      </w:r>
      <w:r>
        <w:t xml:space="preserve"> dem NB vor der geplanten Einspeisung, welchem BK/SBK der </w:t>
      </w:r>
      <w:r w:rsidR="00201A62">
        <w:t>Einspeisepunkt</w:t>
      </w:r>
      <w:r>
        <w:t xml:space="preserve"> zugeordnet wird. Voraussetzung für den Beginn einer Einspeisung ist die Übermittlung der zuvor genannten Zuordnung mittels Einspeisedatenblatt (Biogas-Einspeisung) bzw. auf Grundlage vertraglicher Regelungen 10 WT vor Beginn der Lieferung. Sofern die Zuordnung zum Zeitpunkt der Prüfung durch den NB nicht vorliegt, wird der Einspeisebeginn abgelehnt.</w:t>
      </w:r>
    </w:p>
    <w:p w14:paraId="3ED18990" w14:textId="77777777" w:rsidR="00DF612D" w:rsidRDefault="00DF612D" w:rsidP="003C2438">
      <w:r>
        <w:t>Im begründeten Zweifel kann der NB vom TK eine vom BKV unterschriebene Vollmacht (Zuordnungsermächtigung) verlangen. Das Dokument kann elektronisch übermittelt werden.</w:t>
      </w:r>
    </w:p>
    <w:p w14:paraId="07974224" w14:textId="77777777" w:rsidR="00DD4FDB" w:rsidRDefault="00DD4FDB" w:rsidP="003C2438">
      <w:r>
        <w:br w:type="page"/>
      </w:r>
    </w:p>
    <w:p w14:paraId="50D116F9" w14:textId="77777777" w:rsidR="007E05AB" w:rsidRDefault="00DF612D" w:rsidP="003C2438">
      <w:pPr>
        <w:pStyle w:val="berschrift2"/>
        <w:tabs>
          <w:tab w:val="clear" w:pos="851"/>
        </w:tabs>
        <w:spacing w:before="0"/>
        <w:ind w:left="828" w:hanging="828"/>
      </w:pPr>
      <w:bookmarkStart w:id="331" w:name="_Toc284323627"/>
      <w:bookmarkStart w:id="332" w:name="_Toc284334304"/>
      <w:bookmarkStart w:id="333" w:name="_Toc285005273"/>
      <w:bookmarkStart w:id="334" w:name="_Toc296694083"/>
      <w:bookmarkStart w:id="335" w:name="_Toc391540140"/>
      <w:bookmarkStart w:id="336" w:name="_Toc412661302"/>
      <w:bookmarkStart w:id="337" w:name="_Toc111118459"/>
      <w:r>
        <w:lastRenderedPageBreak/>
        <w:t>Durchführung des Fallgruppenwechsels</w:t>
      </w:r>
      <w:bookmarkEnd w:id="331"/>
      <w:bookmarkEnd w:id="332"/>
      <w:bookmarkEnd w:id="333"/>
      <w:bookmarkEnd w:id="334"/>
      <w:bookmarkEnd w:id="335"/>
      <w:bookmarkEnd w:id="336"/>
      <w:bookmarkEnd w:id="337"/>
    </w:p>
    <w:p w14:paraId="006B3BA2" w14:textId="46CB7831" w:rsidR="00DF612D" w:rsidRDefault="00DF612D" w:rsidP="003C2438">
      <w:r>
        <w:t>RLM</w:t>
      </w:r>
      <w:r w:rsidR="00201A62" w:rsidRPr="00201A62">
        <w:t xml:space="preserve"> </w:t>
      </w:r>
      <w:r w:rsidR="00201A62">
        <w:t>Marktlokationen</w:t>
      </w:r>
      <w:r>
        <w:t xml:space="preserve"> können </w:t>
      </w:r>
      <w:r w:rsidR="00CF3EB8">
        <w:t xml:space="preserve">zwei </w:t>
      </w:r>
      <w:r>
        <w:t>unterschiedlichen Fallgruppen zugeordnet werden</w:t>
      </w:r>
      <w:r w:rsidR="00CF3EB8">
        <w:t xml:space="preserve">. Dies gilt auch für </w:t>
      </w:r>
      <w:r w:rsidR="00CF3EB8" w:rsidRPr="00BB4109">
        <w:t>RLM</w:t>
      </w:r>
      <w:r w:rsidR="00201A62" w:rsidRPr="00201A62">
        <w:t xml:space="preserve"> </w:t>
      </w:r>
      <w:r w:rsidR="00201A62">
        <w:t>Marktlokationen</w:t>
      </w:r>
      <w:r w:rsidR="00CF3EB8" w:rsidRPr="00BB4109">
        <w:t xml:space="preserve"> die einspeiseseitig einem Nominierungsersatzverfahren zugeordnet sind (RLM</w:t>
      </w:r>
      <w:r w:rsidR="00201A62" w:rsidRPr="00201A62">
        <w:t xml:space="preserve"> </w:t>
      </w:r>
      <w:r w:rsidR="00201A62">
        <w:t>Marktlokationen</w:t>
      </w:r>
      <w:r w:rsidR="00CF3EB8" w:rsidRPr="00BB4109">
        <w:t xml:space="preserve"> mit Online-Messwertübertragung und zugeordneter flexibler Aufkommensquelle zur </w:t>
      </w:r>
      <w:proofErr w:type="spellStart"/>
      <w:r w:rsidR="00CF3EB8">
        <w:t>Einspeiseabsteuerung</w:t>
      </w:r>
      <w:proofErr w:type="spellEnd"/>
      <w:r w:rsidR="00CF3EB8" w:rsidRPr="00BB4109">
        <w:t>)</w:t>
      </w:r>
      <w:r>
        <w:t>:</w:t>
      </w:r>
    </w:p>
    <w:p w14:paraId="2CDB5BEB" w14:textId="009C4A51" w:rsidR="00DF612D" w:rsidRPr="00BB4109" w:rsidRDefault="00DF612D" w:rsidP="003C2438">
      <w:pPr>
        <w:pStyle w:val="Aufzhlungszeichen"/>
      </w:pPr>
      <w:proofErr w:type="spellStart"/>
      <w:r w:rsidRPr="00BB4109">
        <w:t>RLMmT</w:t>
      </w:r>
      <w:proofErr w:type="spellEnd"/>
      <w:r w:rsidRPr="00BB4109">
        <w:t>: RLM</w:t>
      </w:r>
      <w:r w:rsidR="00201A62" w:rsidRPr="00201A62">
        <w:t xml:space="preserve"> </w:t>
      </w:r>
      <w:r w:rsidR="00201A62">
        <w:t>Marktlokationen</w:t>
      </w:r>
      <w:r w:rsidRPr="00BB4109">
        <w:t xml:space="preserve"> mit </w:t>
      </w:r>
      <w:r w:rsidR="00D1052E">
        <w:t>Tagesbandallokation</w:t>
      </w:r>
      <w:r w:rsidR="00A96A8C">
        <w:t>;</w:t>
      </w:r>
    </w:p>
    <w:p w14:paraId="76620456" w14:textId="06DBC0EC" w:rsidR="00761177" w:rsidRDefault="00DF612D" w:rsidP="003C2438">
      <w:pPr>
        <w:pStyle w:val="Aufzhlungszeichen"/>
      </w:pPr>
      <w:proofErr w:type="spellStart"/>
      <w:r w:rsidRPr="00BB4109">
        <w:t>RLMoT</w:t>
      </w:r>
      <w:proofErr w:type="spellEnd"/>
      <w:r w:rsidRPr="00BB4109">
        <w:t>: RLM</w:t>
      </w:r>
      <w:r w:rsidR="00201A62" w:rsidRPr="00201A62">
        <w:t xml:space="preserve"> </w:t>
      </w:r>
      <w:r w:rsidR="00201A62">
        <w:t>Marktlokationen</w:t>
      </w:r>
      <w:r w:rsidRPr="00BB4109">
        <w:t xml:space="preserve"> mit stundenscharfe</w:t>
      </w:r>
      <w:r w:rsidR="00D1052E">
        <w:t>r</w:t>
      </w:r>
      <w:r w:rsidRPr="00BB4109">
        <w:t xml:space="preserve"> Allokation</w:t>
      </w:r>
      <w:r w:rsidR="00316B3D">
        <w:t>.</w:t>
      </w:r>
    </w:p>
    <w:p w14:paraId="294D44E7" w14:textId="01A7318B" w:rsidR="00623EED" w:rsidRDefault="00DF612D" w:rsidP="003C2438">
      <w:r>
        <w:t xml:space="preserve">Unter dem Begriff „Fallgruppenwechsel“ versteht man den Wechsel von </w:t>
      </w:r>
      <w:r w:rsidR="007E57C6">
        <w:t xml:space="preserve">Marktlokationen </w:t>
      </w:r>
      <w:r>
        <w:t xml:space="preserve">zwischen den </w:t>
      </w:r>
      <w:r w:rsidR="00CF3EB8">
        <w:t xml:space="preserve">beiden </w:t>
      </w:r>
      <w:r>
        <w:t xml:space="preserve">RLM-Zeitreihentypen. </w:t>
      </w:r>
      <w:r w:rsidR="005C39F2">
        <w:rPr>
          <w:rFonts w:cs="Arial"/>
        </w:rPr>
        <w:t xml:space="preserve">Der Fallgruppenwechsel wird vom </w:t>
      </w:r>
      <w:r w:rsidR="00D313F9">
        <w:rPr>
          <w:rFonts w:cs="Arial"/>
        </w:rPr>
        <w:t>LF</w:t>
      </w:r>
      <w:r w:rsidR="005C39F2">
        <w:rPr>
          <w:rFonts w:cs="Arial"/>
        </w:rPr>
        <w:t xml:space="preserve"> durch eine bilanzierungsrelevante Stammdatenänderung oder durch Anmeldung zur Netznutzung beim NB gemäß Prozessen und Fristen der </w:t>
      </w:r>
      <w:proofErr w:type="spellStart"/>
      <w:r w:rsidR="005C39F2">
        <w:rPr>
          <w:rFonts w:cs="Arial"/>
        </w:rPr>
        <w:t>GeLi</w:t>
      </w:r>
      <w:proofErr w:type="spellEnd"/>
      <w:r w:rsidR="005C39F2">
        <w:rPr>
          <w:rFonts w:cs="Arial"/>
        </w:rPr>
        <w:t xml:space="preserve"> Gas abgewickelt.</w:t>
      </w:r>
      <w:r w:rsidR="00793BB6">
        <w:t xml:space="preserve"> </w:t>
      </w:r>
      <w:r w:rsidR="00B83CDE">
        <w:t>Der Fallgruppenwechsel kann nur für eine komplette RLM</w:t>
      </w:r>
      <w:r w:rsidR="007E57C6" w:rsidRPr="007E57C6">
        <w:t xml:space="preserve"> </w:t>
      </w:r>
      <w:r w:rsidR="007E57C6">
        <w:t>Marktlokation</w:t>
      </w:r>
      <w:r w:rsidR="00DA1633">
        <w:t xml:space="preserve"> </w:t>
      </w:r>
      <w:r w:rsidR="00B83CDE">
        <w:t>beantragt bzw. deklariert werden, ein</w:t>
      </w:r>
      <w:r w:rsidR="007E57C6">
        <w:t>e</w:t>
      </w:r>
      <w:r w:rsidR="00B83CDE">
        <w:t xml:space="preserve"> </w:t>
      </w:r>
      <w:r w:rsidR="007E57C6">
        <w:t xml:space="preserve">Marktlokation </w:t>
      </w:r>
      <w:r w:rsidR="00B83CDE">
        <w:t>kann nicht auf verschiedene Fallgruppen aufgeteilt werden.</w:t>
      </w:r>
    </w:p>
    <w:p w14:paraId="14591222" w14:textId="305EC941" w:rsidR="00CF3EB8" w:rsidRDefault="00CF3EB8" w:rsidP="003C2438">
      <w:r w:rsidRPr="00663252">
        <w:t>Ausspeisungen an RLM</w:t>
      </w:r>
      <w:r w:rsidR="007E57C6" w:rsidRPr="007E57C6">
        <w:t xml:space="preserve"> </w:t>
      </w:r>
      <w:r w:rsidR="007E57C6">
        <w:t>Marktlokationen</w:t>
      </w:r>
      <w:r w:rsidRPr="00663252">
        <w:t xml:space="preserve"> unterfallen grundsätzlich der Untergruppe </w:t>
      </w:r>
      <w:proofErr w:type="spellStart"/>
      <w:r w:rsidRPr="00663252">
        <w:t>RLMmT</w:t>
      </w:r>
      <w:proofErr w:type="spellEnd"/>
      <w:r w:rsidRPr="00663252">
        <w:t xml:space="preserve">. Der </w:t>
      </w:r>
      <w:r w:rsidR="00005760">
        <w:t>BKV</w:t>
      </w:r>
      <w:r w:rsidRPr="00663252">
        <w:t xml:space="preserve"> </w:t>
      </w:r>
      <w:r>
        <w:rPr>
          <w:rFonts w:eastAsia="Calibri" w:cs="Arial"/>
          <w:lang w:eastAsia="en-US"/>
        </w:rPr>
        <w:t xml:space="preserve">bevollmächtigt den </w:t>
      </w:r>
      <w:r w:rsidR="00EE4A0C">
        <w:rPr>
          <w:rFonts w:eastAsia="Calibri" w:cs="Arial"/>
          <w:lang w:eastAsia="en-US"/>
        </w:rPr>
        <w:t>TK</w:t>
      </w:r>
      <w:r>
        <w:rPr>
          <w:rFonts w:eastAsia="Calibri" w:cs="Arial"/>
          <w:lang w:eastAsia="en-US"/>
        </w:rPr>
        <w:t xml:space="preserve">, gegenüber dem </w:t>
      </w:r>
      <w:r w:rsidR="004F593C">
        <w:rPr>
          <w:rFonts w:eastAsia="Calibri" w:cs="Arial"/>
          <w:lang w:eastAsia="en-US"/>
        </w:rPr>
        <w:t>NB</w:t>
      </w:r>
      <w:r>
        <w:rPr>
          <w:rFonts w:eastAsia="Calibri" w:cs="Arial"/>
          <w:lang w:eastAsia="en-US"/>
        </w:rPr>
        <w:t xml:space="preserve"> zu </w:t>
      </w:r>
      <w:r w:rsidRPr="00663252">
        <w:t>erklären, dass eine oder mehrere RLM</w:t>
      </w:r>
      <w:r w:rsidR="0090314E">
        <w:t xml:space="preserve"> </w:t>
      </w:r>
      <w:r w:rsidR="007E57C6">
        <w:t>Marktlokationen</w:t>
      </w:r>
      <w:r w:rsidRPr="00663252">
        <w:t xml:space="preserve"> seines Bilanzkreises der Untergruppe </w:t>
      </w:r>
      <w:proofErr w:type="spellStart"/>
      <w:r w:rsidRPr="00663252">
        <w:t>RLMmT</w:t>
      </w:r>
      <w:proofErr w:type="spellEnd"/>
      <w:r w:rsidRPr="00663252">
        <w:t xml:space="preserve"> nicht angehören sollen. In diesem Fall finden auf die betroffenen RLM</w:t>
      </w:r>
      <w:r w:rsidR="007E57C6" w:rsidRPr="007E57C6">
        <w:t xml:space="preserve"> </w:t>
      </w:r>
      <w:r w:rsidR="007E57C6">
        <w:t>Marktlokationen</w:t>
      </w:r>
      <w:r w:rsidRPr="00663252">
        <w:t xml:space="preserve"> die Regelungen der Untergruppe </w:t>
      </w:r>
      <w:proofErr w:type="spellStart"/>
      <w:r w:rsidRPr="00663252">
        <w:t>RLMoT</w:t>
      </w:r>
      <w:proofErr w:type="spellEnd"/>
      <w:r w:rsidRPr="00663252">
        <w:t xml:space="preserve"> Anwendung. </w:t>
      </w:r>
      <w:r w:rsidRPr="00316361">
        <w:t xml:space="preserve">Die Erklärung des </w:t>
      </w:r>
      <w:r w:rsidR="00E21924">
        <w:t>BKV</w:t>
      </w:r>
      <w:r w:rsidRPr="00316361">
        <w:t xml:space="preserve"> bzw. des </w:t>
      </w:r>
      <w:r w:rsidR="00EE4A0C">
        <w:t>TK</w:t>
      </w:r>
      <w:r w:rsidRPr="00316361">
        <w:t xml:space="preserve"> ist für den </w:t>
      </w:r>
      <w:r w:rsidR="00E21924">
        <w:t>MGV</w:t>
      </w:r>
      <w:r w:rsidRPr="00316361">
        <w:t xml:space="preserve"> verbindlich.</w:t>
      </w:r>
    </w:p>
    <w:p w14:paraId="38196F61" w14:textId="77777777" w:rsidR="007E05AB" w:rsidRDefault="00DF612D" w:rsidP="006B056C">
      <w:pPr>
        <w:pStyle w:val="berschrift2"/>
        <w:tabs>
          <w:tab w:val="clear" w:pos="851"/>
        </w:tabs>
        <w:spacing w:before="480"/>
        <w:ind w:left="851" w:hanging="851"/>
      </w:pPr>
      <w:bookmarkStart w:id="338" w:name="_Toc433972824"/>
      <w:bookmarkStart w:id="339" w:name="_Toc433973833"/>
      <w:bookmarkStart w:id="340" w:name="_Toc433974824"/>
      <w:bookmarkStart w:id="341" w:name="_Toc405912687"/>
      <w:bookmarkStart w:id="342" w:name="_Toc284323629"/>
      <w:bookmarkStart w:id="343" w:name="_Toc284334306"/>
      <w:bookmarkStart w:id="344" w:name="_Toc285005275"/>
      <w:bookmarkStart w:id="345" w:name="_Toc296694085"/>
      <w:bookmarkStart w:id="346" w:name="_Toc391540144"/>
      <w:bookmarkStart w:id="347" w:name="_Toc412661307"/>
      <w:bookmarkStart w:id="348" w:name="_Toc111118460"/>
      <w:bookmarkEnd w:id="338"/>
      <w:bookmarkEnd w:id="339"/>
      <w:bookmarkEnd w:id="340"/>
      <w:bookmarkEnd w:id="341"/>
      <w:r>
        <w:t>Erstellung und Versand von Deklarationslisten und Deklarationsmitteilungen</w:t>
      </w:r>
      <w:bookmarkEnd w:id="342"/>
      <w:bookmarkEnd w:id="343"/>
      <w:bookmarkEnd w:id="344"/>
      <w:bookmarkEnd w:id="345"/>
      <w:bookmarkEnd w:id="346"/>
      <w:bookmarkEnd w:id="347"/>
      <w:bookmarkEnd w:id="348"/>
    </w:p>
    <w:p w14:paraId="42D2AB96" w14:textId="77777777" w:rsidR="00DF612D" w:rsidRDefault="00DF612D" w:rsidP="003C2438">
      <w:r>
        <w:t xml:space="preserve">Als Deklaration bezeichnet man die verbindliche Mitteilung des NB an den MGV, eine Zeitreihe (Zeitreihentyp je BK/SBK) im täglichen Allokationsprozess zu übermitteln. Deklarationen </w:t>
      </w:r>
      <w:r w:rsidR="00875F29">
        <w:t xml:space="preserve">werden ausschließlich </w:t>
      </w:r>
      <w:r w:rsidR="0038062F">
        <w:t xml:space="preserve">für die Zeitreihentypen </w:t>
      </w:r>
      <w:proofErr w:type="spellStart"/>
      <w:r w:rsidR="0038062F">
        <w:t>SLPana</w:t>
      </w:r>
      <w:proofErr w:type="spellEnd"/>
      <w:r w:rsidR="0038062F">
        <w:t xml:space="preserve">, </w:t>
      </w:r>
      <w:proofErr w:type="spellStart"/>
      <w:r w:rsidR="0038062F">
        <w:t>SLPsyn</w:t>
      </w:r>
      <w:proofErr w:type="spellEnd"/>
      <w:r w:rsidR="0038062F">
        <w:t xml:space="preserve">, </w:t>
      </w:r>
      <w:proofErr w:type="spellStart"/>
      <w:r w:rsidR="0038062F">
        <w:t>RLMoT</w:t>
      </w:r>
      <w:proofErr w:type="spellEnd"/>
      <w:r w:rsidR="0038062F">
        <w:t xml:space="preserve"> und </w:t>
      </w:r>
      <w:proofErr w:type="spellStart"/>
      <w:r w:rsidR="0038062F">
        <w:t>RLMmT</w:t>
      </w:r>
      <w:proofErr w:type="spellEnd"/>
      <w:r w:rsidR="0038062F">
        <w:t xml:space="preserve"> </w:t>
      </w:r>
      <w:r w:rsidR="00875F29">
        <w:t>übermittelt</w:t>
      </w:r>
      <w:r w:rsidR="00172E5A">
        <w:t>.</w:t>
      </w:r>
      <w:r>
        <w:t xml:space="preserve"> </w:t>
      </w:r>
      <w:r w:rsidR="0094358D">
        <w:t xml:space="preserve">FNB sind aufgrund der möglichen untertägigen Vergabe von Ausspeisekapazitäten nicht zur Durchführung der Deklaration für die Zeitreihentypen </w:t>
      </w:r>
      <w:proofErr w:type="spellStart"/>
      <w:r w:rsidR="0094358D">
        <w:t>RLMoT</w:t>
      </w:r>
      <w:proofErr w:type="spellEnd"/>
      <w:r w:rsidR="0094358D">
        <w:t xml:space="preserve"> und </w:t>
      </w:r>
      <w:proofErr w:type="spellStart"/>
      <w:r w:rsidR="0094358D">
        <w:t>RLMmT</w:t>
      </w:r>
      <w:proofErr w:type="spellEnd"/>
      <w:r w:rsidR="0094358D">
        <w:t xml:space="preserve"> verpflichtet.</w:t>
      </w:r>
    </w:p>
    <w:p w14:paraId="270D810C" w14:textId="3F5B8872" w:rsidR="00DF612D" w:rsidRDefault="00DF612D" w:rsidP="003C2438">
      <w:r>
        <w:t xml:space="preserve">Als Datenformat für die Versendung der Deklarationsliste vom NB an den MGV und für die Deklarationsmitteilung vom MGV an den BKV wird das Datenformat „TSIMSG“ verwendet. </w:t>
      </w:r>
      <w:r w:rsidR="008E0AC2">
        <w:t xml:space="preserve">Der </w:t>
      </w:r>
      <w:r>
        <w:t xml:space="preserve">MGV </w:t>
      </w:r>
      <w:r w:rsidR="008E0AC2">
        <w:t>kann</w:t>
      </w:r>
      <w:r>
        <w:t xml:space="preserve"> zusätzlich als Alternative die Eingabe über ein Portal anbieten.</w:t>
      </w:r>
    </w:p>
    <w:p w14:paraId="4C1C5DE2" w14:textId="737F479D" w:rsidR="00DF612D" w:rsidRDefault="00DF612D" w:rsidP="003C2438">
      <w:r>
        <w:t xml:space="preserve">Der NB übermittelt seine Deklaration in Form einer Deklarationsliste. Auf ihr wird jeder BK bzw. SBK für den Liefermonat aufgeführt, inkl. aller zugehörigen Zeitreihentypen. Man unterscheidet zwischen der Deklarationsliste, die vom NB an den MGV gesendet wird, und der Deklarationsmitteilung, die vom MGV zum BKV geschickt wird. Beide sind tagesscharf unter Angabe eines Beginn- und Enddatums </w:t>
      </w:r>
      <w:r w:rsidR="0038062F">
        <w:t xml:space="preserve">im Format TSIMSG </w:t>
      </w:r>
      <w:r>
        <w:t xml:space="preserve">zu erstellen. Eine Deklaration erfolgt immer für </w:t>
      </w:r>
      <w:proofErr w:type="spellStart"/>
      <w:r>
        <w:t>Gastage</w:t>
      </w:r>
      <w:proofErr w:type="spellEnd"/>
      <w:r>
        <w:t xml:space="preserve">, d. h. mindestens für einen </w:t>
      </w:r>
      <w:proofErr w:type="spellStart"/>
      <w:r>
        <w:t>Gastag</w:t>
      </w:r>
      <w:proofErr w:type="spellEnd"/>
      <w:r>
        <w:t xml:space="preserve">. Mit der </w:t>
      </w:r>
      <w:r>
        <w:lastRenderedPageBreak/>
        <w:t>Deklarationsliste kontrolliert der MGV die eingehenden Allokationen</w:t>
      </w:r>
      <w:r w:rsidR="0038062F">
        <w:t xml:space="preserve"> für die Zeitreihen </w:t>
      </w:r>
      <w:proofErr w:type="spellStart"/>
      <w:r w:rsidR="0038062F">
        <w:t>SLPana</w:t>
      </w:r>
      <w:proofErr w:type="spellEnd"/>
      <w:r w:rsidR="0038062F">
        <w:t xml:space="preserve">, </w:t>
      </w:r>
      <w:proofErr w:type="spellStart"/>
      <w:r w:rsidR="0038062F">
        <w:t>SLPsyn</w:t>
      </w:r>
      <w:proofErr w:type="spellEnd"/>
      <w:r w:rsidR="0038062F">
        <w:t xml:space="preserve">, </w:t>
      </w:r>
      <w:proofErr w:type="spellStart"/>
      <w:r w:rsidR="0038062F">
        <w:t>RLMoT</w:t>
      </w:r>
      <w:proofErr w:type="spellEnd"/>
      <w:r w:rsidR="0038062F">
        <w:t xml:space="preserve"> und </w:t>
      </w:r>
      <w:proofErr w:type="spellStart"/>
      <w:r w:rsidR="0038062F">
        <w:t>RLMmT</w:t>
      </w:r>
      <w:proofErr w:type="spellEnd"/>
      <w:r>
        <w:t>. Falls für deklarierte Bilanzkreise und Zeitreihentypen im Deklarationszeitraum vom NB keine Allokationen an den MGV versendet werden, erhält der NB unverzüglich bzw. spätestens am Tag D+1 eine Fehlermeldung vom MGV.</w:t>
      </w:r>
    </w:p>
    <w:p w14:paraId="774A8D9A" w14:textId="77777777" w:rsidR="00DF612D" w:rsidRDefault="00DF612D" w:rsidP="003C2438">
      <w:r>
        <w:t>Der BKV kann anhand der Deklarationsmitteilung die erwarteten BK/SBK Zeitreihentypen je NB plausibilisieren.</w:t>
      </w:r>
    </w:p>
    <w:p w14:paraId="0227395F" w14:textId="77777777" w:rsidR="00D853E9" w:rsidRDefault="00DF612D" w:rsidP="003C2438">
      <w:r>
        <w:t xml:space="preserve">Es wird unterschieden zwischen monatlichen Deklarationen (angelehnt an den </w:t>
      </w:r>
      <w:proofErr w:type="spellStart"/>
      <w:r>
        <w:t>GeLi</w:t>
      </w:r>
      <w:proofErr w:type="spellEnd"/>
      <w:r>
        <w:t>-Pro</w:t>
      </w:r>
      <w:r w:rsidR="00D341CC">
        <w:t>-</w:t>
      </w:r>
      <w:proofErr w:type="spellStart"/>
      <w:r>
        <w:t>zess</w:t>
      </w:r>
      <w:proofErr w:type="spellEnd"/>
      <w:r>
        <w:t>) und untermonatliche Deklarationen</w:t>
      </w:r>
      <w:r w:rsidR="003F47BC">
        <w:t>.</w:t>
      </w:r>
    </w:p>
    <w:p w14:paraId="35D09EB2" w14:textId="77777777" w:rsidR="007E05AB" w:rsidRDefault="00DF612D" w:rsidP="003C2438">
      <w:pPr>
        <w:pStyle w:val="berschrift3"/>
        <w:spacing w:before="480"/>
        <w:ind w:left="969" w:hanging="1009"/>
      </w:pPr>
      <w:bookmarkStart w:id="349" w:name="_Toc284323630"/>
      <w:bookmarkStart w:id="350" w:name="_Toc284334307"/>
      <w:bookmarkStart w:id="351" w:name="_Toc285005276"/>
      <w:bookmarkStart w:id="352" w:name="_Toc296694086"/>
      <w:bookmarkStart w:id="353" w:name="_Toc391540145"/>
      <w:bookmarkStart w:id="354" w:name="_Toc412661308"/>
      <w:bookmarkStart w:id="355" w:name="_Toc111118461"/>
      <w:r>
        <w:t>Monatliche Erstellung und Versand der Deklarationslisten und Deklarationsmitteilungen</w:t>
      </w:r>
      <w:bookmarkEnd w:id="349"/>
      <w:bookmarkEnd w:id="350"/>
      <w:bookmarkEnd w:id="351"/>
      <w:bookmarkEnd w:id="352"/>
      <w:bookmarkEnd w:id="353"/>
      <w:bookmarkEnd w:id="354"/>
      <w:bookmarkEnd w:id="355"/>
    </w:p>
    <w:p w14:paraId="1F64DA73" w14:textId="51E5DCB8" w:rsidR="00DF612D" w:rsidRDefault="00AA6D39" w:rsidP="003C2438">
      <w:r>
        <w:t xml:space="preserve">Gemäß </w:t>
      </w:r>
      <w:proofErr w:type="spellStart"/>
      <w:r>
        <w:t>KoV</w:t>
      </w:r>
      <w:proofErr w:type="spellEnd"/>
      <w:r w:rsidDel="00815124">
        <w:t xml:space="preserve"> </w:t>
      </w:r>
      <w:r w:rsidR="00815124">
        <w:t>§ </w:t>
      </w:r>
      <w:r>
        <w:t>46 Ziffer 5</w:t>
      </w:r>
      <w:r w:rsidR="00DF612D">
        <w:t xml:space="preserve"> ist der MGV verpflichtet, im Falle von fehlenden SLP-Allokationen Ersatzwerte zu bilden. Anhand der Deklarationsliste erkennt der MGV, falls bei einem NB für einen BK/SBK die SLP-Allokation fehlt. Die Zuordnung </w:t>
      </w:r>
      <w:r w:rsidR="00173749">
        <w:t xml:space="preserve">von </w:t>
      </w:r>
      <w:r w:rsidR="00464590">
        <w:t xml:space="preserve">Marktlokationen </w:t>
      </w:r>
      <w:r w:rsidR="00173749">
        <w:t xml:space="preserve">zu </w:t>
      </w:r>
      <w:r w:rsidR="00DF612D">
        <w:t>einem BK/SBK erfolgt auf Basis der Ausspeiseverträge (ggf. unter Zuhilfenahme der Bestandsliste) und wird seitens des NB dem MGV in Form einer monatlichen Deklarationsliste mitgeteilt.</w:t>
      </w:r>
    </w:p>
    <w:p w14:paraId="7B1D38B4" w14:textId="7E85F088" w:rsidR="00AF5747" w:rsidRDefault="00AF5747" w:rsidP="00AF5747">
      <w:r>
        <w:t xml:space="preserve">In der monatlichen Deklarationsliste des NB sind je aktivem BK/SBK alle deklarationspflichtigen ZRT aufgeführt. Dabei werden alle die ZRT, für die eine Allokation in dem Monat erfolgen soll, durch eine genaue Datumsangabe (von- und bis-Angabe) konkretisiert. Der NB sendet monatlich bis spätestens zum 17. WT des Monats vor dem Liefermonat die vollständige Deklarationsliste für den Folgemonat an den MGV. </w:t>
      </w:r>
      <w:r w:rsidR="00186C10" w:rsidRPr="00186C10">
        <w:t xml:space="preserve">Sofern durch kalendarische Besonderheiten (z.B. eine Häufung von Feiertagen innerhalb eines Monats) die Situation besteht, dass der 18. WT eines Monats gleichzeitig der letzte WT des Monats vor dem Liefermonat ist oder der Monat vor dem Liefermonat lediglich 17 Werktage hat, sendet der NB auf Verlangen des MGV die vollständige Deklarationsliste bis zum 16. Werktag des Monats vor dem Liefermonat an den MGV. </w:t>
      </w:r>
      <w:r>
        <w:t>Der MGV bestätigt den Empfang der Deklarationsliste mit einer CONTRL.</w:t>
      </w:r>
    </w:p>
    <w:p w14:paraId="2B1543CF" w14:textId="736980D2" w:rsidR="00DF612D" w:rsidRDefault="00DF612D" w:rsidP="003C2438">
      <w:r>
        <w:t xml:space="preserve">Der MGV überprüft die Deklarationsliste auf Gültigkeit der Bilanzkreise für den Folgemonat. Sofern ein BK nicht gültig ist, übersendet der MGV bis spätestens 1 WT nach Eingang der Deklarationsliste dem jeweiligen NB eine Ablehnung mit Angabe der Gründe der Ablehnung und den abgelehnten BK/SBK </w:t>
      </w:r>
      <w:r w:rsidR="00536442">
        <w:t xml:space="preserve">per </w:t>
      </w:r>
      <w:r w:rsidR="00F92192">
        <w:t>APERAK.</w:t>
      </w:r>
    </w:p>
    <w:p w14:paraId="69D71DC2" w14:textId="1A7AB29C" w:rsidR="00A16385" w:rsidRDefault="00DF612D" w:rsidP="003C2438">
      <w:r>
        <w:t xml:space="preserve">Der MGV erstellt aus den Deklarationslisten eine Deklarationsmitteilung je NB und je BK bzw. SBK und sendet diese einzeln </w:t>
      </w:r>
      <w:r w:rsidR="00186C10">
        <w:t>1 WT nach Eingang der Deklarationsliste (i.d.R. am</w:t>
      </w:r>
      <w:r>
        <w:t xml:space="preserve"> 18. WT</w:t>
      </w:r>
      <w:r w:rsidR="00186C10">
        <w:t>)</w:t>
      </w:r>
      <w:r>
        <w:t xml:space="preserve"> </w:t>
      </w:r>
      <w:r w:rsidR="00186C10">
        <w:t xml:space="preserve">bis 12:00 Uhr </w:t>
      </w:r>
      <w:r w:rsidR="00A16385">
        <w:t>an den BKV.</w:t>
      </w:r>
    </w:p>
    <w:p w14:paraId="7C9D9934" w14:textId="77777777" w:rsidR="00DF612D" w:rsidRDefault="00DF612D" w:rsidP="003C2438">
      <w:r>
        <w:t>Die Deklarationsmitteilung hat – mit Ausnahme von notwendigen Fehlerbereinigungen – für einen Zeitraum vom 1. KT eines Monats</w:t>
      </w:r>
      <w:r w:rsidR="00A16385">
        <w:t>,</w:t>
      </w:r>
      <w:r>
        <w:t xml:space="preserve"> 06:00 Uhr</w:t>
      </w:r>
      <w:r w:rsidR="00A16385">
        <w:t>,</w:t>
      </w:r>
      <w:r>
        <w:t xml:space="preserve"> bis zum 1. KT des Folgemonats</w:t>
      </w:r>
      <w:r w:rsidR="00A16385">
        <w:t>,</w:t>
      </w:r>
      <w:r>
        <w:t xml:space="preserve"> 06:00 Uhr</w:t>
      </w:r>
      <w:r w:rsidR="00A16385">
        <w:t>,</w:t>
      </w:r>
      <w:r>
        <w:t xml:space="preserve"> Gültigkeit.</w:t>
      </w:r>
    </w:p>
    <w:p w14:paraId="450B5827" w14:textId="77777777" w:rsidR="00D51FF8" w:rsidRPr="00D33A9A" w:rsidRDefault="00DF612D" w:rsidP="00D33A9A">
      <w:r>
        <w:lastRenderedPageBreak/>
        <w:t xml:space="preserve">Zusätzlich führt der MGV </w:t>
      </w:r>
      <w:r w:rsidR="00536442">
        <w:t>in</w:t>
      </w:r>
      <w:r>
        <w:t xml:space="preserve"> einem dem BKV zugänglichen Portal eine tagesaktuelle Gesamtübersicht aller Deklarationen je BK mit allen zugehörigen SBK und Zeitreihentypen.</w:t>
      </w:r>
    </w:p>
    <w:p w14:paraId="5F41982C" w14:textId="77777777" w:rsidR="00D51FF8" w:rsidRDefault="00D51FF8" w:rsidP="003C2438"/>
    <w:p w14:paraId="7277BF2D" w14:textId="77777777" w:rsidR="007E05AB" w:rsidRDefault="00DF612D" w:rsidP="003C2438">
      <w:pPr>
        <w:pStyle w:val="berschrift3"/>
        <w:tabs>
          <w:tab w:val="num" w:pos="-5103"/>
        </w:tabs>
        <w:spacing w:before="0"/>
        <w:ind w:left="992" w:hanging="992"/>
      </w:pPr>
      <w:bookmarkStart w:id="356" w:name="_Toc284323631"/>
      <w:bookmarkStart w:id="357" w:name="_Toc284334308"/>
      <w:bookmarkStart w:id="358" w:name="_Toc285005277"/>
      <w:bookmarkStart w:id="359" w:name="_Toc296694087"/>
      <w:bookmarkStart w:id="360" w:name="_Toc391540146"/>
      <w:bookmarkStart w:id="361" w:name="_Toc412661309"/>
      <w:bookmarkStart w:id="362" w:name="_Toc111118462"/>
      <w:r>
        <w:t>Untermonatliche Erstellung und Versand der Deklarationslisten und Deklarationsmitteilungen</w:t>
      </w:r>
      <w:bookmarkEnd w:id="356"/>
      <w:bookmarkEnd w:id="357"/>
      <w:bookmarkEnd w:id="358"/>
      <w:bookmarkEnd w:id="359"/>
      <w:bookmarkEnd w:id="360"/>
      <w:bookmarkEnd w:id="361"/>
      <w:bookmarkEnd w:id="362"/>
    </w:p>
    <w:p w14:paraId="76EE1077" w14:textId="317FFC64" w:rsidR="00C21A68" w:rsidRDefault="00DF612D" w:rsidP="003C2438">
      <w:r>
        <w:t>Für RLM-</w:t>
      </w:r>
      <w:r w:rsidR="00101472">
        <w:t xml:space="preserve">Marktlokationen </w:t>
      </w:r>
      <w:r>
        <w:t xml:space="preserve">ist gemäß </w:t>
      </w:r>
      <w:proofErr w:type="spellStart"/>
      <w:r>
        <w:t>GeLi</w:t>
      </w:r>
      <w:proofErr w:type="spellEnd"/>
      <w:r>
        <w:t xml:space="preserve"> Gas ein Lieferende bzw. Lieferbeginn</w:t>
      </w:r>
      <w:r w:rsidR="00FD4279">
        <w:t xml:space="preserve"> mit Auswirkung auf die Bilanzkreiszuordnung </w:t>
      </w:r>
      <w:r>
        <w:t>untermonatlich möglich.</w:t>
      </w:r>
    </w:p>
    <w:p w14:paraId="25FA8D75" w14:textId="77777777" w:rsidR="00DF612D" w:rsidRDefault="00B304A0" w:rsidP="003C2438">
      <w:r>
        <w:t>Sofern dabei Zeitreihentypen, die eine Deklaration erforderlich machen, betroffen sind,</w:t>
      </w:r>
      <w:r w:rsidR="00DF612D">
        <w:t xml:space="preserve"> ist unverzüglich die Deklaration durch den NB anzupassen. Dabei gilt:</w:t>
      </w:r>
    </w:p>
    <w:p w14:paraId="18118E75" w14:textId="4A5ED807" w:rsidR="00AF5747" w:rsidRDefault="00AF5747" w:rsidP="00AF5747">
      <w:pPr>
        <w:pStyle w:val="Aufzhlungszeichen"/>
      </w:pPr>
      <w:r>
        <w:t>Der NB versendet nur die geänderten bzw. hinzukommende Deklarationen der geänderten bzw. hinzukommenden BK/SBK an den MGV mittels der untermonatlichen Deklarationsliste.</w:t>
      </w:r>
    </w:p>
    <w:p w14:paraId="7492E6E2" w14:textId="63115860" w:rsidR="00DF612D" w:rsidRDefault="00554126" w:rsidP="003C2438">
      <w:pPr>
        <w:pStyle w:val="Aufzhlungszeichen"/>
      </w:pPr>
      <w:r>
        <w:t>Der NB sendet diese Nachricht bis</w:t>
      </w:r>
      <w:r w:rsidR="00DF612D">
        <w:t xml:space="preserve"> spätestens am Tag D-1, 21:00 Uhr</w:t>
      </w:r>
      <w:r w:rsidR="00A16385">
        <w:t>,</w:t>
      </w:r>
      <w:r w:rsidR="00DF612D">
        <w:t xml:space="preserve"> an den MGV. Dabei wird entweder der genaue Zeitraum (z.</w:t>
      </w:r>
      <w:r w:rsidR="00C22517">
        <w:t> </w:t>
      </w:r>
      <w:r w:rsidR="00DF612D">
        <w:t>B. 04.-07.11.) oder bis zum Ende des aktuellen Monats deklariert (z.</w:t>
      </w:r>
      <w:r w:rsidR="00C22517">
        <w:t> </w:t>
      </w:r>
      <w:r w:rsidR="00DF612D">
        <w:t>B. 15.11.-30.11</w:t>
      </w:r>
      <w:r w:rsidR="008E0AC2">
        <w:t>.</w:t>
      </w:r>
      <w:r w:rsidR="00DF612D">
        <w:t>). Der MGV verarbeitet diese Deklaration und leitet sie bis spätestens 23:00 Uhr am Tag D-1 an den BKV weiter.</w:t>
      </w:r>
    </w:p>
    <w:p w14:paraId="42B057C6" w14:textId="77777777" w:rsidR="00BC6BC7" w:rsidRDefault="00DF612D" w:rsidP="003C2438">
      <w:r>
        <w:t xml:space="preserve">Die Deklarationsmitteilung wird je BK bzw. SBK erstellt. Der MGV versendet die Deklarationsmitteilungen an den BKV. Zusätzlich führt der MGV auf einem dem BKV zugänglichen Portal eine Gesamtübersicht je BK mit allen zugehörigen SBK und </w:t>
      </w:r>
      <w:r w:rsidR="00DA11A4">
        <w:t>ZRT</w:t>
      </w:r>
      <w:r>
        <w:t>.</w:t>
      </w:r>
    </w:p>
    <w:p w14:paraId="02242186" w14:textId="77777777" w:rsidR="007E05AB" w:rsidRDefault="00DF612D" w:rsidP="006B056C">
      <w:pPr>
        <w:pStyle w:val="berschrift2"/>
        <w:tabs>
          <w:tab w:val="clear" w:pos="851"/>
          <w:tab w:val="num" w:pos="-4962"/>
        </w:tabs>
        <w:spacing w:before="480"/>
        <w:ind w:left="828" w:hanging="828"/>
      </w:pPr>
      <w:bookmarkStart w:id="363" w:name="_Toc296694088"/>
      <w:bookmarkStart w:id="364" w:name="_Ref320637559"/>
      <w:bookmarkStart w:id="365" w:name="_Toc391540147"/>
      <w:bookmarkStart w:id="366" w:name="_Toc412661310"/>
      <w:bookmarkStart w:id="367" w:name="_Toc111118463"/>
      <w:bookmarkStart w:id="368" w:name="_Ref287993452"/>
      <w:r>
        <w:t>Deklarationsclearing</w:t>
      </w:r>
      <w:bookmarkEnd w:id="363"/>
      <w:bookmarkEnd w:id="364"/>
      <w:bookmarkEnd w:id="365"/>
      <w:bookmarkEnd w:id="366"/>
      <w:bookmarkEnd w:id="367"/>
    </w:p>
    <w:p w14:paraId="3F26B5F2" w14:textId="33926162" w:rsidR="00D96A7A" w:rsidRDefault="00DF612D" w:rsidP="003C2438">
      <w:r>
        <w:t xml:space="preserve">Eine nachträgliche Änderung </w:t>
      </w:r>
      <w:r w:rsidR="0038062F">
        <w:t>oder Löschung</w:t>
      </w:r>
      <w:r>
        <w:t xml:space="preserve"> einer Deklaration darf auch untermonatlich </w:t>
      </w:r>
      <w:r w:rsidR="00DC75DF">
        <w:t xml:space="preserve">am oder </w:t>
      </w:r>
      <w:r>
        <w:t>nach dem 1. WT des Liefermonats erfolgen.</w:t>
      </w:r>
    </w:p>
    <w:p w14:paraId="4B1EDB75" w14:textId="77777777" w:rsidR="00D96A7A" w:rsidRDefault="00D96A7A" w:rsidP="003C2438">
      <w:r>
        <w:t>Fehlende oder fehlerhafte SLP-Deklarationen:</w:t>
      </w:r>
    </w:p>
    <w:p w14:paraId="79D6007A" w14:textId="77777777" w:rsidR="00DF612D" w:rsidRDefault="00DF612D" w:rsidP="003C2438">
      <w:r>
        <w:t>Eine Änderung der Deklaration für SLP-Allokationen ist nur für zukünftige Zeiträume möglich, da SLP-</w:t>
      </w:r>
      <w:r w:rsidR="00D626D1">
        <w:t>Mengen</w:t>
      </w:r>
      <w:r>
        <w:t xml:space="preserve"> nicht nachträglich allokiert werden dürfen. Die SLP-Mengen für die bereits abgelaufenen Tage verbleiben im Netzkonto des NB.</w:t>
      </w:r>
    </w:p>
    <w:p w14:paraId="21DD3485" w14:textId="77777777" w:rsidR="00D96A7A" w:rsidRDefault="00D96A7A" w:rsidP="003C2438">
      <w:r>
        <w:t>Fehlende RLM-Deklarationen:</w:t>
      </w:r>
    </w:p>
    <w:p w14:paraId="3E3490E2" w14:textId="11AEAD91" w:rsidR="00D96A7A" w:rsidRDefault="00D96A7A" w:rsidP="003C2438">
      <w:r w:rsidRPr="00540251">
        <w:t>Für RLM-Zeitreihen kann eine fehlende Deklaration auch für zurückliegende Tage des betroffenen Liefermonats, innerhalb der Fristen des Versandes von korrigierten Allokationsdaten bis M+12 WT sowie innerhalb der Fristen des Allokationsclearings der entsprechenden Zeitreihen, nachgeholt werden.</w:t>
      </w:r>
    </w:p>
    <w:p w14:paraId="01A6FB48" w14:textId="77777777" w:rsidR="00D96A7A" w:rsidRDefault="00D96A7A" w:rsidP="003C2438">
      <w:r>
        <w:t>Fehlerhafte RLM-Deklarationen:</w:t>
      </w:r>
    </w:p>
    <w:p w14:paraId="7E02B013" w14:textId="754559A8" w:rsidR="00DF612D" w:rsidRDefault="00D96A7A" w:rsidP="003C2438">
      <w:r w:rsidRPr="00540251">
        <w:t>In der Zukunft liegende Deklarationen des betroffenen Liefermonats können am Tag D-1 bis 18:00 zurückgezogen</w:t>
      </w:r>
      <w:r w:rsidR="00172E5A">
        <w:t xml:space="preserve"> </w:t>
      </w:r>
      <w:r w:rsidRPr="00540251">
        <w:t>werden.</w:t>
      </w:r>
      <w:r>
        <w:t xml:space="preserve"> </w:t>
      </w:r>
      <w:r w:rsidR="00CD3782" w:rsidRPr="00CD3782">
        <w:t xml:space="preserve">Für </w:t>
      </w:r>
      <w:r w:rsidR="00107DC1">
        <w:t>RLM-Zeitreihen</w:t>
      </w:r>
      <w:r w:rsidR="00CD3782" w:rsidRPr="00CD3782">
        <w:t xml:space="preserve"> kann die Deklaration auch für </w:t>
      </w:r>
      <w:r w:rsidR="00CD3782" w:rsidRPr="00CD3782">
        <w:lastRenderedPageBreak/>
        <w:t>zurückliegende Tage des betroffenen Liefermonats, innerhalb der Fristen des Versandes von korrigierten Allokationsdaten bis M+12 W</w:t>
      </w:r>
      <w:r w:rsidR="007A2C6E">
        <w:t>T</w:t>
      </w:r>
      <w:r w:rsidR="00CD3782" w:rsidRPr="00CD3782">
        <w:t xml:space="preserve"> sowie innerhalb der Fristen des Allokationsclearings der entsprechenden Zeitreihen,</w:t>
      </w:r>
      <w:r>
        <w:t xml:space="preserve"> nur dann zurückgezogen werden, wenn </w:t>
      </w:r>
      <w:r w:rsidR="008D55D4">
        <w:t>keine Allokationen erfolgt sind</w:t>
      </w:r>
      <w:r w:rsidR="008F5CD5">
        <w:t xml:space="preserve">. Bei aufgrund eines Fehlers vorliegenden Deklarationen mit Allokationen, können nur in der Zukunft liegende Deklarationen </w:t>
      </w:r>
      <w:r w:rsidR="00172E5A">
        <w:t xml:space="preserve">zurückgezogen </w:t>
      </w:r>
      <w:r w:rsidR="008F5CD5">
        <w:t>werden – die vorliegenden Allokationen müssen anschließend im Rahmen des M+12-Prozesses mit 0-Allokationen übe</w:t>
      </w:r>
      <w:r w:rsidR="00D626D1">
        <w:t>r</w:t>
      </w:r>
      <w:r w:rsidR="008F5CD5">
        <w:t xml:space="preserve">schrieben werden. </w:t>
      </w:r>
      <w:r w:rsidR="00150B41" w:rsidRPr="00150B41">
        <w:t xml:space="preserve">In den Fällen der Deklarationskorrektur müssen der betroffene bzw. die betroffenen </w:t>
      </w:r>
      <w:r w:rsidR="00B4661C">
        <w:t>BKV</w:t>
      </w:r>
      <w:r w:rsidR="00B4661C" w:rsidRPr="00150B41">
        <w:t xml:space="preserve"> </w:t>
      </w:r>
      <w:r w:rsidR="00150B41" w:rsidRPr="00150B41">
        <w:t>zustimmen</w:t>
      </w:r>
      <w:r w:rsidR="00B4661C">
        <w:t>.</w:t>
      </w:r>
    </w:p>
    <w:p w14:paraId="4829CE93" w14:textId="008D74E7" w:rsidR="00DF612D" w:rsidRDefault="00DF612D" w:rsidP="003C2438">
      <w:r>
        <w:t xml:space="preserve">Falls ein BK fristlos durch den MGV gekündigt wird, wird </w:t>
      </w:r>
      <w:r w:rsidR="00C615D5">
        <w:t xml:space="preserve">ab dem Zeitpunkt der Wirksamkeit der Kündigung </w:t>
      </w:r>
      <w:r>
        <w:t>die Deklaration für den gekündigten BK ungültig. Der MGV teilt die Kündigung unverzüglich allen NB mit.</w:t>
      </w:r>
    </w:p>
    <w:p w14:paraId="06E6C495" w14:textId="77777777" w:rsidR="006961A0" w:rsidRDefault="006961A0" w:rsidP="003C2438">
      <w:r>
        <w:t>Verarbeitung der Zeitreihen beim MGV:</w:t>
      </w:r>
    </w:p>
    <w:p w14:paraId="5E10402C" w14:textId="77777777" w:rsidR="00DF612D" w:rsidRDefault="00DF612D" w:rsidP="003C2438">
      <w:pPr>
        <w:pStyle w:val="Aufzhlungszeichen"/>
      </w:pPr>
      <w:r>
        <w:t>Deklarationen für SLP-</w:t>
      </w:r>
      <w:r w:rsidR="006961A0">
        <w:t>Zeitreihen: Eingang beim MGV am Tag D-2</w:t>
      </w:r>
      <w:r w:rsidR="00A16385">
        <w:t>,</w:t>
      </w:r>
      <w:r w:rsidR="006961A0">
        <w:t xml:space="preserve"> bis</w:t>
      </w:r>
      <w:r w:rsidR="00A16385">
        <w:t xml:space="preserve"> </w:t>
      </w:r>
      <w:r w:rsidR="00AE23E3">
        <w:t>21</w:t>
      </w:r>
      <w:r w:rsidR="006961A0">
        <w:t>:00 Uhr</w:t>
      </w:r>
      <w:r>
        <w:t>. Damit kann die Allokation, die am Tag D-1 durch den NB erzeugt wird, vom MGV verarbeitet werden. Wenn die Deklaration z.</w:t>
      </w:r>
      <w:r w:rsidR="00C22517">
        <w:t> </w:t>
      </w:r>
      <w:r>
        <w:t>B. am Montagabend</w:t>
      </w:r>
      <w:r w:rsidR="00A16385">
        <w:t>,</w:t>
      </w:r>
      <w:r>
        <w:t xml:space="preserve"> bis </w:t>
      </w:r>
      <w:r w:rsidR="00AE23E3">
        <w:t>21</w:t>
      </w:r>
      <w:r>
        <w:t>:00 Uhr vorliegt, kann am Dienstag</w:t>
      </w:r>
      <w:r w:rsidR="00A16385">
        <w:t>,</w:t>
      </w:r>
      <w:r>
        <w:t xml:space="preserve"> bis 12:00 Uhr die Allokation für Mittwoch an den MGV gesendet werden.</w:t>
      </w:r>
    </w:p>
    <w:p w14:paraId="307AD318" w14:textId="77777777" w:rsidR="00DF612D" w:rsidRDefault="00DF612D" w:rsidP="003C2438">
      <w:pPr>
        <w:pStyle w:val="Aufzhlungszeichen"/>
      </w:pPr>
      <w:r>
        <w:t>Deklarationen für RLM-</w:t>
      </w:r>
      <w:r w:rsidR="006961A0">
        <w:t>Zeitreihen: Eingang beim MGV</w:t>
      </w:r>
      <w:r>
        <w:t xml:space="preserve"> </w:t>
      </w:r>
      <w:r w:rsidR="006961A0">
        <w:t>am Tag D-1</w:t>
      </w:r>
      <w:r w:rsidR="00A16385">
        <w:t>,</w:t>
      </w:r>
      <w:r w:rsidR="006961A0">
        <w:t xml:space="preserve"> bis </w:t>
      </w:r>
      <w:r w:rsidR="00891AD4">
        <w:t>21</w:t>
      </w:r>
      <w:r w:rsidR="006961A0">
        <w:t xml:space="preserve">:00 Uhr. </w:t>
      </w:r>
      <w:r>
        <w:t>Wenn die Deklaration z.</w:t>
      </w:r>
      <w:r w:rsidR="00C22517">
        <w:t> </w:t>
      </w:r>
      <w:r>
        <w:t>B. am Montagabend</w:t>
      </w:r>
      <w:r w:rsidR="00A16385">
        <w:t>,</w:t>
      </w:r>
      <w:r>
        <w:t xml:space="preserve"> bis </w:t>
      </w:r>
      <w:r w:rsidR="00891AD4">
        <w:t>21</w:t>
      </w:r>
      <w:r>
        <w:t xml:space="preserve">:00 Uhr vorliegt, kann </w:t>
      </w:r>
      <w:r w:rsidR="006961A0">
        <w:t>die Allokation</w:t>
      </w:r>
      <w:r>
        <w:t xml:space="preserve"> vom </w:t>
      </w:r>
      <w:proofErr w:type="spellStart"/>
      <w:r>
        <w:t>Gastag</w:t>
      </w:r>
      <w:proofErr w:type="spellEnd"/>
      <w:r>
        <w:t xml:space="preserve"> Dienstag am Mittwoch an den MGV gesendet werden.</w:t>
      </w:r>
    </w:p>
    <w:p w14:paraId="730103E7" w14:textId="77777777" w:rsidR="00886BBF" w:rsidRDefault="00886BBF" w:rsidP="003C2438">
      <w:pPr>
        <w:pStyle w:val="Aufzhlungszeichen"/>
      </w:pPr>
      <w:r>
        <w:t>Der BKV erhält am Tag D-1, bis 23:00 Uhr die korrigierte Deklarationsmitteilung, nur mit den geänderten BK.</w:t>
      </w:r>
    </w:p>
    <w:p w14:paraId="08FF9A00" w14:textId="3DF011EB" w:rsidR="008045D0" w:rsidRDefault="006961A0" w:rsidP="003C2438">
      <w:r>
        <w:t>Fehlen die Deklarationen von BK/SBK für RLM-</w:t>
      </w:r>
      <w:r w:rsidR="007E57C6" w:rsidRPr="007E57C6">
        <w:t xml:space="preserve"> </w:t>
      </w:r>
      <w:r w:rsidR="007E57C6">
        <w:t>Marktlokationen</w:t>
      </w:r>
      <w:r>
        <w:t xml:space="preserve"> oder wurde der RLM</w:t>
      </w:r>
      <w:r w:rsidR="00B4661C">
        <w:t>-</w:t>
      </w:r>
      <w:r>
        <w:t>ZRT nicht deklariert oder wurden RLM</w:t>
      </w:r>
      <w:r w:rsidR="007E57C6" w:rsidRPr="007E57C6">
        <w:t xml:space="preserve"> </w:t>
      </w:r>
      <w:r w:rsidR="007E57C6">
        <w:t>Marktlokationen</w:t>
      </w:r>
      <w:r w:rsidR="00DC73DA">
        <w:t xml:space="preserve"> </w:t>
      </w:r>
      <w:r>
        <w:t>auf einen falschen BK/SBK deklariert und allokiert, muss parallel ein</w:t>
      </w:r>
      <w:r w:rsidR="001E6CC5">
        <w:t>e</w:t>
      </w:r>
      <w:r>
        <w:t xml:space="preserve"> RLM-</w:t>
      </w:r>
      <w:r w:rsidR="001E6CC5">
        <w:t xml:space="preserve">Allokationskorrektur bzw. nach M+12 ein Allokationsclearing </w:t>
      </w:r>
      <w:r>
        <w:t>durchgeführt werden</w:t>
      </w:r>
      <w:r w:rsidR="001E6CC5">
        <w:t>.</w:t>
      </w:r>
      <w:r w:rsidR="008D55D4">
        <w:t xml:space="preserve"> </w:t>
      </w:r>
      <w:r w:rsidR="00A46B10">
        <w:t>Wichtig ist, dass jegliche Änderungen</w:t>
      </w:r>
      <w:r>
        <w:t xml:space="preserve"> </w:t>
      </w:r>
      <w:r w:rsidR="0038062F">
        <w:t xml:space="preserve">oder </w:t>
      </w:r>
      <w:r w:rsidR="00417F73">
        <w:t xml:space="preserve">das Zurückziehen von Deklarationen </w:t>
      </w:r>
      <w:r w:rsidR="00A46B10">
        <w:t xml:space="preserve">unverzüglich </w:t>
      </w:r>
      <w:r>
        <w:t xml:space="preserve">vorgenommen werden, um den zu </w:t>
      </w:r>
      <w:proofErr w:type="spellStart"/>
      <w:r>
        <w:t>clearenden</w:t>
      </w:r>
      <w:proofErr w:type="spellEnd"/>
      <w:r>
        <w:t xml:space="preserve"> Zeitraum so kurz wie möglich zu halten. Vor Beginn des Liefermonats kann der NB eine erneute Deklaration an den MGV senden.</w:t>
      </w:r>
    </w:p>
    <w:p w14:paraId="41C6D166" w14:textId="24C62124" w:rsidR="008E0AC2" w:rsidRDefault="008E0AC2" w:rsidP="003C2438">
      <w:r>
        <w:t>Beim Deklarationsclearing für Leistungszeiträume vor dem 01.10.2021 müssen die jeweiligen Bilanzkreisnummern der Marktgebiete GASPOOL und NCG verwendet werden.</w:t>
      </w:r>
    </w:p>
    <w:p w14:paraId="50C3A6D3" w14:textId="5B3BC112" w:rsidR="008045D0" w:rsidRDefault="008045D0" w:rsidP="006B056C">
      <w:pPr>
        <w:pStyle w:val="berschrift3"/>
        <w:spacing w:before="480"/>
        <w:ind w:left="1009" w:hanging="981"/>
      </w:pPr>
      <w:bookmarkStart w:id="369" w:name="_Toc391540148"/>
      <w:bookmarkStart w:id="370" w:name="_Toc412661311"/>
      <w:bookmarkStart w:id="371" w:name="_Toc111118464"/>
      <w:r>
        <w:t>Deklarationsclearing BKV</w:t>
      </w:r>
      <w:bookmarkEnd w:id="369"/>
      <w:bookmarkEnd w:id="370"/>
      <w:bookmarkEnd w:id="371"/>
    </w:p>
    <w:p w14:paraId="7CE3C8A9" w14:textId="77777777" w:rsidR="00D341CC" w:rsidRDefault="008045D0" w:rsidP="003C2438">
      <w:r>
        <w:t>Der BKV ist verpflichtet, die Deklarationsmitteilung zu prüfen und Inkonsistenzen mit dem NB unverzüglich zu klären. Fehler können z.</w:t>
      </w:r>
      <w:r w:rsidR="00C22517">
        <w:t> </w:t>
      </w:r>
      <w:r>
        <w:t>B. sein:</w:t>
      </w:r>
    </w:p>
    <w:p w14:paraId="4995FDB2" w14:textId="5032DE88" w:rsidR="006E3950" w:rsidRDefault="008045D0" w:rsidP="007F76BC">
      <w:pPr>
        <w:pStyle w:val="Listenabsatz"/>
        <w:numPr>
          <w:ilvl w:val="0"/>
          <w:numId w:val="55"/>
        </w:numPr>
        <w:spacing w:after="0"/>
        <w:ind w:left="357" w:hanging="357"/>
        <w:contextualSpacing w:val="0"/>
      </w:pPr>
      <w:r>
        <w:t xml:space="preserve">BK/SBK, die der </w:t>
      </w:r>
      <w:r w:rsidR="00D313F9">
        <w:t>LF</w:t>
      </w:r>
      <w:r>
        <w:t xml:space="preserve"> in dem speziellen Netz nicht nutzen darf oder die für den Deklarationszeitraum gekündigt wurden</w:t>
      </w:r>
      <w:r w:rsidR="006A125E">
        <w:t>;</w:t>
      </w:r>
    </w:p>
    <w:p w14:paraId="1A326AB6" w14:textId="77777777" w:rsidR="007E05AB" w:rsidRDefault="008045D0" w:rsidP="007F76BC">
      <w:pPr>
        <w:pStyle w:val="Aufzhlungszeichen"/>
        <w:numPr>
          <w:ilvl w:val="0"/>
          <w:numId w:val="27"/>
        </w:numPr>
        <w:ind w:left="357" w:hanging="357"/>
        <w:contextualSpacing/>
      </w:pPr>
      <w:r>
        <w:t>Fehlende BK/SBK</w:t>
      </w:r>
      <w:r w:rsidR="006A125E">
        <w:t>;</w:t>
      </w:r>
    </w:p>
    <w:p w14:paraId="1B3481D1" w14:textId="77777777" w:rsidR="007E05AB" w:rsidRDefault="008045D0" w:rsidP="007F76BC">
      <w:pPr>
        <w:pStyle w:val="Aufzhlungszeichen"/>
        <w:numPr>
          <w:ilvl w:val="0"/>
          <w:numId w:val="27"/>
        </w:numPr>
        <w:ind w:left="357" w:hanging="357"/>
        <w:contextualSpacing/>
      </w:pPr>
      <w:r>
        <w:lastRenderedPageBreak/>
        <w:t>Falsche BK-/SBK-Zuordnung zum BKV</w:t>
      </w:r>
      <w:r w:rsidR="006A125E">
        <w:t>;</w:t>
      </w:r>
    </w:p>
    <w:p w14:paraId="4864DD28" w14:textId="77777777" w:rsidR="007E05AB" w:rsidRDefault="008045D0" w:rsidP="007F76BC">
      <w:pPr>
        <w:pStyle w:val="Aufzhlungszeichen"/>
        <w:numPr>
          <w:ilvl w:val="0"/>
          <w:numId w:val="27"/>
        </w:numPr>
        <w:ind w:left="357" w:hanging="357"/>
        <w:contextualSpacing/>
      </w:pPr>
      <w:r>
        <w:t>Fehlende oder falsche Zeitreihentypen je BK/SBK</w:t>
      </w:r>
      <w:r w:rsidR="006A125E">
        <w:t>;</w:t>
      </w:r>
    </w:p>
    <w:p w14:paraId="60852424" w14:textId="77777777" w:rsidR="007E05AB" w:rsidRDefault="008045D0" w:rsidP="007F76BC">
      <w:pPr>
        <w:pStyle w:val="Aufzhlungszeichen"/>
        <w:numPr>
          <w:ilvl w:val="0"/>
          <w:numId w:val="27"/>
        </w:numPr>
        <w:ind w:left="357" w:hanging="357"/>
        <w:contextualSpacing/>
      </w:pPr>
      <w:r>
        <w:t>Fehlende Deklarationen eines NB</w:t>
      </w:r>
      <w:r w:rsidR="006A125E">
        <w:t>;</w:t>
      </w:r>
    </w:p>
    <w:p w14:paraId="6EC86665" w14:textId="5865D9A7" w:rsidR="0038062F" w:rsidRDefault="00101472" w:rsidP="007F76BC">
      <w:pPr>
        <w:pStyle w:val="Aufzhlungszeichen"/>
        <w:numPr>
          <w:ilvl w:val="0"/>
          <w:numId w:val="27"/>
        </w:numPr>
        <w:ind w:left="357" w:hanging="357"/>
        <w:contextualSpacing/>
      </w:pPr>
      <w:r>
        <w:t>Ü</w:t>
      </w:r>
      <w:r w:rsidR="00A04239">
        <w:t xml:space="preserve">berzählige </w:t>
      </w:r>
      <w:r w:rsidR="0038062F">
        <w:t>Deklaratio</w:t>
      </w:r>
      <w:r w:rsidR="001E6CC5">
        <w:t>n</w:t>
      </w:r>
      <w:r w:rsidR="005D67BB">
        <w:t>;</w:t>
      </w:r>
    </w:p>
    <w:p w14:paraId="190D316C" w14:textId="77777777" w:rsidR="007E05AB" w:rsidRDefault="008045D0" w:rsidP="007F76BC">
      <w:pPr>
        <w:pStyle w:val="Aufzhlungszeichen"/>
        <w:numPr>
          <w:ilvl w:val="0"/>
          <w:numId w:val="27"/>
        </w:numPr>
        <w:ind w:left="357" w:hanging="357"/>
        <w:contextualSpacing/>
      </w:pPr>
      <w:r>
        <w:t xml:space="preserve">Falsches </w:t>
      </w:r>
      <w:r w:rsidR="00286566">
        <w:t>Beginn</w:t>
      </w:r>
      <w:r>
        <w:t>- oder Enddatum</w:t>
      </w:r>
      <w:r w:rsidR="006A125E">
        <w:t>.</w:t>
      </w:r>
    </w:p>
    <w:p w14:paraId="2A2DB21C" w14:textId="0B4B5060" w:rsidR="008045D0" w:rsidRDefault="008045D0" w:rsidP="003C2438">
      <w:r>
        <w:t xml:space="preserve">Der BKV prüft unverzüglich nach Eingang die Deklarationsmitteilung auf Richtigkeit. Er kann mit der Klärung auch den </w:t>
      </w:r>
      <w:r w:rsidR="00D313F9">
        <w:t>LF</w:t>
      </w:r>
      <w:r>
        <w:t xml:space="preserve"> beauftragen. Die Mitteilung an den NB über die fehlerhafte Deklaration erfolgt als E-Mail unter detaillierter Angabe der betroffenen BK/SBK und einer Begründung. Der NB ist verpflichtet, die Mitteilung des BKV/</w:t>
      </w:r>
      <w:r w:rsidR="00D313F9">
        <w:t>LF</w:t>
      </w:r>
      <w:r>
        <w:t xml:space="preserve"> unverzüglich zu prüfen und – sofern notwendig – dem MGV eine korrigierte Deklarationsliste, auf der nur die zu korrigierenden BK/SBK oder fehlenden BK/SBK aufgeführt werden, zuzusenden. Falls die Deklarationsliste richtig erstellt wurde, teilt der NB dies dem BKV mit.</w:t>
      </w:r>
    </w:p>
    <w:p w14:paraId="3616A6A7" w14:textId="01E57F7A" w:rsidR="00DF612D" w:rsidRDefault="00DF612D" w:rsidP="003C2438">
      <w:pPr>
        <w:pStyle w:val="berschrift3"/>
        <w:spacing w:before="480"/>
        <w:ind w:left="1009" w:hanging="981"/>
      </w:pPr>
      <w:bookmarkStart w:id="372" w:name="_Toc296694089"/>
      <w:bookmarkStart w:id="373" w:name="_Toc391540149"/>
      <w:bookmarkStart w:id="374" w:name="_Toc412661312"/>
      <w:bookmarkStart w:id="375" w:name="_Toc111118465"/>
      <w:r>
        <w:t>Deklarationsclearing MGV</w:t>
      </w:r>
      <w:bookmarkEnd w:id="368"/>
      <w:bookmarkEnd w:id="372"/>
      <w:bookmarkEnd w:id="373"/>
      <w:bookmarkEnd w:id="374"/>
      <w:bookmarkEnd w:id="375"/>
      <w:r>
        <w:t xml:space="preserve"> </w:t>
      </w:r>
    </w:p>
    <w:p w14:paraId="1E041D47" w14:textId="6357248D" w:rsidR="00DF612D" w:rsidRPr="00186F28" w:rsidRDefault="00DF612D" w:rsidP="003C2438">
      <w:r w:rsidRPr="00E930BE">
        <w:t>Der MGV prüft die</w:t>
      </w:r>
      <w:r w:rsidRPr="00DB3A71">
        <w:t xml:space="preserve"> mon</w:t>
      </w:r>
      <w:r w:rsidRPr="00521B67">
        <w:t xml:space="preserve">atlichen und untermonatlichen Deklarationen des NB auf Gültigkeit der </w:t>
      </w:r>
      <w:r w:rsidR="00091F40">
        <w:t>BK</w:t>
      </w:r>
      <w:r w:rsidRPr="00521B67">
        <w:t xml:space="preserve">. Eine Kontrolle der zugeordneten </w:t>
      </w:r>
      <w:r w:rsidR="00091F40">
        <w:t>ZRT</w:t>
      </w:r>
      <w:r w:rsidR="00091F40" w:rsidRPr="00521B67">
        <w:t xml:space="preserve"> </w:t>
      </w:r>
      <w:r w:rsidRPr="00521B67">
        <w:t xml:space="preserve">wird durch den MGV nicht vorgenommen. Sofern ein ungültiger </w:t>
      </w:r>
      <w:r w:rsidR="00091F40">
        <w:t>BK</w:t>
      </w:r>
      <w:r w:rsidR="00091F40" w:rsidRPr="00521B67">
        <w:t xml:space="preserve"> </w:t>
      </w:r>
      <w:r w:rsidRPr="00521B67">
        <w:t>enthalten ist, teilt der MGV dieses spätes</w:t>
      </w:r>
      <w:r w:rsidRPr="00C103E6">
        <w:t>tens 1 WT nach Eingang der Deklarationsliste dem jeweiligen NB mit. Der NB überprüft unv</w:t>
      </w:r>
      <w:r w:rsidRPr="00186F28">
        <w:t xml:space="preserve">erzüglich die Deklarationsliste und stimmt sich bei Bedarf mit dem </w:t>
      </w:r>
      <w:r w:rsidR="00D313F9">
        <w:t>LF</w:t>
      </w:r>
      <w:r w:rsidRPr="00186F28">
        <w:t xml:space="preserve"> oder/und dem BKV ab. Die Deklaration muss am vorletzten WT des Monats vor der Lieferung korrekt beim MGV vorliegen, ansonsten werden z.</w:t>
      </w:r>
      <w:r w:rsidR="00C22517">
        <w:t> </w:t>
      </w:r>
      <w:r w:rsidRPr="00186F28">
        <w:t xml:space="preserve">B. die </w:t>
      </w:r>
      <w:r w:rsidR="00107DC1">
        <w:t>SLP-Allokationen</w:t>
      </w:r>
      <w:r w:rsidRPr="00186F28">
        <w:t xml:space="preserve"> für den 1. KT vom MGV nicht angenommen. Es gelten folgende Festlegungen:</w:t>
      </w:r>
    </w:p>
    <w:p w14:paraId="1EE3E0A5" w14:textId="4DCA6090" w:rsidR="007A2C6E" w:rsidRDefault="00DF612D" w:rsidP="003C2438">
      <w:r>
        <w:t>Sofern die Deklarationsliste richtig erstellt wurde, setzt sich der NB mit dem MGV in Verbindung. Andernfalls erstellt der NB eine korrigierte Deklarationsliste, auf der nur die zu korrigierenden BK/SBK oder fehlenden BK/SBK aufgeführt werden.</w:t>
      </w:r>
    </w:p>
    <w:p w14:paraId="272DE818" w14:textId="67E75951" w:rsidR="00DF612D" w:rsidRDefault="00DF612D" w:rsidP="003C2438">
      <w:pPr>
        <w:pStyle w:val="Aufzhlungszeichen"/>
      </w:pPr>
      <w:r>
        <w:t>Jede neue Deklaration für einen BK/SBK überschreibt die vorhergehende innerhalb des Bezugsmonats.</w:t>
      </w:r>
    </w:p>
    <w:p w14:paraId="272DA581" w14:textId="77777777" w:rsidR="00DF612D" w:rsidRPr="00186F28" w:rsidRDefault="00DF612D" w:rsidP="003C2438">
      <w:pPr>
        <w:pStyle w:val="Aufzhlungszeichen"/>
      </w:pPr>
      <w:r>
        <w:t>Ein ungültiger deklarierter BK wird vom MGV abgelehnt und an den NB zurückgemeldet. Der NB sendet eine neue Deklarationsliste mit gültigem BK.</w:t>
      </w:r>
    </w:p>
    <w:p w14:paraId="1D3315F7" w14:textId="77777777" w:rsidR="00980729" w:rsidRDefault="00E278BB" w:rsidP="006B056C">
      <w:pPr>
        <w:pStyle w:val="berschrift1"/>
      </w:pPr>
      <w:bookmarkStart w:id="376" w:name="_Toc205183236"/>
      <w:bookmarkStart w:id="377" w:name="_Toc205183237"/>
      <w:bookmarkStart w:id="378" w:name="_Toc285389940"/>
      <w:bookmarkStart w:id="379" w:name="_Toc285389941"/>
      <w:bookmarkStart w:id="380" w:name="_Toc285389942"/>
      <w:bookmarkStart w:id="381" w:name="_Toc285389943"/>
      <w:bookmarkStart w:id="382" w:name="_Ref348533483"/>
      <w:bookmarkStart w:id="383" w:name="_Ref348533484"/>
      <w:bookmarkStart w:id="384" w:name="_Ref348534778"/>
      <w:bookmarkStart w:id="385" w:name="_Toc391540150"/>
      <w:bookmarkStart w:id="386" w:name="_Toc412661313"/>
      <w:bookmarkStart w:id="387" w:name="_Toc111118466"/>
      <w:bookmarkStart w:id="388" w:name="_Toc288001314"/>
      <w:bookmarkStart w:id="389" w:name="Nominierung"/>
      <w:bookmarkStart w:id="390" w:name="_Toc177103285"/>
      <w:bookmarkStart w:id="391" w:name="_Toc280258154"/>
      <w:bookmarkEnd w:id="24"/>
      <w:bookmarkEnd w:id="25"/>
      <w:bookmarkEnd w:id="26"/>
      <w:bookmarkEnd w:id="27"/>
      <w:bookmarkEnd w:id="376"/>
      <w:bookmarkEnd w:id="377"/>
      <w:bookmarkEnd w:id="378"/>
      <w:bookmarkEnd w:id="379"/>
      <w:bookmarkEnd w:id="380"/>
      <w:bookmarkEnd w:id="381"/>
      <w:r w:rsidRPr="000E35B2">
        <w:lastRenderedPageBreak/>
        <w:t>Nominierung</w:t>
      </w:r>
      <w:bookmarkEnd w:id="382"/>
      <w:bookmarkEnd w:id="383"/>
      <w:bookmarkEnd w:id="384"/>
      <w:bookmarkEnd w:id="385"/>
      <w:bookmarkEnd w:id="386"/>
      <w:bookmarkEnd w:id="387"/>
    </w:p>
    <w:bookmarkEnd w:id="388"/>
    <w:p w14:paraId="4BDE5EE0" w14:textId="77777777" w:rsidR="005D3395" w:rsidRPr="004968AB" w:rsidRDefault="005D3395" w:rsidP="003C2438">
      <w:pPr>
        <w:rPr>
          <w:rFonts w:cs="Arial"/>
          <w:iCs/>
        </w:rPr>
      </w:pPr>
      <w:r w:rsidRPr="004968AB">
        <w:rPr>
          <w:rFonts w:cs="Arial"/>
          <w:iCs/>
        </w:rPr>
        <w:t xml:space="preserve">An folgenden </w:t>
      </w:r>
      <w:r w:rsidR="007E57C6" w:rsidRPr="004968AB">
        <w:rPr>
          <w:rFonts w:cs="Arial"/>
          <w:iCs/>
        </w:rPr>
        <w:t xml:space="preserve">Punkten </w:t>
      </w:r>
      <w:r w:rsidRPr="004968AB">
        <w:rPr>
          <w:rFonts w:cs="Arial"/>
          <w:iCs/>
        </w:rPr>
        <w:t>sind Nominierungen abzugeben:</w:t>
      </w:r>
    </w:p>
    <w:p w14:paraId="2CEA8F6B" w14:textId="74691B94" w:rsidR="005D3395" w:rsidRPr="00A1205B" w:rsidRDefault="005D3395" w:rsidP="003C2438">
      <w:pPr>
        <w:pStyle w:val="Aufzhlungszeichen"/>
      </w:pPr>
      <w:r w:rsidRPr="00A1205B">
        <w:t>An den virtuellen Handelspunkten wird die Übertragung von Gasmengen vom BKV</w:t>
      </w:r>
      <w:r w:rsidR="008E0AC2">
        <w:t>/SBK</w:t>
      </w:r>
      <w:r w:rsidRPr="00A1205B">
        <w:t xml:space="preserve"> je B</w:t>
      </w:r>
      <w:r>
        <w:t>K</w:t>
      </w:r>
      <w:r w:rsidRPr="00A1205B">
        <w:t xml:space="preserve"> an den MGV nominiert.</w:t>
      </w:r>
    </w:p>
    <w:p w14:paraId="3D8CBFC2" w14:textId="24717602" w:rsidR="005D3395" w:rsidRPr="00A1205B" w:rsidRDefault="005D3395" w:rsidP="003C2438">
      <w:pPr>
        <w:pStyle w:val="Aufzhlungszeichen"/>
      </w:pPr>
      <w:r w:rsidRPr="00A1205B">
        <w:t xml:space="preserve">An Einspeisepunkten </w:t>
      </w:r>
      <w:r w:rsidR="008E0AC2">
        <w:t>(</w:t>
      </w:r>
      <w:r w:rsidRPr="00A1205B">
        <w:t>GÜP</w:t>
      </w:r>
      <w:r>
        <w:t xml:space="preserve"> </w:t>
      </w:r>
      <w:r w:rsidR="00192965">
        <w:t>Speicher</w:t>
      </w:r>
      <w:r w:rsidRPr="00A1205B">
        <w:t>,</w:t>
      </w:r>
      <w:r>
        <w:t xml:space="preserve"> </w:t>
      </w:r>
      <w:r w:rsidRPr="00A1205B">
        <w:t>inländische Produktion</w:t>
      </w:r>
      <w:r>
        <w:t>sstandorte und</w:t>
      </w:r>
      <w:r w:rsidRPr="00A1205B">
        <w:t xml:space="preserve"> LNG-Einspeis</w:t>
      </w:r>
      <w:r>
        <w:t>epunkten</w:t>
      </w:r>
      <w:r w:rsidR="008E0AC2">
        <w:t>)</w:t>
      </w:r>
      <w:r>
        <w:t xml:space="preserve"> </w:t>
      </w:r>
      <w:r w:rsidRPr="00A1205B">
        <w:t>werden entsprechende Einspeisemengen an den ENB nominiert.</w:t>
      </w:r>
    </w:p>
    <w:p w14:paraId="5BA53EAE" w14:textId="78C92618" w:rsidR="005D3395" w:rsidRDefault="005D3395" w:rsidP="003C2438">
      <w:pPr>
        <w:pStyle w:val="Aufzhlungszeichen"/>
      </w:pPr>
      <w:r w:rsidRPr="00A1205B">
        <w:t>An Ausspeisepunkten</w:t>
      </w:r>
      <w:r w:rsidR="00402B7F">
        <w:t xml:space="preserve"> </w:t>
      </w:r>
      <w:r w:rsidR="00192965">
        <w:t>(</w:t>
      </w:r>
      <w:r w:rsidRPr="00A1205B">
        <w:t>GÜP</w:t>
      </w:r>
      <w:r>
        <w:t xml:space="preserve"> </w:t>
      </w:r>
      <w:r w:rsidRPr="00A1205B">
        <w:t>Speicher</w:t>
      </w:r>
      <w:r w:rsidR="00192965">
        <w:t>)</w:t>
      </w:r>
      <w:r w:rsidRPr="00A1205B">
        <w:t xml:space="preserve"> werden </w:t>
      </w:r>
      <w:r w:rsidR="00BA7A33" w:rsidRPr="00A1205B">
        <w:t>ent</w:t>
      </w:r>
      <w:r w:rsidR="00BA7A33">
        <w:t>sprechende</w:t>
      </w:r>
      <w:r w:rsidRPr="00A1205B">
        <w:t xml:space="preserve"> Ausspeisemengen an den </w:t>
      </w:r>
      <w:r>
        <w:t>A</w:t>
      </w:r>
      <w:r w:rsidRPr="00A1205B">
        <w:t>NB nominiert.</w:t>
      </w:r>
    </w:p>
    <w:p w14:paraId="6D6284CE" w14:textId="77777777" w:rsidR="005D3395" w:rsidRDefault="005D3395" w:rsidP="003C2438">
      <w:r>
        <w:t>Der NB kann auf Nominierungen an von ihm definierten Einspeisepunkten verzichten.</w:t>
      </w:r>
    </w:p>
    <w:p w14:paraId="778DCCBE" w14:textId="21845463" w:rsidR="005D3395" w:rsidRDefault="005D3395" w:rsidP="003C2438">
      <w:r>
        <w:t xml:space="preserve">An allen </w:t>
      </w:r>
      <w:r w:rsidRPr="00956B5A">
        <w:t>zu nominierende</w:t>
      </w:r>
      <w:r>
        <w:t>n</w:t>
      </w:r>
      <w:r w:rsidRPr="00956B5A">
        <w:t xml:space="preserve"> Ein- </w:t>
      </w:r>
      <w:r w:rsidRPr="001127C3">
        <w:t>und Ausspeisepunkte</w:t>
      </w:r>
      <w:r>
        <w:t>n</w:t>
      </w:r>
      <w:r w:rsidRPr="00D859D3" w:rsidDel="00C451B6">
        <w:t xml:space="preserve"> </w:t>
      </w:r>
      <w:r>
        <w:t>gegenüber einem NB ist ein</w:t>
      </w:r>
      <w:r w:rsidRPr="00B67CC6">
        <w:t xml:space="preserve"> TK </w:t>
      </w:r>
      <w:r>
        <w:t>für die Nominierung verantwortlich. Er kann</w:t>
      </w:r>
      <w:r w:rsidRPr="00B67CC6">
        <w:t xml:space="preserve"> ein</w:t>
      </w:r>
      <w:r>
        <w:t>en</w:t>
      </w:r>
      <w:r w:rsidRPr="00B67CC6">
        <w:t xml:space="preserve"> BKV </w:t>
      </w:r>
      <w:r>
        <w:t>oder Dienstleister mit der Abwicklung der Nominierung beauftragen.</w:t>
      </w:r>
    </w:p>
    <w:p w14:paraId="15F4833F" w14:textId="270BBE59" w:rsidR="005D3395" w:rsidRDefault="005D3395" w:rsidP="003C2438">
      <w:r>
        <w:t>F</w:t>
      </w:r>
      <w:r w:rsidRPr="00D859D3">
        <w:t xml:space="preserve">ür eine Nominierung gegenüber </w:t>
      </w:r>
      <w:r w:rsidR="00192965">
        <w:t>dem</w:t>
      </w:r>
      <w:r w:rsidR="00830A57">
        <w:t xml:space="preserve"> </w:t>
      </w:r>
      <w:r w:rsidRPr="00D859D3">
        <w:t>MGV ist gemäß Bilanzkreisvertrag immer ein BKV</w:t>
      </w:r>
      <w:r>
        <w:t xml:space="preserve"> oder dessen Dienstleister verantwortlich.</w:t>
      </w:r>
    </w:p>
    <w:p w14:paraId="605BC2DB" w14:textId="77777777" w:rsidR="005D3395" w:rsidRPr="00ED5485" w:rsidRDefault="005D3395" w:rsidP="003C2438">
      <w:pPr>
        <w:rPr>
          <w:rFonts w:cs="Arial"/>
        </w:rPr>
      </w:pPr>
      <w:r w:rsidRPr="00AD3267">
        <w:t>Die Abwicklung erfolgt für alle Beteiligten nach den Regeln der EASEE-Common Business Practice</w:t>
      </w:r>
      <w:r w:rsidR="00612A5B">
        <w:t xml:space="preserve"> </w:t>
      </w:r>
      <w:r w:rsidRPr="00AD3267">
        <w:t>“</w:t>
      </w:r>
      <w:proofErr w:type="spellStart"/>
      <w:r w:rsidRPr="00AD3267">
        <w:t>Harmonisation</w:t>
      </w:r>
      <w:proofErr w:type="spellEnd"/>
      <w:r w:rsidRPr="00AD3267">
        <w:t xml:space="preserve"> </w:t>
      </w:r>
      <w:proofErr w:type="spellStart"/>
      <w:r w:rsidRPr="00AD3267">
        <w:t>of</w:t>
      </w:r>
      <w:proofErr w:type="spellEnd"/>
      <w:r w:rsidRPr="00AD3267">
        <w:t xml:space="preserve"> </w:t>
      </w:r>
      <w:proofErr w:type="spellStart"/>
      <w:r w:rsidRPr="00AD3267">
        <w:t>the</w:t>
      </w:r>
      <w:proofErr w:type="spellEnd"/>
      <w:r w:rsidRPr="00AD3267">
        <w:t xml:space="preserve"> Nomination and </w:t>
      </w:r>
      <w:proofErr w:type="spellStart"/>
      <w:r w:rsidRPr="00AD3267">
        <w:t>Matching</w:t>
      </w:r>
      <w:proofErr w:type="spellEnd"/>
      <w:r w:rsidRPr="00AD3267">
        <w:t xml:space="preserve"> </w:t>
      </w:r>
      <w:proofErr w:type="spellStart"/>
      <w:r w:rsidRPr="00AD3267">
        <w:t>Process</w:t>
      </w:r>
      <w:proofErr w:type="spellEnd"/>
      <w:r w:rsidRPr="00AD3267">
        <w:t>” in der jeweils gültigen Fassung</w:t>
      </w:r>
      <w:r>
        <w:t>. F</w:t>
      </w:r>
      <w:r w:rsidRPr="00AD3267">
        <w:t>ür Nominierungen gegenüber</w:t>
      </w:r>
      <w:r w:rsidRPr="00ED5485">
        <w:t xml:space="preserve"> einem SSO sind die Regeln analog wie in diesem Leitfaden beschrieben anzuwenden. Die Bedingungen des SSO sind dabei zu beachten. </w:t>
      </w:r>
      <w:r w:rsidRPr="00ED5485">
        <w:rPr>
          <w:rFonts w:cs="Arial"/>
        </w:rPr>
        <w:t xml:space="preserve">Für Nominierungen aus dem deutschen Netz in ein ausländisches Netz sind die Regeln der angrenzenden </w:t>
      </w:r>
      <w:r>
        <w:rPr>
          <w:rFonts w:cs="Arial"/>
        </w:rPr>
        <w:t>NB</w:t>
      </w:r>
      <w:r w:rsidRPr="00ED5485">
        <w:rPr>
          <w:rFonts w:cs="Arial"/>
        </w:rPr>
        <w:t xml:space="preserve"> am GÜP zu beachten.</w:t>
      </w:r>
    </w:p>
    <w:p w14:paraId="3B4F2386" w14:textId="77777777" w:rsidR="005D3395" w:rsidDel="00265297" w:rsidRDefault="005D3395" w:rsidP="003C2438">
      <w:pPr>
        <w:rPr>
          <w:rFonts w:cs="Arial"/>
        </w:rPr>
      </w:pPr>
      <w:r w:rsidRPr="00ED5485" w:rsidDel="00265297">
        <w:rPr>
          <w:rFonts w:cs="Arial"/>
        </w:rPr>
        <w:t>Bei der Nominierung von Biogas</w:t>
      </w:r>
      <w:r w:rsidDel="00265297">
        <w:rPr>
          <w:rFonts w:cs="Arial"/>
        </w:rPr>
        <w:t>-BK</w:t>
      </w:r>
      <w:r w:rsidRPr="00ED5485" w:rsidDel="00265297">
        <w:rPr>
          <w:rFonts w:cs="Arial"/>
        </w:rPr>
        <w:t xml:space="preserve"> ist zu beachten, dass Biogas von einem Biogas</w:t>
      </w:r>
      <w:r w:rsidDel="00265297">
        <w:rPr>
          <w:rFonts w:cs="Arial"/>
        </w:rPr>
        <w:t>-BK</w:t>
      </w:r>
      <w:r w:rsidRPr="00ED5485" w:rsidDel="00265297">
        <w:rPr>
          <w:rFonts w:cs="Arial"/>
        </w:rPr>
        <w:t xml:space="preserve"> an einen anderen Biogas</w:t>
      </w:r>
      <w:r w:rsidDel="00265297">
        <w:rPr>
          <w:rFonts w:cs="Arial"/>
        </w:rPr>
        <w:t>-BK</w:t>
      </w:r>
      <w:r w:rsidRPr="00ED5485" w:rsidDel="00265297">
        <w:rPr>
          <w:rFonts w:cs="Arial"/>
        </w:rPr>
        <w:t xml:space="preserve"> oder an einen Erdgas</w:t>
      </w:r>
      <w:r w:rsidDel="00265297">
        <w:rPr>
          <w:rFonts w:cs="Arial"/>
        </w:rPr>
        <w:t>-BK</w:t>
      </w:r>
      <w:r w:rsidRPr="00ED5485" w:rsidDel="00265297">
        <w:rPr>
          <w:rFonts w:cs="Arial"/>
        </w:rPr>
        <w:t xml:space="preserve"> übertragen werden kann, eine Übertragung von</w:t>
      </w:r>
      <w:r w:rsidRPr="005C0112" w:rsidDel="00265297">
        <w:rPr>
          <w:rFonts w:cs="Arial"/>
        </w:rPr>
        <w:t xml:space="preserve"> Erdgas aus einem Erdgas</w:t>
      </w:r>
      <w:r w:rsidDel="00265297">
        <w:rPr>
          <w:rFonts w:cs="Arial"/>
        </w:rPr>
        <w:t>-BK</w:t>
      </w:r>
      <w:r w:rsidRPr="005C0112" w:rsidDel="00265297">
        <w:rPr>
          <w:rFonts w:cs="Arial"/>
        </w:rPr>
        <w:t xml:space="preserve"> in einen Biogas</w:t>
      </w:r>
      <w:r w:rsidDel="00265297">
        <w:rPr>
          <w:rFonts w:cs="Arial"/>
        </w:rPr>
        <w:t>-BK</w:t>
      </w:r>
      <w:r w:rsidRPr="005C0112" w:rsidDel="00265297">
        <w:rPr>
          <w:rFonts w:cs="Arial"/>
        </w:rPr>
        <w:t xml:space="preserve"> jedoch durch den NB/SSO oder MGV im Nominierungsprozess abgelehnt </w:t>
      </w:r>
      <w:r w:rsidDel="00265297">
        <w:rPr>
          <w:rFonts w:cs="Arial"/>
        </w:rPr>
        <w:t>werden muss</w:t>
      </w:r>
      <w:r w:rsidRPr="005C0112" w:rsidDel="00265297">
        <w:rPr>
          <w:rFonts w:cs="Arial"/>
        </w:rPr>
        <w:t>.</w:t>
      </w:r>
      <w:r w:rsidDel="00265297">
        <w:rPr>
          <w:rFonts w:cs="Arial"/>
        </w:rPr>
        <w:t xml:space="preserve"> Für Übertragungen von Gasmengen auf Speicherkonten beim SSO gelten die vorgenannten Regelungen analog.</w:t>
      </w:r>
    </w:p>
    <w:p w14:paraId="6612AEF5" w14:textId="53B1CEDE" w:rsidR="005D3395" w:rsidRPr="005C0112" w:rsidDel="00265297" w:rsidRDefault="00192965" w:rsidP="003C2438">
      <w:r>
        <w:t>Am VHP</w:t>
      </w:r>
      <w:r w:rsidR="005D3395" w:rsidRPr="005C0112" w:rsidDel="00265297">
        <w:t xml:space="preserve"> werden getrennte Nominierungen für H-Gas</w:t>
      </w:r>
      <w:r w:rsidR="005D3395" w:rsidDel="00265297">
        <w:t>-BK</w:t>
      </w:r>
      <w:r w:rsidR="005D3395" w:rsidRPr="005C0112" w:rsidDel="00265297">
        <w:t xml:space="preserve"> und L-Gas</w:t>
      </w:r>
      <w:r w:rsidR="005D3395" w:rsidDel="00265297">
        <w:t>-</w:t>
      </w:r>
      <w:r w:rsidR="005D3395" w:rsidRPr="005C0112" w:rsidDel="00265297">
        <w:t>B</w:t>
      </w:r>
      <w:r w:rsidR="005D3395" w:rsidDel="00265297">
        <w:t>K</w:t>
      </w:r>
      <w:r w:rsidR="005D3395" w:rsidRPr="005C0112" w:rsidDel="00265297">
        <w:t xml:space="preserve"> gegenüber dem MGV abgegeben. </w:t>
      </w:r>
      <w:r w:rsidR="005D3395" w:rsidDel="00265297">
        <w:t>Eine Übertragung aus einem</w:t>
      </w:r>
      <w:r w:rsidR="005D3395" w:rsidRPr="005C0112" w:rsidDel="00265297">
        <w:t xml:space="preserve"> H-Gas</w:t>
      </w:r>
      <w:r w:rsidR="005D3395" w:rsidDel="00265297">
        <w:t>-</w:t>
      </w:r>
      <w:r w:rsidR="005D3395" w:rsidRPr="005C0112" w:rsidDel="00265297">
        <w:t>B</w:t>
      </w:r>
      <w:r w:rsidR="005D3395" w:rsidDel="00265297">
        <w:t>K</w:t>
      </w:r>
      <w:r w:rsidR="005D3395" w:rsidRPr="005C0112" w:rsidDel="00265297">
        <w:t xml:space="preserve"> in einen L-Gas</w:t>
      </w:r>
      <w:r w:rsidR="005D3395" w:rsidDel="00265297">
        <w:t>-</w:t>
      </w:r>
      <w:r w:rsidR="005D3395" w:rsidRPr="005C0112" w:rsidDel="00265297">
        <w:t>B</w:t>
      </w:r>
      <w:r w:rsidR="005D3395" w:rsidDel="00265297">
        <w:t>K</w:t>
      </w:r>
      <w:r w:rsidR="005D3395" w:rsidRPr="005C0112" w:rsidDel="00265297">
        <w:t xml:space="preserve"> </w:t>
      </w:r>
      <w:r w:rsidR="005D3395" w:rsidDel="00265297">
        <w:t>oder umgekehrt ist nicht zulässig. Die Gasqualität muss in der Nominierung anhand des verwendeten BK/SBK erkennbar sein. E</w:t>
      </w:r>
      <w:r w:rsidR="005D3395" w:rsidRPr="005C0112" w:rsidDel="00265297">
        <w:t>ine Übertragung</w:t>
      </w:r>
      <w:r w:rsidR="005D3395" w:rsidDel="00265297">
        <w:t>,</w:t>
      </w:r>
      <w:r w:rsidR="005D3395" w:rsidRPr="005C0112" w:rsidDel="00265297">
        <w:t xml:space="preserve"> z.</w:t>
      </w:r>
      <w:r w:rsidR="005D3395" w:rsidDel="00265297">
        <w:t> </w:t>
      </w:r>
      <w:r w:rsidR="005D3395" w:rsidRPr="005C0112" w:rsidDel="00265297">
        <w:t>B. von einem H-Gas</w:t>
      </w:r>
      <w:r w:rsidR="005D3395" w:rsidDel="00265297">
        <w:t>-BK</w:t>
      </w:r>
      <w:r w:rsidR="005D3395" w:rsidRPr="005C0112" w:rsidDel="00265297">
        <w:t xml:space="preserve"> in einen L-Gas</w:t>
      </w:r>
      <w:r w:rsidR="005D3395" w:rsidDel="00265297">
        <w:t>-BK,</w:t>
      </w:r>
      <w:r w:rsidR="005D3395" w:rsidRPr="005C0112" w:rsidDel="00265297">
        <w:t xml:space="preserve"> </w:t>
      </w:r>
      <w:r w:rsidR="005D3395" w:rsidDel="00265297">
        <w:t xml:space="preserve">erfolgt über den </w:t>
      </w:r>
      <w:r w:rsidR="005D3395" w:rsidRPr="005C0112" w:rsidDel="00265297">
        <w:t>Prozess Konvertierung</w:t>
      </w:r>
      <w:r w:rsidR="005D3395" w:rsidDel="00265297">
        <w:t xml:space="preserve"> gemäß Kap. </w:t>
      </w:r>
      <w:r w:rsidR="0011373C">
        <w:fldChar w:fldCharType="begin"/>
      </w:r>
      <w:r w:rsidR="0011373C">
        <w:instrText xml:space="preserve"> REF _Ref348534236 \r \h  \* MERGEFORMAT </w:instrText>
      </w:r>
      <w:r w:rsidR="0011373C">
        <w:fldChar w:fldCharType="separate"/>
      </w:r>
      <w:r w:rsidR="00692E23">
        <w:t>7</w:t>
      </w:r>
      <w:r w:rsidR="0011373C">
        <w:fldChar w:fldCharType="end"/>
      </w:r>
      <w:r w:rsidR="005D3395" w:rsidRPr="005C0112" w:rsidDel="00265297">
        <w:t>.</w:t>
      </w:r>
    </w:p>
    <w:p w14:paraId="75CEE0B1" w14:textId="77777777" w:rsidR="005D3395" w:rsidRPr="00FA2D43" w:rsidRDefault="005D3395" w:rsidP="003C2438">
      <w:r w:rsidRPr="00FA2D43">
        <w:t xml:space="preserve">Nominierungen sind in positiven ganzzahligen </w:t>
      </w:r>
      <w:r w:rsidRPr="0062136D">
        <w:t>kWh</w:t>
      </w:r>
      <w:r>
        <w:t>/h</w:t>
      </w:r>
      <w:r w:rsidRPr="00FA2D43">
        <w:t xml:space="preserve"> unter Angabe des Übergabepunktes, der Richtung und der BK- bzw. SBK-Nummern oder des beteiligten </w:t>
      </w:r>
      <w:proofErr w:type="spellStart"/>
      <w:r w:rsidRPr="00FA2D43">
        <w:t>Shippercodepaares</w:t>
      </w:r>
      <w:proofErr w:type="spellEnd"/>
      <w:r w:rsidRPr="00FA2D43">
        <w:t xml:space="preserve"> auf Stundenbasis vorzunehmen. Nominierungen werden zuerst den festen und dann den unterbrechbaren Kapazitätsprodukten zugeordnet. Eine Nominierung muss für jede Flussrichtung einzeln abgegeben werden.</w:t>
      </w:r>
    </w:p>
    <w:p w14:paraId="1C8ED187" w14:textId="315A5809" w:rsidR="005D3395" w:rsidRPr="00706A28" w:rsidRDefault="005D3395" w:rsidP="003C2438">
      <w:r w:rsidRPr="00706A28">
        <w:lastRenderedPageBreak/>
        <w:t xml:space="preserve">Nominierungen sind als gültige EDIGAS-Nachricht des </w:t>
      </w:r>
      <w:proofErr w:type="spellStart"/>
      <w:r w:rsidRPr="00706A28">
        <w:t>EDI@Energy-Subsets</w:t>
      </w:r>
      <w:proofErr w:type="spellEnd"/>
      <w:r w:rsidRPr="00706A28">
        <w:t xml:space="preserve"> zu übermitteln. Dies ist derzeit das Format NOMINT. Es werden immer 24 Stundenwerte abgegeben mit Ausnahme an den beiden Tagen der Sommer/Winterzeitumstellung. </w:t>
      </w:r>
      <w:proofErr w:type="spellStart"/>
      <w:r w:rsidRPr="00706A28">
        <w:t>Renominierungen</w:t>
      </w:r>
      <w:proofErr w:type="spellEnd"/>
      <w:r w:rsidRPr="00706A28">
        <w:t xml:space="preserve"> sind zulässig im Rahmen der Vorgaben der aktuellen </w:t>
      </w:r>
      <w:proofErr w:type="spellStart"/>
      <w:r>
        <w:t>KoV</w:t>
      </w:r>
      <w:proofErr w:type="spellEnd"/>
      <w:r w:rsidRPr="00706A28">
        <w:t xml:space="preserve"> bzw. hierzu ergangener Festlegung der Regulierungsbehörden oder vorrangig anzuwendender Regelungen der EU. Der Eingang einer Nominierung beim NB ist durch eine </w:t>
      </w:r>
      <w:proofErr w:type="spellStart"/>
      <w:r w:rsidRPr="00706A28">
        <w:t>Edig@s</w:t>
      </w:r>
      <w:r>
        <w:t>-</w:t>
      </w:r>
      <w:r w:rsidRPr="00706A28">
        <w:t>Nachricht</w:t>
      </w:r>
      <w:proofErr w:type="spellEnd"/>
      <w:r w:rsidRPr="00706A28">
        <w:t xml:space="preserve"> zu bestätigen. Dies geschieht im Format CONTRL</w:t>
      </w:r>
      <w:r>
        <w:t>.</w:t>
      </w:r>
      <w:r w:rsidRPr="00706A28">
        <w:t xml:space="preserve"> Eine Nominierung ist durch den NB bzw. MGV mit einer </w:t>
      </w:r>
      <w:proofErr w:type="spellStart"/>
      <w:r w:rsidRPr="00706A28">
        <w:t>Edig@s-Nachricht</w:t>
      </w:r>
      <w:proofErr w:type="spellEnd"/>
      <w:r w:rsidRPr="00706A28">
        <w:t xml:space="preserve"> zu bestätigen. Das geschieht im Format NOMRES.</w:t>
      </w:r>
    </w:p>
    <w:p w14:paraId="2E08D8D3" w14:textId="77777777" w:rsidR="005D3395" w:rsidRPr="00E24A37" w:rsidRDefault="005D3395" w:rsidP="003C2438">
      <w:r w:rsidRPr="00A1205B">
        <w:t xml:space="preserve">An </w:t>
      </w:r>
      <w:r>
        <w:t>P</w:t>
      </w:r>
      <w:r w:rsidRPr="00A1205B">
        <w:t xml:space="preserve">unkten, für die mit einem NB/SSO ein Nominierungsersatzverfahren vereinbart wurde, gelten die übertragenen </w:t>
      </w:r>
      <w:r>
        <w:t>Steuerungswerte</w:t>
      </w:r>
      <w:r w:rsidRPr="00A1205B">
        <w:t xml:space="preserve"> als Nominierung</w:t>
      </w:r>
      <w:r w:rsidRPr="00F202F5">
        <w:t>.</w:t>
      </w:r>
    </w:p>
    <w:p w14:paraId="2472D3A5" w14:textId="77777777" w:rsidR="005D3395" w:rsidRDefault="005D3395" w:rsidP="003C2438">
      <w:pPr>
        <w:pStyle w:val="berschrift2"/>
        <w:tabs>
          <w:tab w:val="clear" w:pos="851"/>
          <w:tab w:val="num" w:pos="1135"/>
        </w:tabs>
        <w:spacing w:before="480"/>
        <w:ind w:left="828" w:hanging="828"/>
      </w:pPr>
      <w:bookmarkStart w:id="392" w:name="_Toc111118467"/>
      <w:bookmarkStart w:id="393" w:name="_Toc288001316"/>
      <w:bookmarkStart w:id="394" w:name="_Ref289769904"/>
      <w:bookmarkStart w:id="395" w:name="_Toc296694093"/>
      <w:bookmarkStart w:id="396" w:name="_Toc391540154"/>
      <w:bookmarkStart w:id="397" w:name="_Toc280080579"/>
      <w:bookmarkStart w:id="398" w:name="_Toc284323633"/>
      <w:bookmarkStart w:id="399" w:name="_Toc284334310"/>
      <w:bookmarkStart w:id="400" w:name="_Toc285005279"/>
      <w:r w:rsidRPr="00DF0C6C">
        <w:t xml:space="preserve">Nominierungen </w:t>
      </w:r>
      <w:r>
        <w:t>gegenüber dem NB</w:t>
      </w:r>
      <w:bookmarkEnd w:id="392"/>
      <w:r>
        <w:t xml:space="preserve"> </w:t>
      </w:r>
      <w:bookmarkEnd w:id="393"/>
      <w:bookmarkEnd w:id="394"/>
      <w:bookmarkEnd w:id="395"/>
      <w:bookmarkEnd w:id="396"/>
    </w:p>
    <w:bookmarkEnd w:id="397"/>
    <w:bookmarkEnd w:id="398"/>
    <w:bookmarkEnd w:id="399"/>
    <w:bookmarkEnd w:id="400"/>
    <w:p w14:paraId="642E353C" w14:textId="77777777" w:rsidR="005D3395" w:rsidRDefault="005D3395" w:rsidP="003C2438">
      <w:r w:rsidRPr="006D2148">
        <w:t>Die</w:t>
      </w:r>
      <w:r w:rsidRPr="00A90710">
        <w:t xml:space="preserve"> Nominierung </w:t>
      </w:r>
      <w:r w:rsidRPr="006D2148">
        <w:t>erfolgt nach Wahl des BKV als</w:t>
      </w:r>
      <w:r w:rsidRPr="00A90710">
        <w:t xml:space="preserve"> </w:t>
      </w:r>
      <w:r>
        <w:t>Double-</w:t>
      </w:r>
      <w:proofErr w:type="spellStart"/>
      <w:r>
        <w:t>Sided</w:t>
      </w:r>
      <w:proofErr w:type="spellEnd"/>
      <w:r>
        <w:t xml:space="preserve">-Nomination </w:t>
      </w:r>
      <w:r w:rsidRPr="00A90710">
        <w:t xml:space="preserve">oder </w:t>
      </w:r>
      <w:r>
        <w:t>Single</w:t>
      </w:r>
      <w:r w:rsidRPr="00A90710">
        <w:t>-</w:t>
      </w:r>
      <w:r>
        <w:t>S</w:t>
      </w:r>
      <w:r w:rsidRPr="00A90710">
        <w:t>i</w:t>
      </w:r>
      <w:r w:rsidR="006B056C">
        <w:t>-</w:t>
      </w:r>
      <w:proofErr w:type="spellStart"/>
      <w:r w:rsidRPr="00A90710">
        <w:t>ded</w:t>
      </w:r>
      <w:proofErr w:type="spellEnd"/>
      <w:r>
        <w:t>-N</w:t>
      </w:r>
      <w:r w:rsidRPr="00A90710">
        <w:t>omination.</w:t>
      </w:r>
      <w:r w:rsidRPr="006D2148">
        <w:t xml:space="preserve"> </w:t>
      </w:r>
      <w:r>
        <w:t>An Punkten zu Speichern erfolgt die Nominierung als Double-</w:t>
      </w:r>
      <w:proofErr w:type="spellStart"/>
      <w:r>
        <w:t>Sided</w:t>
      </w:r>
      <w:proofErr w:type="spellEnd"/>
      <w:r>
        <w:t>-Nomi</w:t>
      </w:r>
      <w:r w:rsidR="006B056C">
        <w:t>-</w:t>
      </w:r>
      <w:r>
        <w:t>nation.</w:t>
      </w:r>
    </w:p>
    <w:p w14:paraId="5BBD25E6" w14:textId="71F0226A" w:rsidR="005D3395" w:rsidRDefault="005D3395" w:rsidP="003C2438">
      <w:r w:rsidRPr="00055369">
        <w:t>Eine Double-</w:t>
      </w:r>
      <w:proofErr w:type="spellStart"/>
      <w:r w:rsidRPr="00055369">
        <w:t>Sided</w:t>
      </w:r>
      <w:proofErr w:type="spellEnd"/>
      <w:r w:rsidRPr="00055369">
        <w:t>-Nomination erfolgt durch jeweils eine Nachricht gegenüber beiden betroffenen NB</w:t>
      </w:r>
      <w:r>
        <w:t xml:space="preserve"> bzw. SSO</w:t>
      </w:r>
      <w:r w:rsidRPr="00055369">
        <w:t>.</w:t>
      </w:r>
    </w:p>
    <w:p w14:paraId="0263C000" w14:textId="246531D9" w:rsidR="005D3395" w:rsidRDefault="005D3395" w:rsidP="003C2438">
      <w:r>
        <w:t>Eine Single-</w:t>
      </w:r>
      <w:proofErr w:type="spellStart"/>
      <w:r>
        <w:t>Sided</w:t>
      </w:r>
      <w:proofErr w:type="spellEnd"/>
      <w:r>
        <w:t xml:space="preserve">-Nomination erfolgt allein gegenüber dem aktiven </w:t>
      </w:r>
      <w:r w:rsidR="004F593C">
        <w:t>NB</w:t>
      </w:r>
      <w:r>
        <w:t xml:space="preserve">. Die angrenzenden </w:t>
      </w:r>
      <w:r w:rsidR="004F593C">
        <w:t>NB</w:t>
      </w:r>
      <w:r>
        <w:t xml:space="preserve"> vereinbaren</w:t>
      </w:r>
      <w:r w:rsidRPr="0053570B">
        <w:t xml:space="preserve"> </w:t>
      </w:r>
      <w:r>
        <w:t xml:space="preserve">für den jeweiligen Punkt, wer die Rolle des aktiven </w:t>
      </w:r>
      <w:r w:rsidR="00266D0A">
        <w:t>NB</w:t>
      </w:r>
      <w:r>
        <w:t xml:space="preserve"> einnimmt, und veröffentlichen dies z.</w:t>
      </w:r>
      <w:r w:rsidR="00266D0A">
        <w:t> </w:t>
      </w:r>
      <w:r>
        <w:t>B. auf ihrer Homepage.</w:t>
      </w:r>
    </w:p>
    <w:p w14:paraId="47C97280" w14:textId="77777777" w:rsidR="005D3395" w:rsidRDefault="005D3395" w:rsidP="003C2438">
      <w:r>
        <w:t>Nach Empfang einer Single-</w:t>
      </w:r>
      <w:proofErr w:type="spellStart"/>
      <w:r>
        <w:t>Sided</w:t>
      </w:r>
      <w:proofErr w:type="spellEnd"/>
      <w:r>
        <w:t xml:space="preserve">-Nomination verarbeitet der aktive NB die Nominierung und leitet diese </w:t>
      </w:r>
      <w:r w:rsidR="0026540B">
        <w:t>spätestens 15 Minuten nach Ablauf der Nominierungsfrist</w:t>
      </w:r>
      <w:r>
        <w:t xml:space="preserve"> an den passiven NB weiter. Der passive NB prüft im Rahmen </w:t>
      </w:r>
      <w:r w:rsidR="0026540B">
        <w:t xml:space="preserve">des </w:t>
      </w:r>
      <w:r>
        <w:t xml:space="preserve">Autorisierungsprozesses, inwieweit der nominierende BKV berechtigt ist für den BKV auf der passiven Seite eine Nominierung abzugeben. Nach erfolgreicher Autorisierungsprüfung und Verarbeitung der Nominierung erfolgt das </w:t>
      </w:r>
      <w:proofErr w:type="spellStart"/>
      <w:r>
        <w:t>Matching</w:t>
      </w:r>
      <w:proofErr w:type="spellEnd"/>
      <w:r>
        <w:t>.</w:t>
      </w:r>
    </w:p>
    <w:p w14:paraId="163A82AE" w14:textId="77777777" w:rsidR="005D3395" w:rsidRDefault="005D3395" w:rsidP="003C2438">
      <w:r>
        <w:t xml:space="preserve">Nach Finalisierung des </w:t>
      </w:r>
      <w:proofErr w:type="spellStart"/>
      <w:r>
        <w:t>Matching</w:t>
      </w:r>
      <w:proofErr w:type="spellEnd"/>
      <w:r>
        <w:t xml:space="preserve">-Prozesses erhalten die BKV vom jeweiligen </w:t>
      </w:r>
      <w:r w:rsidR="00266D0A">
        <w:t>NB</w:t>
      </w:r>
      <w:r>
        <w:t xml:space="preserve"> eine Nominierungsbestätigung.</w:t>
      </w:r>
    </w:p>
    <w:p w14:paraId="5DB40016" w14:textId="77777777" w:rsidR="005D3395" w:rsidRDefault="005D3395" w:rsidP="003C2438">
      <w:r>
        <w:t xml:space="preserve">Im Rahmen der Verarbeitung der Nominierung nimmt jeder </w:t>
      </w:r>
      <w:r w:rsidR="00266D0A">
        <w:t>NB</w:t>
      </w:r>
      <w:r>
        <w:t xml:space="preserve"> folgende Einzelprüfungen vor</w:t>
      </w:r>
      <w:r w:rsidRPr="00A90710">
        <w:t>:</w:t>
      </w:r>
    </w:p>
    <w:p w14:paraId="5D7432A4" w14:textId="77777777" w:rsidR="005D3395" w:rsidRDefault="005D3395" w:rsidP="007F76BC">
      <w:pPr>
        <w:pStyle w:val="NummerierteListeohneEinzug"/>
        <w:numPr>
          <w:ilvl w:val="0"/>
          <w:numId w:val="59"/>
        </w:numPr>
        <w:ind w:left="426" w:hanging="426"/>
      </w:pPr>
      <w:r w:rsidRPr="00597591">
        <w:t>Liegt eine Nominierungsermächtigung vor?</w:t>
      </w:r>
      <w:r w:rsidRPr="00597591">
        <w:br/>
      </w:r>
      <w:r>
        <w:t xml:space="preserve">Der NB hat </w:t>
      </w:r>
      <w:r w:rsidRPr="00A91CE6">
        <w:t xml:space="preserve">das Recht zu prüfen, ob eine Nominierungsermächtigung </w:t>
      </w:r>
      <w:r>
        <w:t xml:space="preserve">des Nominierenden </w:t>
      </w:r>
      <w:r w:rsidRPr="00A91CE6">
        <w:t>für den zu nominierenden BK/SBK vorliegt. Andernfalls wird die Nominierung abgelehnt.</w:t>
      </w:r>
    </w:p>
    <w:p w14:paraId="4DC7B7EF" w14:textId="77777777" w:rsidR="005D3395" w:rsidRDefault="005D3395" w:rsidP="007F76BC">
      <w:pPr>
        <w:pStyle w:val="NummerierteListeohneEinzug"/>
        <w:numPr>
          <w:ilvl w:val="0"/>
          <w:numId w:val="59"/>
        </w:numPr>
        <w:ind w:left="426" w:hanging="426"/>
      </w:pPr>
      <w:r w:rsidRPr="00A91CE6">
        <w:t>Sind die beiden beteiligten Bilanzkreise Biogas-BK?</w:t>
      </w:r>
      <w:r w:rsidRPr="00A91CE6">
        <w:br/>
        <w:t>Sofern nicht, ist nur die Übertragung von einem Biogas-BK in einen Erdgas-BK zulässig. Eine Übertragung von Erdgas</w:t>
      </w:r>
      <w:r>
        <w:t>-</w:t>
      </w:r>
      <w:r w:rsidRPr="00A91CE6">
        <w:t xml:space="preserve"> in einen Biogas</w:t>
      </w:r>
      <w:r w:rsidRPr="00A1205B">
        <w:t>-BK wird abgelehnt.</w:t>
      </w:r>
    </w:p>
    <w:p w14:paraId="01E83D6B" w14:textId="77777777" w:rsidR="005D3395" w:rsidRDefault="005D3395" w:rsidP="007F76BC">
      <w:pPr>
        <w:pStyle w:val="NummerierteListeohneEinzug"/>
        <w:numPr>
          <w:ilvl w:val="0"/>
          <w:numId w:val="59"/>
        </w:numPr>
        <w:ind w:left="426" w:hanging="426"/>
      </w:pPr>
      <w:r>
        <w:lastRenderedPageBreak/>
        <w:t>Haben</w:t>
      </w:r>
      <w:r w:rsidRPr="00A1205B">
        <w:t xml:space="preserve"> die beiden beteiligten Bilanzkreise </w:t>
      </w:r>
      <w:r>
        <w:t>die</w:t>
      </w:r>
      <w:r w:rsidRPr="00A1205B">
        <w:t xml:space="preserve"> gleiche Gasqualität?</w:t>
      </w:r>
      <w:r w:rsidRPr="00A1205B">
        <w:br/>
        <w:t>Eine Übertragung von Mengen von H- nach L-Gas</w:t>
      </w:r>
      <w:r>
        <w:t>-</w:t>
      </w:r>
      <w:r w:rsidRPr="00A1205B">
        <w:t xml:space="preserve"> bzw. L- nach H-Gas</w:t>
      </w:r>
      <w:r>
        <w:t>-BK</w:t>
      </w:r>
      <w:r w:rsidRPr="00A1205B">
        <w:t xml:space="preserve"> </w:t>
      </w:r>
      <w:r>
        <w:t xml:space="preserve">ist nicht zulässig und </w:t>
      </w:r>
      <w:r w:rsidRPr="00A1205B">
        <w:t>wird vom NB abgelehnt.</w:t>
      </w:r>
    </w:p>
    <w:p w14:paraId="4588F36F" w14:textId="77777777" w:rsidR="005D3395" w:rsidRDefault="005D3395" w:rsidP="007F76BC">
      <w:pPr>
        <w:pStyle w:val="NummerierteListeohneEinzug"/>
        <w:numPr>
          <w:ilvl w:val="0"/>
          <w:numId w:val="59"/>
        </w:numPr>
        <w:ind w:left="426" w:hanging="426"/>
      </w:pPr>
      <w:r w:rsidRPr="00A1205B">
        <w:t xml:space="preserve">Stimmt die Höhe der abgebenden und aufnehmenden Nominierung stundenscharf überein? </w:t>
      </w:r>
      <w:r w:rsidRPr="00A1205B">
        <w:br/>
        <w:t xml:space="preserve">Liegt </w:t>
      </w:r>
      <w:r>
        <w:t xml:space="preserve">eine </w:t>
      </w:r>
      <w:r w:rsidRPr="00A1205B">
        <w:t>Übereinstimmung vor, so werden beide Nominierungen bestätigt. Wenn keine Übereinstimmung vorliegt</w:t>
      </w:r>
      <w:r>
        <w:t>, gilt die „</w:t>
      </w:r>
      <w:proofErr w:type="spellStart"/>
      <w:r>
        <w:t>l</w:t>
      </w:r>
      <w:r w:rsidRPr="00A1205B">
        <w:t>esser</w:t>
      </w:r>
      <w:proofErr w:type="spellEnd"/>
      <w:r w:rsidRPr="00A1205B">
        <w:t xml:space="preserve"> </w:t>
      </w:r>
      <w:proofErr w:type="spellStart"/>
      <w:r w:rsidRPr="00A1205B">
        <w:t>rule</w:t>
      </w:r>
      <w:proofErr w:type="spellEnd"/>
      <w:r w:rsidRPr="00A1205B">
        <w:t xml:space="preserve">“, es wird die geringere der beiden Nominierungen gegenüber beiden </w:t>
      </w:r>
      <w:r>
        <w:t xml:space="preserve">Nominierenden </w:t>
      </w:r>
      <w:r w:rsidRPr="00A1205B">
        <w:t>bestätigt</w:t>
      </w:r>
      <w:r>
        <w:t xml:space="preserve">, falls beide Nominierungen die gleiche Flussrichtung aufweisen. Richtungsverschiedene Nominierungen führen zu </w:t>
      </w:r>
      <w:r w:rsidRPr="005B6A24">
        <w:t xml:space="preserve">dem </w:t>
      </w:r>
      <w:proofErr w:type="spellStart"/>
      <w:r w:rsidRPr="005B6A24">
        <w:t>Matchingergebnis</w:t>
      </w:r>
      <w:proofErr w:type="spellEnd"/>
      <w:r w:rsidRPr="005B6A24">
        <w:t xml:space="preserve"> 0</w:t>
      </w:r>
      <w:r>
        <w:t>.</w:t>
      </w:r>
    </w:p>
    <w:p w14:paraId="31EFC0B2" w14:textId="759520A6" w:rsidR="005D3395" w:rsidRDefault="005D3395" w:rsidP="007F76BC">
      <w:pPr>
        <w:pStyle w:val="NummerierteListeohneEinzug"/>
        <w:numPr>
          <w:ilvl w:val="0"/>
          <w:numId w:val="59"/>
        </w:numPr>
        <w:ind w:left="426" w:hanging="426"/>
      </w:pPr>
      <w:r w:rsidRPr="00DF612D">
        <w:t xml:space="preserve">An </w:t>
      </w:r>
      <w:proofErr w:type="spellStart"/>
      <w:r w:rsidRPr="00DF612D">
        <w:t>renominierungsbeschränkten</w:t>
      </w:r>
      <w:proofErr w:type="spellEnd"/>
      <w:r w:rsidRPr="00DF612D">
        <w:t xml:space="preserve"> Punkten (GÜP) werden </w:t>
      </w:r>
      <w:proofErr w:type="spellStart"/>
      <w:r w:rsidRPr="00DF612D">
        <w:t>Renominierungen</w:t>
      </w:r>
      <w:proofErr w:type="spellEnd"/>
      <w:r w:rsidRPr="00DF612D">
        <w:t xml:space="preserve"> angenommen</w:t>
      </w:r>
      <w:r>
        <w:t>. Die</w:t>
      </w:r>
      <w:r w:rsidRPr="00DF612D">
        <w:t xml:space="preserve"> Menge, die die durch die initiale Nominierung festgelegte Grenze überschreitet</w:t>
      </w:r>
      <w:r>
        <w:t xml:space="preserve"> bzw. unterschreitet</w:t>
      </w:r>
      <w:r w:rsidRPr="00DF612D">
        <w:t xml:space="preserve">, </w:t>
      </w:r>
      <w:r>
        <w:t xml:space="preserve">wird </w:t>
      </w:r>
      <w:r w:rsidRPr="00DF612D">
        <w:t xml:space="preserve">als unterbrechbar angenommen und ggf. als erstes unterbrochen. Bei Unterschreitung des zulässigen Mindestwertes erfolgt im Falle der Unterbrechung der Gegenrichtung eine Anhebung auf den erforderlichen Mindestwert. </w:t>
      </w:r>
      <w:r w:rsidR="00192965">
        <w:t>Wenn</w:t>
      </w:r>
      <w:r w:rsidRPr="00DF612D">
        <w:t xml:space="preserve"> höher nominiert als Kapazität gebucht wurde, d</w:t>
      </w:r>
      <w:r>
        <w:t xml:space="preserve">ann kann der </w:t>
      </w:r>
      <w:r w:rsidRPr="00DF612D">
        <w:t xml:space="preserve">NB diese Nominierung </w:t>
      </w:r>
      <w:r>
        <w:t xml:space="preserve">unterbrechbar </w:t>
      </w:r>
      <w:r w:rsidRPr="00DF612D">
        <w:t>annehmen, sofern der Transport durchführbar ist</w:t>
      </w:r>
      <w:r>
        <w:t>.</w:t>
      </w:r>
    </w:p>
    <w:p w14:paraId="55C02F33" w14:textId="77777777" w:rsidR="005D3395" w:rsidRDefault="005D3395" w:rsidP="007F76BC">
      <w:pPr>
        <w:pStyle w:val="NummerierteListeohneEinzug"/>
        <w:numPr>
          <w:ilvl w:val="0"/>
          <w:numId w:val="59"/>
        </w:numPr>
        <w:ind w:left="426" w:hanging="426"/>
      </w:pPr>
      <w:r w:rsidRPr="00166366">
        <w:t xml:space="preserve">Die Mengen in einer an den NB abgegebenen </w:t>
      </w:r>
      <w:r>
        <w:t>bilanzkreis</w:t>
      </w:r>
      <w:r w:rsidRPr="00166366">
        <w:t>scharfen Nominierung werden den gebuchten Kapazitäten wie folgt zugeordnet:</w:t>
      </w:r>
    </w:p>
    <w:p w14:paraId="48DF9CC1" w14:textId="77777777" w:rsidR="005D3395" w:rsidRDefault="005D3395" w:rsidP="001322F2">
      <w:pPr>
        <w:pStyle w:val="NummerierteListemitEinzug"/>
        <w:numPr>
          <w:ilvl w:val="0"/>
          <w:numId w:val="23"/>
        </w:numPr>
        <w:ind w:left="426" w:hanging="426"/>
      </w:pPr>
      <w:r w:rsidRPr="00DF612D">
        <w:t>Mengen werden festen Kapazitätsbuchungen zugeordnet</w:t>
      </w:r>
      <w:r>
        <w:t>;</w:t>
      </w:r>
    </w:p>
    <w:p w14:paraId="458D812A" w14:textId="77777777" w:rsidR="005D3395" w:rsidRDefault="005D3395" w:rsidP="001322F2">
      <w:pPr>
        <w:pStyle w:val="NummerierteListemitEinzug"/>
        <w:numPr>
          <w:ilvl w:val="0"/>
          <w:numId w:val="23"/>
        </w:numPr>
        <w:ind w:left="426" w:hanging="426"/>
      </w:pPr>
      <w:r w:rsidRPr="00DF612D">
        <w:t>Mengen werden unterbrechbaren Kapazitätsbuchungen nach Buchungsreihenfolge zugeordnet (älteste zuerst)</w:t>
      </w:r>
      <w:r>
        <w:t>;</w:t>
      </w:r>
    </w:p>
    <w:p w14:paraId="60A0F50F" w14:textId="77777777" w:rsidR="005D3395" w:rsidRDefault="005D3395" w:rsidP="001322F2">
      <w:pPr>
        <w:pStyle w:val="NummerierteListemitEinzug"/>
        <w:numPr>
          <w:ilvl w:val="0"/>
          <w:numId w:val="23"/>
        </w:numPr>
        <w:ind w:left="426" w:hanging="426"/>
      </w:pPr>
      <w:r w:rsidRPr="00DF612D">
        <w:t xml:space="preserve">Mengen werden durch </w:t>
      </w:r>
      <w:proofErr w:type="spellStart"/>
      <w:r w:rsidRPr="00DF612D">
        <w:t>Renominierungsbeschränkung</w:t>
      </w:r>
      <w:proofErr w:type="spellEnd"/>
      <w:r w:rsidRPr="00DF612D">
        <w:t xml:space="preserve"> umgewandelten Kapazitätspositionen zugeordnet.</w:t>
      </w:r>
    </w:p>
    <w:p w14:paraId="19E62142" w14:textId="77777777" w:rsidR="005D3395" w:rsidRDefault="005D3395" w:rsidP="001322F2">
      <w:pPr>
        <w:pStyle w:val="Eingezogen"/>
        <w:ind w:left="426"/>
      </w:pPr>
      <w:r w:rsidRPr="00DF612D">
        <w:t>Ist die Summe über alle nominierten Mengen an dem betroff</w:t>
      </w:r>
      <w:r>
        <w:t xml:space="preserve">enen Punkt durch den </w:t>
      </w:r>
      <w:r w:rsidRPr="00DF612D">
        <w:t xml:space="preserve">NB nicht erfüllbar, so werden die Nominierungen aller BKV an diesem Punkt </w:t>
      </w:r>
      <w:r w:rsidR="00BA7A33" w:rsidRPr="00DF612D">
        <w:t>nachfolgendem</w:t>
      </w:r>
      <w:r>
        <w:t xml:space="preserve"> Schlüssel bearbeitet:</w:t>
      </w:r>
    </w:p>
    <w:p w14:paraId="2C96AE87" w14:textId="77777777" w:rsidR="005D3395" w:rsidRDefault="005D3395" w:rsidP="007F76BC">
      <w:pPr>
        <w:pStyle w:val="NummerierteListemitEinzug"/>
        <w:numPr>
          <w:ilvl w:val="0"/>
          <w:numId w:val="41"/>
        </w:numPr>
        <w:ind w:left="426" w:hanging="426"/>
      </w:pPr>
      <w:r w:rsidRPr="00A26576">
        <w:t>Nominierte Mengen</w:t>
      </w:r>
      <w:r w:rsidRPr="00DF612D">
        <w:t xml:space="preserve"> aller Biogas-B</w:t>
      </w:r>
      <w:r>
        <w:t>K/SBK mit fester Kapazität;</w:t>
      </w:r>
    </w:p>
    <w:p w14:paraId="2BB24ACF" w14:textId="77777777" w:rsidR="005D3395" w:rsidRDefault="005D3395" w:rsidP="007F76BC">
      <w:pPr>
        <w:pStyle w:val="NummerierteListemitEinzug"/>
        <w:numPr>
          <w:ilvl w:val="0"/>
          <w:numId w:val="41"/>
        </w:numPr>
        <w:ind w:left="426" w:hanging="426"/>
      </w:pPr>
      <w:r w:rsidRPr="00A26576">
        <w:t xml:space="preserve">Nominierte Mengen zugeordnet zu festen Kapazitäten werden ratierlich nach den </w:t>
      </w:r>
      <w:r w:rsidR="00BA7A33" w:rsidRPr="00A26576">
        <w:t>zugrundeliegenden</w:t>
      </w:r>
      <w:r w:rsidRPr="00A26576">
        <w:t xml:space="preserve"> festen Kapazitätsbuchungen unterbrochen</w:t>
      </w:r>
      <w:r>
        <w:t>;</w:t>
      </w:r>
    </w:p>
    <w:p w14:paraId="71ECB1E6" w14:textId="77777777" w:rsidR="005D3395" w:rsidRDefault="005D3395" w:rsidP="007F76BC">
      <w:pPr>
        <w:pStyle w:val="NummerierteListemitEinzug"/>
        <w:numPr>
          <w:ilvl w:val="0"/>
          <w:numId w:val="41"/>
        </w:numPr>
        <w:ind w:left="426" w:hanging="426"/>
      </w:pPr>
      <w:r w:rsidRPr="00DF33FD">
        <w:t>Nominierte Mengen aller Biogas-BK/SBK mit unterbrechbarer Kapazität</w:t>
      </w:r>
      <w:r>
        <w:t>;</w:t>
      </w:r>
    </w:p>
    <w:p w14:paraId="2071C86E" w14:textId="77777777" w:rsidR="005D3395" w:rsidRDefault="005D3395" w:rsidP="007F76BC">
      <w:pPr>
        <w:pStyle w:val="NummerierteListemitEinzug"/>
        <w:numPr>
          <w:ilvl w:val="0"/>
          <w:numId w:val="41"/>
        </w:numPr>
        <w:ind w:left="426" w:hanging="426"/>
      </w:pPr>
      <w:r w:rsidRPr="00DF612D">
        <w:t>Nominierte Mengen in unterbrechbaren Kapazitäten werden nach Abschlu</w:t>
      </w:r>
      <w:r>
        <w:t>ss</w:t>
      </w:r>
      <w:r w:rsidRPr="00DF612D">
        <w:t xml:space="preserve">datum der </w:t>
      </w:r>
      <w:r w:rsidR="00BA7A33" w:rsidRPr="00DF612D">
        <w:t>zugrun</w:t>
      </w:r>
      <w:r w:rsidR="00BA7A33">
        <w:t>deliegenden</w:t>
      </w:r>
      <w:r>
        <w:t xml:space="preserve"> Kapazitätsverträge</w:t>
      </w:r>
      <w:r w:rsidRPr="00DF612D">
        <w:t xml:space="preserve"> unterbrochen (</w:t>
      </w:r>
      <w:r>
        <w:t>j</w:t>
      </w:r>
      <w:r w:rsidRPr="00DF612D">
        <w:t>üngster zu</w:t>
      </w:r>
      <w:r>
        <w:t>erst);</w:t>
      </w:r>
    </w:p>
    <w:p w14:paraId="4822F1D0" w14:textId="77777777" w:rsidR="005D3395" w:rsidRDefault="005D3395" w:rsidP="007F76BC">
      <w:pPr>
        <w:pStyle w:val="NummerierteListemitEinzug"/>
        <w:numPr>
          <w:ilvl w:val="0"/>
          <w:numId w:val="41"/>
        </w:numPr>
        <w:ind w:left="426" w:hanging="426"/>
      </w:pPr>
      <w:r w:rsidRPr="00A26576">
        <w:t>Nominierte Mengen</w:t>
      </w:r>
      <w:r>
        <w:t>,</w:t>
      </w:r>
      <w:r w:rsidRPr="00A26576">
        <w:t xml:space="preserve"> zugeordnet zu dem Teil der festen Kapazitätsbuchungen, der de</w:t>
      </w:r>
      <w:r>
        <w:t>r</w:t>
      </w:r>
      <w:r w:rsidRPr="00A26576">
        <w:t xml:space="preserve"> </w:t>
      </w:r>
      <w:proofErr w:type="spellStart"/>
      <w:r w:rsidRPr="00A26576">
        <w:t>Renominierungsbeschränkung</w:t>
      </w:r>
      <w:proofErr w:type="spellEnd"/>
      <w:r w:rsidRPr="00A26576">
        <w:t xml:space="preserve"> unterliegt, werden ratierlich unterbrochen.</w:t>
      </w:r>
    </w:p>
    <w:p w14:paraId="3F9EFD53" w14:textId="77777777" w:rsidR="005D3395" w:rsidRDefault="005D3395" w:rsidP="003C2438">
      <w:pPr>
        <w:pStyle w:val="NummerierteListeohneEinzug"/>
      </w:pPr>
      <w:r>
        <w:lastRenderedPageBreak/>
        <w:t>Nachfolgend wird anhand von Beispielen erläutert, wie der unter Ziffer VI beschriebene Kürzungsmechanismus von Nominierungen funktioniert.</w:t>
      </w:r>
    </w:p>
    <w:p w14:paraId="5169383C" w14:textId="76CA4891" w:rsidR="005D3395" w:rsidRDefault="005D3395" w:rsidP="003C2438">
      <w:pPr>
        <w:pStyle w:val="Eingezogen"/>
        <w:ind w:left="0"/>
      </w:pPr>
      <w:r>
        <w:t xml:space="preserve">Startbedingungen: max. Stations-TVK = 200, </w:t>
      </w:r>
      <w:r w:rsidR="00D267A4">
        <w:t xml:space="preserve">die </w:t>
      </w:r>
      <w:r w:rsidR="009B27F8">
        <w:t>KN</w:t>
      </w:r>
      <w:r w:rsidR="00612A5B">
        <w:t>s</w:t>
      </w:r>
      <w:r>
        <w:t xml:space="preserve"> buchen immer feste Kapazitäten (FZK)</w:t>
      </w:r>
    </w:p>
    <w:p w14:paraId="4C9F42E4" w14:textId="48EBDA56" w:rsidR="005D3395" w:rsidRDefault="005D3395" w:rsidP="00304585">
      <w:pPr>
        <w:spacing w:after="0"/>
        <w:ind w:left="1702" w:hanging="1418"/>
        <w:rPr>
          <w:rFonts w:cs="Arial"/>
        </w:rPr>
      </w:pPr>
      <w:r w:rsidRPr="00D21809">
        <w:rPr>
          <w:rFonts w:cs="Arial"/>
        </w:rPr>
        <w:t>Beispiel 1:</w:t>
      </w:r>
      <w:r>
        <w:rPr>
          <w:rFonts w:cs="Arial"/>
        </w:rPr>
        <w:t xml:space="preserve"> </w:t>
      </w:r>
      <w:r>
        <w:rPr>
          <w:rFonts w:cs="Arial"/>
        </w:rPr>
        <w:tab/>
        <w:t>B</w:t>
      </w:r>
      <w:r w:rsidRPr="00D21809">
        <w:rPr>
          <w:rFonts w:cs="Arial"/>
        </w:rPr>
        <w:t xml:space="preserve">uchungen: </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100</w:t>
      </w:r>
      <w:r w:rsidRPr="00A26576">
        <w:rPr>
          <w:rFonts w:cs="Arial"/>
        </w:rPr>
        <w:br/>
      </w:r>
      <w:r w:rsidRPr="00D21809">
        <w:rPr>
          <w:rFonts w:cs="Arial"/>
        </w:rPr>
        <w:t xml:space="preserve">Nominierungen: </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0</w:t>
      </w:r>
      <w:r w:rsidRPr="00A26576">
        <w:rPr>
          <w:rFonts w:cs="Arial"/>
        </w:rPr>
        <w:br/>
      </w:r>
      <w:r w:rsidRPr="00D21809">
        <w:rPr>
          <w:rFonts w:cs="Arial"/>
        </w:rPr>
        <w:t xml:space="preserve">reduzierte TVK: </w:t>
      </w:r>
      <w:r>
        <w:rPr>
          <w:rFonts w:cs="Arial"/>
        </w:rPr>
        <w:tab/>
      </w:r>
      <w:r w:rsidRPr="00D21809">
        <w:rPr>
          <w:rFonts w:cs="Arial"/>
        </w:rPr>
        <w:t>100</w:t>
      </w:r>
      <w:r w:rsidRPr="00A26576">
        <w:rPr>
          <w:rFonts w:cs="Arial"/>
        </w:rPr>
        <w:br/>
      </w:r>
      <w:r w:rsidR="00304585" w:rsidRPr="00A26576">
        <w:rPr>
          <w:rFonts w:cs="Arial"/>
        </w:rPr>
        <w:br/>
      </w:r>
      <w:r w:rsidRPr="00D21809">
        <w:rPr>
          <w:rFonts w:cs="Arial"/>
        </w:rPr>
        <w:t>Ergebnis</w:t>
      </w:r>
      <w:r>
        <w:rPr>
          <w:rFonts w:cs="Arial"/>
        </w:rPr>
        <w:t>: keine Kürzung, Transportbedarf vollständig befriedigt</w:t>
      </w:r>
      <w:r w:rsidR="000728BD">
        <w:rPr>
          <w:rFonts w:cs="Arial"/>
        </w:rPr>
        <w:t>.</w:t>
      </w:r>
    </w:p>
    <w:p w14:paraId="14D610A7" w14:textId="77777777" w:rsidR="005D3395" w:rsidRPr="00D21809" w:rsidRDefault="005D3395" w:rsidP="00304585">
      <w:pPr>
        <w:tabs>
          <w:tab w:val="num" w:pos="426"/>
        </w:tabs>
        <w:spacing w:after="0"/>
        <w:ind w:left="284"/>
        <w:rPr>
          <w:rFonts w:cs="Arial"/>
        </w:rPr>
      </w:pPr>
    </w:p>
    <w:p w14:paraId="734998C0" w14:textId="0A912FAC" w:rsidR="005D3395" w:rsidRDefault="005D3395" w:rsidP="00304585">
      <w:pPr>
        <w:spacing w:after="0"/>
        <w:ind w:left="1701" w:hanging="1417"/>
        <w:rPr>
          <w:rFonts w:cs="Arial"/>
        </w:rPr>
      </w:pPr>
      <w:r w:rsidRPr="00D21809">
        <w:rPr>
          <w:rFonts w:cs="Arial"/>
        </w:rPr>
        <w:t>Beispiel 2:</w:t>
      </w:r>
      <w:r>
        <w:rPr>
          <w:rFonts w:cs="Arial"/>
        </w:rPr>
        <w:tab/>
      </w:r>
      <w:r w:rsidRPr="00D21809">
        <w:rPr>
          <w:rFonts w:cs="Arial"/>
        </w:rPr>
        <w:t>Buchungen:</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100</w:t>
      </w:r>
      <w:r w:rsidRPr="00A26576">
        <w:rPr>
          <w:rFonts w:cs="Arial"/>
        </w:rPr>
        <w:br/>
      </w:r>
      <w:r>
        <w:rPr>
          <w:rFonts w:cs="Arial"/>
        </w:rPr>
        <w:t>Nominierungen:</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25</w:t>
      </w:r>
      <w:r w:rsidRPr="00A26576">
        <w:rPr>
          <w:rFonts w:cs="Arial"/>
        </w:rPr>
        <w:br/>
      </w:r>
      <w:r w:rsidRPr="00D21809">
        <w:rPr>
          <w:rFonts w:cs="Arial"/>
        </w:rPr>
        <w:t xml:space="preserve">reduzierte TVK: </w:t>
      </w:r>
      <w:r>
        <w:rPr>
          <w:rFonts w:cs="Arial"/>
        </w:rPr>
        <w:tab/>
      </w:r>
      <w:r w:rsidRPr="00D21809">
        <w:rPr>
          <w:rFonts w:cs="Arial"/>
        </w:rPr>
        <w:t>100</w:t>
      </w:r>
      <w:r w:rsidRPr="00A26576">
        <w:rPr>
          <w:rFonts w:cs="Arial"/>
        </w:rPr>
        <w:br/>
      </w:r>
      <w:r w:rsidR="00304585" w:rsidRPr="00A26576">
        <w:rPr>
          <w:rFonts w:cs="Arial"/>
        </w:rPr>
        <w:br/>
      </w:r>
      <w:r w:rsidRPr="00D21809">
        <w:rPr>
          <w:rFonts w:cs="Arial"/>
        </w:rPr>
        <w:t>Ergebnis</w:t>
      </w:r>
      <w:r>
        <w:rPr>
          <w:rFonts w:cs="Arial"/>
        </w:rPr>
        <w:t xml:space="preserve">: </w:t>
      </w:r>
      <w:r w:rsidRPr="00D21809">
        <w:rPr>
          <w:rFonts w:cs="Arial"/>
        </w:rPr>
        <w:t xml:space="preserve">Kürzung von </w:t>
      </w:r>
      <w:r w:rsidR="009B27F8">
        <w:rPr>
          <w:rFonts w:cs="Arial"/>
        </w:rPr>
        <w:t>KN</w:t>
      </w:r>
      <w:r w:rsidRPr="00D21809">
        <w:rPr>
          <w:rFonts w:cs="Arial"/>
        </w:rPr>
        <w:t xml:space="preserve">1 auf 75, </w:t>
      </w:r>
      <w:r w:rsidR="009B27F8">
        <w:rPr>
          <w:rFonts w:cs="Arial"/>
        </w:rPr>
        <w:t>KN</w:t>
      </w:r>
      <w:r w:rsidRPr="00D21809">
        <w:rPr>
          <w:rFonts w:cs="Arial"/>
        </w:rPr>
        <w:t xml:space="preserve">2 ohne Kürzung 25 (zunächst </w:t>
      </w:r>
      <w:r w:rsidRPr="002A0A48">
        <w:rPr>
          <w:rFonts w:cs="Arial"/>
        </w:rPr>
        <w:t xml:space="preserve">Kürzung der Einzelkapazitäten auf </w:t>
      </w:r>
      <w:r w:rsidR="009B27F8">
        <w:rPr>
          <w:rFonts w:cs="Arial"/>
        </w:rPr>
        <w:t>KN</w:t>
      </w:r>
      <w:r w:rsidRPr="002A0A48">
        <w:rPr>
          <w:rFonts w:cs="Arial"/>
        </w:rPr>
        <w:t xml:space="preserve">1 = 50 und </w:t>
      </w:r>
      <w:r w:rsidR="009B27F8">
        <w:rPr>
          <w:rFonts w:cs="Arial"/>
        </w:rPr>
        <w:t>KN</w:t>
      </w:r>
      <w:r w:rsidRPr="002A0A48">
        <w:rPr>
          <w:rFonts w:cs="Arial"/>
        </w:rPr>
        <w:t xml:space="preserve">2 = 50, </w:t>
      </w:r>
      <w:r w:rsidR="009B27F8">
        <w:rPr>
          <w:rFonts w:cs="Arial"/>
        </w:rPr>
        <w:t>KN</w:t>
      </w:r>
      <w:r w:rsidRPr="002A0A48">
        <w:rPr>
          <w:rFonts w:cs="Arial"/>
        </w:rPr>
        <w:t xml:space="preserve">2 bekommt seine 25 zugeteilt mit ungenutzter Restmenge von 25, dann aber „Restmengenzuteilung“ </w:t>
      </w:r>
      <w:proofErr w:type="spellStart"/>
      <w:r w:rsidRPr="002A0A48">
        <w:rPr>
          <w:rFonts w:cs="Arial"/>
        </w:rPr>
        <w:t>i.H.v</w:t>
      </w:r>
      <w:proofErr w:type="spellEnd"/>
      <w:r w:rsidRPr="002A0A48">
        <w:rPr>
          <w:rFonts w:cs="Arial"/>
        </w:rPr>
        <w:t xml:space="preserve">. zusätzlichen 25 für </w:t>
      </w:r>
      <w:r w:rsidR="009B27F8">
        <w:rPr>
          <w:rFonts w:cs="Arial"/>
        </w:rPr>
        <w:t>KN</w:t>
      </w:r>
      <w:r w:rsidRPr="002A0A48">
        <w:rPr>
          <w:rFonts w:cs="Arial"/>
        </w:rPr>
        <w:t xml:space="preserve">1), es verbleiben 25 Einheiten Rest-Bedarf bei </w:t>
      </w:r>
      <w:r w:rsidR="009B27F8">
        <w:rPr>
          <w:rFonts w:cs="Arial"/>
        </w:rPr>
        <w:t>KN</w:t>
      </w:r>
      <w:r w:rsidRPr="002A0A48">
        <w:rPr>
          <w:rFonts w:cs="Arial"/>
        </w:rPr>
        <w:t>1 unbefriedigt</w:t>
      </w:r>
      <w:r w:rsidR="000728BD">
        <w:rPr>
          <w:rFonts w:cs="Arial"/>
        </w:rPr>
        <w:t>.</w:t>
      </w:r>
    </w:p>
    <w:p w14:paraId="697605E4" w14:textId="77777777" w:rsidR="005D3395" w:rsidRPr="00D21809" w:rsidRDefault="005D3395" w:rsidP="00304585">
      <w:pPr>
        <w:spacing w:after="0"/>
        <w:ind w:left="1701" w:hanging="1417"/>
        <w:rPr>
          <w:rFonts w:cs="Arial"/>
        </w:rPr>
      </w:pPr>
    </w:p>
    <w:p w14:paraId="6FCCFDAD" w14:textId="1ED07F14" w:rsidR="005D3395" w:rsidRDefault="005D3395" w:rsidP="00304585">
      <w:pPr>
        <w:spacing w:after="0"/>
        <w:ind w:left="1701" w:hanging="1417"/>
        <w:rPr>
          <w:rFonts w:cs="Arial"/>
        </w:rPr>
      </w:pPr>
      <w:r w:rsidRPr="00D21809">
        <w:rPr>
          <w:rFonts w:cs="Arial"/>
        </w:rPr>
        <w:t>Beispiel 3:</w:t>
      </w:r>
      <w:r>
        <w:rPr>
          <w:rFonts w:cs="Arial"/>
        </w:rPr>
        <w:tab/>
        <w:t>Buchungen:</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100</w:t>
      </w:r>
      <w:r w:rsidRPr="00A26576">
        <w:rPr>
          <w:rFonts w:cs="Arial"/>
        </w:rPr>
        <w:br/>
      </w:r>
      <w:r>
        <w:rPr>
          <w:rFonts w:cs="Arial"/>
        </w:rPr>
        <w:t>Nominierungen:</w:t>
      </w:r>
      <w:r>
        <w:rPr>
          <w:rFonts w:cs="Arial"/>
        </w:rPr>
        <w:tab/>
      </w:r>
      <w:r w:rsidR="009B27F8">
        <w:rPr>
          <w:rFonts w:cs="Arial"/>
        </w:rPr>
        <w:t>KN</w:t>
      </w:r>
      <w:r w:rsidRPr="00D21809">
        <w:rPr>
          <w:rFonts w:cs="Arial"/>
        </w:rPr>
        <w:t xml:space="preserve">1 = 100, </w:t>
      </w:r>
      <w:r w:rsidR="009B27F8">
        <w:rPr>
          <w:rFonts w:cs="Arial"/>
        </w:rPr>
        <w:t>KN</w:t>
      </w:r>
      <w:r w:rsidRPr="00D21809">
        <w:rPr>
          <w:rFonts w:cs="Arial"/>
        </w:rPr>
        <w:t>2 = 50</w:t>
      </w:r>
      <w:r w:rsidRPr="00A26576">
        <w:rPr>
          <w:rFonts w:cs="Arial"/>
        </w:rPr>
        <w:br/>
      </w:r>
      <w:r w:rsidRPr="00D21809">
        <w:rPr>
          <w:rFonts w:cs="Arial"/>
        </w:rPr>
        <w:t xml:space="preserve">reduzierte TVK: </w:t>
      </w:r>
      <w:r>
        <w:rPr>
          <w:rFonts w:cs="Arial"/>
        </w:rPr>
        <w:tab/>
      </w:r>
      <w:r w:rsidRPr="00D21809">
        <w:rPr>
          <w:rFonts w:cs="Arial"/>
        </w:rPr>
        <w:t>100</w:t>
      </w:r>
      <w:r w:rsidRPr="00A26576">
        <w:rPr>
          <w:rFonts w:cs="Arial"/>
        </w:rPr>
        <w:br/>
      </w:r>
      <w:r w:rsidR="00304585" w:rsidRPr="00A26576">
        <w:rPr>
          <w:rFonts w:cs="Arial"/>
        </w:rPr>
        <w:br/>
      </w:r>
      <w:r w:rsidRPr="00D21809">
        <w:rPr>
          <w:rFonts w:cs="Arial"/>
        </w:rPr>
        <w:t>Ergebnis</w:t>
      </w:r>
      <w:r>
        <w:rPr>
          <w:rFonts w:cs="Arial"/>
        </w:rPr>
        <w:t>:</w:t>
      </w:r>
      <w:r w:rsidRPr="00D21809">
        <w:rPr>
          <w:rFonts w:cs="Arial"/>
        </w:rPr>
        <w:t xml:space="preserve"> Kürzung von </w:t>
      </w:r>
      <w:r w:rsidR="009B27F8">
        <w:rPr>
          <w:rFonts w:cs="Arial"/>
        </w:rPr>
        <w:t>KN</w:t>
      </w:r>
      <w:r w:rsidRPr="00D21809">
        <w:rPr>
          <w:rFonts w:cs="Arial"/>
        </w:rPr>
        <w:t>1 auf 50</w:t>
      </w:r>
      <w:r>
        <w:rPr>
          <w:rFonts w:cs="Arial"/>
        </w:rPr>
        <w:t xml:space="preserve">, </w:t>
      </w:r>
      <w:r w:rsidR="009B27F8">
        <w:rPr>
          <w:rFonts w:cs="Arial"/>
        </w:rPr>
        <w:t>KN</w:t>
      </w:r>
      <w:r>
        <w:rPr>
          <w:rFonts w:cs="Arial"/>
        </w:rPr>
        <w:t>2 ohne Kürzung 50 (zunächst</w:t>
      </w:r>
      <w:r>
        <w:rPr>
          <w:rFonts w:cs="Arial"/>
        </w:rPr>
        <w:br/>
        <w:t>Kürzung der Einzelkapazitäten auf</w:t>
      </w:r>
      <w:r>
        <w:rPr>
          <w:rFonts w:cs="Arial"/>
        </w:rPr>
        <w:tab/>
      </w:r>
      <w:r w:rsidR="009B27F8">
        <w:rPr>
          <w:rFonts w:cs="Arial"/>
        </w:rPr>
        <w:t>KN</w:t>
      </w:r>
      <w:r>
        <w:rPr>
          <w:rFonts w:cs="Arial"/>
        </w:rPr>
        <w:t xml:space="preserve">1 = 50 und </w:t>
      </w:r>
      <w:r w:rsidR="009B27F8">
        <w:rPr>
          <w:rFonts w:cs="Arial"/>
        </w:rPr>
        <w:t>KN</w:t>
      </w:r>
      <w:r>
        <w:rPr>
          <w:rFonts w:cs="Arial"/>
        </w:rPr>
        <w:t xml:space="preserve">2 = 50, diesmal ohne Restmenge bei </w:t>
      </w:r>
      <w:r w:rsidR="00FB0DBF">
        <w:rPr>
          <w:rFonts w:cs="Arial"/>
        </w:rPr>
        <w:t>KN</w:t>
      </w:r>
      <w:r>
        <w:rPr>
          <w:rFonts w:cs="Arial"/>
        </w:rPr>
        <w:t>2, deshalb keine Restmengenaufteilung möglich</w:t>
      </w:r>
      <w:r w:rsidRPr="00D21809">
        <w:rPr>
          <w:rFonts w:cs="Arial"/>
        </w:rPr>
        <w:t>)</w:t>
      </w:r>
      <w:r>
        <w:rPr>
          <w:rFonts w:cs="Arial"/>
        </w:rPr>
        <w:t xml:space="preserve">, es verbleiben 50 Einheiten Rest-Bedarf von </w:t>
      </w:r>
      <w:r w:rsidR="00FB0DBF">
        <w:rPr>
          <w:rFonts w:cs="Arial"/>
        </w:rPr>
        <w:t>KN</w:t>
      </w:r>
      <w:r>
        <w:rPr>
          <w:rFonts w:cs="Arial"/>
        </w:rPr>
        <w:t>1 unbefriedigt</w:t>
      </w:r>
      <w:r w:rsidR="000728BD">
        <w:rPr>
          <w:rFonts w:cs="Arial"/>
        </w:rPr>
        <w:t>.</w:t>
      </w:r>
    </w:p>
    <w:p w14:paraId="262CCDBC" w14:textId="77777777" w:rsidR="005D3395" w:rsidRPr="00D21809" w:rsidRDefault="005D3395" w:rsidP="00304585">
      <w:pPr>
        <w:spacing w:after="0"/>
        <w:ind w:left="1701" w:hanging="1417"/>
        <w:rPr>
          <w:rFonts w:cs="Arial"/>
        </w:rPr>
      </w:pPr>
    </w:p>
    <w:p w14:paraId="1FDD70C1" w14:textId="48F9C0C6" w:rsidR="005D3395" w:rsidRDefault="005D3395" w:rsidP="00304585">
      <w:pPr>
        <w:spacing w:after="0"/>
        <w:ind w:left="1701" w:hanging="1417"/>
        <w:rPr>
          <w:rFonts w:cs="Arial"/>
        </w:rPr>
      </w:pPr>
      <w:r w:rsidRPr="00D21809">
        <w:rPr>
          <w:rFonts w:cs="Arial"/>
        </w:rPr>
        <w:t>Beispiel 4:</w:t>
      </w:r>
      <w:r>
        <w:rPr>
          <w:rFonts w:cs="Arial"/>
        </w:rPr>
        <w:tab/>
      </w:r>
      <w:r w:rsidRPr="00D21809">
        <w:rPr>
          <w:rFonts w:cs="Arial"/>
        </w:rPr>
        <w:t>Buchungen:</w:t>
      </w:r>
      <w:r>
        <w:rPr>
          <w:rFonts w:cs="Arial"/>
        </w:rPr>
        <w:tab/>
      </w:r>
      <w:r w:rsidR="00FB0DBF">
        <w:rPr>
          <w:rFonts w:cs="Arial"/>
        </w:rPr>
        <w:t>KN</w:t>
      </w:r>
      <w:r w:rsidRPr="00D21809">
        <w:rPr>
          <w:rFonts w:cs="Arial"/>
        </w:rPr>
        <w:t xml:space="preserve">1 = 100, </w:t>
      </w:r>
      <w:r w:rsidR="00FB0DBF">
        <w:rPr>
          <w:rFonts w:cs="Arial"/>
        </w:rPr>
        <w:t>KN</w:t>
      </w:r>
      <w:r w:rsidRPr="00D21809">
        <w:rPr>
          <w:rFonts w:cs="Arial"/>
        </w:rPr>
        <w:t>2 = 100</w:t>
      </w:r>
      <w:r w:rsidRPr="00A26576">
        <w:rPr>
          <w:rFonts w:cs="Arial"/>
        </w:rPr>
        <w:br/>
      </w:r>
      <w:r>
        <w:rPr>
          <w:rFonts w:cs="Arial"/>
        </w:rPr>
        <w:t>Nominierungen:</w:t>
      </w:r>
      <w:r>
        <w:rPr>
          <w:rFonts w:cs="Arial"/>
        </w:rPr>
        <w:tab/>
      </w:r>
      <w:r w:rsidR="00FB0DBF">
        <w:rPr>
          <w:rFonts w:cs="Arial"/>
        </w:rPr>
        <w:t>KN</w:t>
      </w:r>
      <w:r w:rsidRPr="00D21809">
        <w:rPr>
          <w:rFonts w:cs="Arial"/>
        </w:rPr>
        <w:t xml:space="preserve">1 = 100, </w:t>
      </w:r>
      <w:r w:rsidR="00FB0DBF">
        <w:rPr>
          <w:rFonts w:cs="Arial"/>
        </w:rPr>
        <w:t>KN</w:t>
      </w:r>
      <w:r w:rsidRPr="00D21809">
        <w:rPr>
          <w:rFonts w:cs="Arial"/>
        </w:rPr>
        <w:t>2 = 75</w:t>
      </w:r>
      <w:r w:rsidRPr="00A26576">
        <w:rPr>
          <w:rFonts w:cs="Arial"/>
        </w:rPr>
        <w:br/>
      </w:r>
      <w:r w:rsidRPr="00D21809">
        <w:rPr>
          <w:rFonts w:cs="Arial"/>
        </w:rPr>
        <w:t xml:space="preserve">reduzierte TVK: </w:t>
      </w:r>
      <w:r>
        <w:rPr>
          <w:rFonts w:cs="Arial"/>
        </w:rPr>
        <w:tab/>
      </w:r>
      <w:r w:rsidRPr="00D21809">
        <w:rPr>
          <w:rFonts w:cs="Arial"/>
        </w:rPr>
        <w:t>100</w:t>
      </w:r>
      <w:r w:rsidRPr="00A26576">
        <w:rPr>
          <w:rFonts w:cs="Arial"/>
        </w:rPr>
        <w:br/>
      </w:r>
      <w:r w:rsidR="00304585" w:rsidRPr="00A26576">
        <w:rPr>
          <w:rFonts w:cs="Arial"/>
        </w:rPr>
        <w:br/>
      </w:r>
      <w:r w:rsidRPr="00D21809">
        <w:rPr>
          <w:rFonts w:cs="Arial"/>
        </w:rPr>
        <w:t>Ergebnis: Kürzung v</w:t>
      </w:r>
      <w:r>
        <w:rPr>
          <w:rFonts w:cs="Arial"/>
        </w:rPr>
        <w:t xml:space="preserve">on </w:t>
      </w:r>
      <w:r w:rsidR="00FB0DBF">
        <w:rPr>
          <w:rFonts w:cs="Arial"/>
        </w:rPr>
        <w:t>KN</w:t>
      </w:r>
      <w:r>
        <w:rPr>
          <w:rFonts w:cs="Arial"/>
        </w:rPr>
        <w:t xml:space="preserve">1 auf 50 und </w:t>
      </w:r>
      <w:r w:rsidR="00673A4D">
        <w:rPr>
          <w:rFonts w:cs="Arial"/>
        </w:rPr>
        <w:t>KN</w:t>
      </w:r>
      <w:r>
        <w:rPr>
          <w:rFonts w:cs="Arial"/>
        </w:rPr>
        <w:t>2 auf 50 (</w:t>
      </w:r>
      <w:r w:rsidRPr="00D21809">
        <w:rPr>
          <w:rFonts w:cs="Arial"/>
        </w:rPr>
        <w:t>keine Restmengen zu verteilen)</w:t>
      </w:r>
      <w:r>
        <w:rPr>
          <w:rFonts w:cs="Arial"/>
        </w:rPr>
        <w:t xml:space="preserve">, es verbleiben 50 Einheiten Rest-Bedarf von </w:t>
      </w:r>
      <w:r w:rsidR="00673A4D">
        <w:rPr>
          <w:rFonts w:cs="Arial"/>
        </w:rPr>
        <w:t>KN</w:t>
      </w:r>
      <w:r>
        <w:rPr>
          <w:rFonts w:cs="Arial"/>
        </w:rPr>
        <w:t xml:space="preserve">1 und 25 Einheiten Rest-Bedarf von </w:t>
      </w:r>
      <w:r w:rsidR="00673A4D">
        <w:rPr>
          <w:rFonts w:cs="Arial"/>
        </w:rPr>
        <w:t>KN</w:t>
      </w:r>
      <w:r>
        <w:rPr>
          <w:rFonts w:cs="Arial"/>
        </w:rPr>
        <w:t>2 unbefriedigt</w:t>
      </w:r>
      <w:r w:rsidR="000728BD">
        <w:rPr>
          <w:rFonts w:cs="Arial"/>
        </w:rPr>
        <w:t>.</w:t>
      </w:r>
    </w:p>
    <w:p w14:paraId="0D3B4C38" w14:textId="77777777" w:rsidR="005D3395" w:rsidRDefault="005D3395" w:rsidP="00304585">
      <w:pPr>
        <w:tabs>
          <w:tab w:val="num" w:pos="426"/>
        </w:tabs>
        <w:spacing w:after="0"/>
        <w:ind w:left="284"/>
        <w:rPr>
          <w:rFonts w:cs="Arial"/>
        </w:rPr>
      </w:pPr>
    </w:p>
    <w:p w14:paraId="36E7CB59" w14:textId="77777777" w:rsidR="005D3395" w:rsidRDefault="00304585" w:rsidP="00304585">
      <w:pPr>
        <w:tabs>
          <w:tab w:val="num" w:pos="426"/>
        </w:tabs>
        <w:ind w:left="284"/>
        <w:rPr>
          <w:rFonts w:cs="Arial"/>
        </w:rPr>
      </w:pPr>
      <w:r>
        <w:rPr>
          <w:rFonts w:cs="Arial"/>
        </w:rPr>
        <w:t>Nachbedingungen:</w:t>
      </w:r>
    </w:p>
    <w:p w14:paraId="7570E85A" w14:textId="76FE2B32" w:rsidR="005D3395" w:rsidRDefault="005D3395" w:rsidP="003C2438">
      <w:pPr>
        <w:tabs>
          <w:tab w:val="num" w:pos="426"/>
        </w:tabs>
        <w:ind w:left="284"/>
        <w:rPr>
          <w:rFonts w:cs="Arial"/>
        </w:rPr>
      </w:pPr>
      <w:r>
        <w:rPr>
          <w:rFonts w:cs="Arial"/>
        </w:rPr>
        <w:t xml:space="preserve">Der Kürzungsmechanismus von festen Kapazitäten ist ein </w:t>
      </w:r>
      <w:r w:rsidRPr="00CD4648">
        <w:rPr>
          <w:rFonts w:cs="Arial"/>
        </w:rPr>
        <w:t xml:space="preserve">iterativer </w:t>
      </w:r>
      <w:r w:rsidR="00237F7C" w:rsidRPr="00CD4648">
        <w:rPr>
          <w:rFonts w:cs="Arial"/>
        </w:rPr>
        <w:t>Kürzungsprozess,</w:t>
      </w:r>
      <w:r w:rsidRPr="00CD4648">
        <w:rPr>
          <w:rFonts w:cs="Arial"/>
        </w:rPr>
        <w:t xml:space="preserve"> </w:t>
      </w:r>
      <w:r>
        <w:rPr>
          <w:rFonts w:cs="Arial"/>
        </w:rPr>
        <w:t>der</w:t>
      </w:r>
      <w:r w:rsidRPr="00CD4648">
        <w:rPr>
          <w:rFonts w:cs="Arial"/>
        </w:rPr>
        <w:t xml:space="preserve"> </w:t>
      </w:r>
      <w:proofErr w:type="gramStart"/>
      <w:r w:rsidRPr="00CD4648">
        <w:rPr>
          <w:rFonts w:cs="Arial"/>
        </w:rPr>
        <w:t>solange</w:t>
      </w:r>
      <w:proofErr w:type="gramEnd"/>
      <w:r>
        <w:rPr>
          <w:rFonts w:cs="Arial"/>
        </w:rPr>
        <w:t xml:space="preserve"> wiederholt wird</w:t>
      </w:r>
      <w:r w:rsidRPr="00CD4648">
        <w:rPr>
          <w:rFonts w:cs="Arial"/>
        </w:rPr>
        <w:t xml:space="preserve">, bis a) kein </w:t>
      </w:r>
      <w:r>
        <w:rPr>
          <w:rFonts w:cs="Arial"/>
        </w:rPr>
        <w:t>Rest-</w:t>
      </w:r>
      <w:r w:rsidRPr="00CD4648">
        <w:rPr>
          <w:rFonts w:cs="Arial"/>
        </w:rPr>
        <w:t xml:space="preserve">Bedarf mehr besteht oder b) die Stationskapazität </w:t>
      </w:r>
      <w:r>
        <w:rPr>
          <w:rFonts w:cs="Arial"/>
        </w:rPr>
        <w:t>möglichst ohne Rest</w:t>
      </w:r>
      <w:r w:rsidRPr="00CD4648">
        <w:rPr>
          <w:rFonts w:cs="Arial"/>
        </w:rPr>
        <w:t xml:space="preserve"> aufgeteilt ist</w:t>
      </w:r>
      <w:r>
        <w:rPr>
          <w:rFonts w:cs="Arial"/>
        </w:rPr>
        <w:t>.</w:t>
      </w:r>
    </w:p>
    <w:p w14:paraId="078EA86E" w14:textId="6DD34E43" w:rsidR="005D3395" w:rsidRDefault="005D3395" w:rsidP="00304585">
      <w:pPr>
        <w:pStyle w:val="berschrift3"/>
        <w:tabs>
          <w:tab w:val="clear" w:pos="1276"/>
          <w:tab w:val="num" w:pos="1560"/>
        </w:tabs>
        <w:spacing w:before="480"/>
        <w:ind w:left="992" w:hanging="992"/>
      </w:pPr>
      <w:bookmarkStart w:id="401" w:name="_Toc288001315"/>
      <w:bookmarkStart w:id="402" w:name="_Toc296694092"/>
      <w:bookmarkStart w:id="403" w:name="_Ref319915726"/>
      <w:bookmarkStart w:id="404" w:name="_Toc391540151"/>
      <w:bookmarkStart w:id="405" w:name="_Toc412661314"/>
      <w:bookmarkStart w:id="406" w:name="_Toc111118468"/>
      <w:r w:rsidRPr="009412E8">
        <w:lastRenderedPageBreak/>
        <w:t xml:space="preserve">Beschränkungen der </w:t>
      </w:r>
      <w:proofErr w:type="spellStart"/>
      <w:r w:rsidRPr="009412E8">
        <w:t>Renominierungsrechte</w:t>
      </w:r>
      <w:bookmarkEnd w:id="401"/>
      <w:proofErr w:type="spellEnd"/>
      <w:r w:rsidRPr="009412E8">
        <w:t xml:space="preserve"> an </w:t>
      </w:r>
      <w:bookmarkEnd w:id="402"/>
      <w:bookmarkEnd w:id="403"/>
      <w:bookmarkEnd w:id="404"/>
      <w:bookmarkEnd w:id="405"/>
      <w:r w:rsidR="00192965">
        <w:t>Grenzübergangspunkten</w:t>
      </w:r>
      <w:bookmarkEnd w:id="406"/>
    </w:p>
    <w:p w14:paraId="06E02E73" w14:textId="271A619E" w:rsidR="005D3395" w:rsidRDefault="005D3395" w:rsidP="003C2438">
      <w:r>
        <w:t xml:space="preserve">Die </w:t>
      </w:r>
      <w:proofErr w:type="spellStart"/>
      <w:r>
        <w:t>Renominierungsrechte</w:t>
      </w:r>
      <w:proofErr w:type="spellEnd"/>
      <w:r>
        <w:t xml:space="preserve"> an GÜP sind gemäß Beschluss BK7-10-001 der BNetzA eingeschränkt.</w:t>
      </w:r>
    </w:p>
    <w:p w14:paraId="6162A4E0" w14:textId="6E4EABFD" w:rsidR="005D3395" w:rsidRDefault="005D3395" w:rsidP="003C2438">
      <w:pPr>
        <w:rPr>
          <w:noProof/>
        </w:rPr>
      </w:pPr>
      <w:r>
        <w:t xml:space="preserve">Die Höhe der </w:t>
      </w:r>
      <w:proofErr w:type="spellStart"/>
      <w:r>
        <w:t>renominierungsbeschränkten</w:t>
      </w:r>
      <w:proofErr w:type="spellEnd"/>
      <w:r>
        <w:t xml:space="preserve"> festen Kapazität B </w:t>
      </w:r>
      <w:r w:rsidRPr="00FF3030">
        <w:t>gemäß</w:t>
      </w:r>
      <w:r w:rsidR="00FF3030" w:rsidRPr="00FF3030">
        <w:t xml:space="preserve"> </w:t>
      </w:r>
      <w:r w:rsidR="0011373C">
        <w:fldChar w:fldCharType="begin"/>
      </w:r>
      <w:r w:rsidR="0011373C">
        <w:instrText xml:space="preserve"> REF _Ref437530379 \h  \* MERGEFORMAT </w:instrText>
      </w:r>
      <w:r w:rsidR="0011373C">
        <w:fldChar w:fldCharType="separate"/>
      </w:r>
      <w:r w:rsidR="00692E23" w:rsidRPr="00692E23">
        <w:t xml:space="preserve">Abbildung </w:t>
      </w:r>
      <w:r w:rsidR="00692E23" w:rsidRPr="00692E23">
        <w:rPr>
          <w:noProof/>
        </w:rPr>
        <w:t>12</w:t>
      </w:r>
      <w:r w:rsidR="0011373C">
        <w:fldChar w:fldCharType="end"/>
      </w:r>
      <w:r w:rsidRPr="00FF3030">
        <w:t xml:space="preserve"> und</w:t>
      </w:r>
      <w:r>
        <w:t xml:space="preserve"> die daraus zu berechnende </w:t>
      </w:r>
      <w:proofErr w:type="spellStart"/>
      <w:r>
        <w:t>Renominierungsbeschränkung</w:t>
      </w:r>
      <w:proofErr w:type="spellEnd"/>
      <w:r>
        <w:t xml:space="preserve"> wird um 14:00 Uhr, auf Basis der gemäß Ein-/Ausspeisevertrag gebuchten Kapazität bzw. der in den BK eingebrachten Kapazität abzüglich der bis 14:00 Uhr an den FNB zurückgegebenen </w:t>
      </w:r>
      <w:r w:rsidRPr="00952BFB">
        <w:t xml:space="preserve">Kapazität und der bis 14:00 Uhr erfolgreich über die </w:t>
      </w:r>
      <w:r w:rsidR="00466601">
        <w:t xml:space="preserve">Kapazitätsbuchungsplattform </w:t>
      </w:r>
      <w:r w:rsidR="00B91985">
        <w:t>auf einen Dritten übertragen</w:t>
      </w:r>
      <w:r w:rsidR="00AE129C">
        <w:t>en</w:t>
      </w:r>
      <w:r w:rsidR="00B91985">
        <w:t xml:space="preserve"> Kapazität, durch den FNB bestimmt.</w:t>
      </w:r>
    </w:p>
    <w:p w14:paraId="205C20EF" w14:textId="77777777" w:rsidR="005D3395" w:rsidRDefault="005D3395" w:rsidP="003C2438">
      <w:r>
        <w:t xml:space="preserve">Auf dieser Basis sind alle Betroffenen verpflichtet, bis 14:00 Uhr am Tag D-1 die Nutzung fester Kapazitäten B für den Liefertag D zu nominieren. Diese sogenannte „initiale Nominierung“ kann bis 14:00 Uhr angepasst werden. Wird keine Nominierung abgegeben, so gilt </w:t>
      </w:r>
      <w:proofErr w:type="gramStart"/>
      <w:r w:rsidR="009D3ABC">
        <w:t>„</w:t>
      </w:r>
      <w:r>
        <w:t>Null</w:t>
      </w:r>
      <w:r w:rsidR="009D3ABC">
        <w:t>“</w:t>
      </w:r>
      <w:proofErr w:type="gramEnd"/>
      <w:r>
        <w:t xml:space="preserve"> als nominiert gegenüber dem </w:t>
      </w:r>
      <w:r w:rsidR="007D5F45">
        <w:t>FNB</w:t>
      </w:r>
      <w:r>
        <w:t>, es sei denn, die Vertragspartner haben etwas Abweichendes vereinbart.</w:t>
      </w:r>
    </w:p>
    <w:p w14:paraId="09683876" w14:textId="593616B1" w:rsidR="005D3395" w:rsidRDefault="005D3395" w:rsidP="003C5279">
      <w:pPr>
        <w:tabs>
          <w:tab w:val="left" w:pos="284"/>
        </w:tabs>
      </w:pPr>
      <w:r>
        <w:t xml:space="preserve">Um 14 Uhr D-1 wird einmalig die </w:t>
      </w:r>
      <w:proofErr w:type="spellStart"/>
      <w:r>
        <w:t>Renominierungsbeschränkung</w:t>
      </w:r>
      <w:proofErr w:type="spellEnd"/>
      <w:r>
        <w:t xml:space="preserve"> für alle (Sub)Bilanzkreise und alle relevanten Punkte durch die FNB berechnet. Die Entscheidung, ob ein (Sub)Bilanz-</w:t>
      </w:r>
      <w:proofErr w:type="spellStart"/>
      <w:r>
        <w:t>kreis</w:t>
      </w:r>
      <w:proofErr w:type="spellEnd"/>
      <w:r>
        <w:t xml:space="preserve"> an einem Punkt </w:t>
      </w:r>
      <w:proofErr w:type="spellStart"/>
      <w:r>
        <w:t>renominierungsbeschränkt</w:t>
      </w:r>
      <w:proofErr w:type="spellEnd"/>
      <w:r>
        <w:t xml:space="preserve"> ist, wird anhand folgender Prüfung errechnet:</w:t>
      </w:r>
    </w:p>
    <w:p w14:paraId="7E4AACDA" w14:textId="50E2F88F" w:rsidR="005D3395" w:rsidRDefault="005D3395" w:rsidP="007F76BC">
      <w:pPr>
        <w:pStyle w:val="Aufzhlungszeichen2"/>
        <w:numPr>
          <w:ilvl w:val="0"/>
          <w:numId w:val="60"/>
        </w:numPr>
        <w:ind w:left="426" w:hanging="426"/>
      </w:pPr>
      <w:r>
        <w:t xml:space="preserve">Besitzt der </w:t>
      </w:r>
      <w:r w:rsidR="00C867FE">
        <w:t>KN</w:t>
      </w:r>
      <w:r>
        <w:t xml:space="preserve"> für den Tag D insgesamt feste Kapazitäten, abzüglich Rückgaben und</w:t>
      </w:r>
      <w:r w:rsidR="006C5AB2">
        <w:t xml:space="preserve"> der</w:t>
      </w:r>
      <w:r>
        <w:t xml:space="preserve"> </w:t>
      </w:r>
      <w:r w:rsidR="007D5F45">
        <w:t>im Rahmen der Sekundärvermarktung auf Dritte übertragene</w:t>
      </w:r>
      <w:r w:rsidR="006C5AB2">
        <w:t>n</w:t>
      </w:r>
      <w:r w:rsidR="007D5F45">
        <w:t xml:space="preserve"> Kapazitäten, zuzüglich der im Rahmen der Sekundärvermarktung auf den </w:t>
      </w:r>
      <w:r w:rsidR="00C867FE">
        <w:t>KN</w:t>
      </w:r>
      <w:r w:rsidR="007D5F45">
        <w:t xml:space="preserve"> übertragenen Kapazitäten, im Umfang von mindestens 10% der technischen Jahreskapazität am betroffenen Punkt?</w:t>
      </w:r>
    </w:p>
    <w:p w14:paraId="11D62AEC" w14:textId="77777777" w:rsidR="005D3395" w:rsidRDefault="005D3395" w:rsidP="007F76BC">
      <w:pPr>
        <w:pStyle w:val="Aufzhlungszeichen2"/>
        <w:numPr>
          <w:ilvl w:val="0"/>
          <w:numId w:val="60"/>
        </w:numPr>
        <w:ind w:left="426" w:hanging="426"/>
      </w:pPr>
      <w:r>
        <w:t>Wurde in den (Sub)Bilanzkreis selbst für den betroffenen Punkt und die betroffene Richtung in Summe mindestens 10% der technischen Jahreskapazität am Netzpunkt eingebracht?</w:t>
      </w:r>
    </w:p>
    <w:p w14:paraId="60395FCC" w14:textId="77777777" w:rsidR="005D3395" w:rsidRPr="00F35BB9" w:rsidRDefault="005D3395" w:rsidP="003C5279">
      <w:pPr>
        <w:tabs>
          <w:tab w:val="left" w:pos="284"/>
        </w:tabs>
      </w:pPr>
      <w:r>
        <w:t>Trifft einer der beiden vorgenannten Punkte zu</w:t>
      </w:r>
      <w:r w:rsidRPr="00F35BB9">
        <w:t>, werden um 14</w:t>
      </w:r>
      <w:r>
        <w:t> </w:t>
      </w:r>
      <w:r w:rsidRPr="00F35BB9">
        <w:t xml:space="preserve">Uhr D-1 die Grenzen für die zulässige </w:t>
      </w:r>
      <w:proofErr w:type="spellStart"/>
      <w:r w:rsidRPr="00F35BB9">
        <w:t>Renominierung</w:t>
      </w:r>
      <w:proofErr w:type="spellEnd"/>
      <w:r w:rsidRPr="00F35BB9">
        <w:t xml:space="preserve"> für den entsprechenden Punkt in allen (Sub)Bilanzkreisen, für jede Stunde des Tages in denen obiges Kriterium zutrifft, festgeschrieben.</w:t>
      </w:r>
    </w:p>
    <w:p w14:paraId="141CFA91" w14:textId="77777777" w:rsidR="005D3395" w:rsidRPr="00F35BB9" w:rsidRDefault="005D3395" w:rsidP="003C2438">
      <w:r w:rsidRPr="00F35BB9">
        <w:t>Die Berechnung der einzuschränkenden Kapazitäten wird auf Stundenbasis durchgeführt. Die FNB stellen anschließend die maximale</w:t>
      </w:r>
      <w:r>
        <w:t>,</w:t>
      </w:r>
      <w:r w:rsidRPr="00F35BB9">
        <w:t xml:space="preserve"> durchgehend für den nachfolgenden </w:t>
      </w:r>
      <w:proofErr w:type="spellStart"/>
      <w:r w:rsidRPr="00F35BB9">
        <w:t>Gastag</w:t>
      </w:r>
      <w:proofErr w:type="spellEnd"/>
      <w:r w:rsidRPr="00F35BB9">
        <w:t xml:space="preserve"> verfügbare Kapazität der zuvor entzogenen Kapazitäten über die </w:t>
      </w:r>
      <w:r>
        <w:t>PRISMA</w:t>
      </w:r>
      <w:r w:rsidRPr="00F35BB9">
        <w:t xml:space="preserve"> dem Markt wieder zur Verfügung.</w:t>
      </w:r>
    </w:p>
    <w:p w14:paraId="36C53DE8" w14:textId="0B115B5F" w:rsidR="00980729" w:rsidRDefault="005D3395" w:rsidP="003C2438">
      <w:pPr>
        <w:spacing w:after="240"/>
      </w:pPr>
      <w:r w:rsidRPr="00F35BB9">
        <w:t xml:space="preserve">Eine </w:t>
      </w:r>
      <w:proofErr w:type="spellStart"/>
      <w:r w:rsidRPr="00F35BB9">
        <w:t>Renominierung</w:t>
      </w:r>
      <w:proofErr w:type="spellEnd"/>
      <w:r w:rsidRPr="00F35BB9">
        <w:t xml:space="preserve"> der initial angemeldeten Mengen ist nach 14:00 Uhr für den Tag D nur noch innerhalb eines zulässigen </w:t>
      </w:r>
      <w:proofErr w:type="spellStart"/>
      <w:r w:rsidRPr="00F35BB9">
        <w:t>Renominierungsbereiches</w:t>
      </w:r>
      <w:proofErr w:type="spellEnd"/>
      <w:r w:rsidRPr="00F35BB9">
        <w:t xml:space="preserve"> von 10 % bis 90 % der bis 14:00</w:t>
      </w:r>
      <w:r>
        <w:t xml:space="preserve"> </w:t>
      </w:r>
      <w:r w:rsidRPr="00F35BB9">
        <w:t xml:space="preserve">Uhr am Punkt für den Tag D gebuchten Kapazitäten zulässig. Bei initialen Nominierungen von mindestens 80 % der gebuchten Kapazität wird die Hälfte des nicht nominierten </w:t>
      </w:r>
      <w:r w:rsidRPr="00F35BB9">
        <w:lastRenderedPageBreak/>
        <w:t xml:space="preserve">Bereiches für die </w:t>
      </w:r>
      <w:proofErr w:type="spellStart"/>
      <w:r w:rsidRPr="00F35BB9">
        <w:t>Renominierung</w:t>
      </w:r>
      <w:proofErr w:type="spellEnd"/>
      <w:r w:rsidRPr="00F35BB9">
        <w:t xml:space="preserve"> nach oben zugelassen. Bei initialen Nominierungen von höchstens 20 % der gebuchten Kapazität wird die Hälfte des nominierten Bereiches für die </w:t>
      </w:r>
      <w:proofErr w:type="spellStart"/>
      <w:r>
        <w:t>Renominierung</w:t>
      </w:r>
      <w:proofErr w:type="spellEnd"/>
      <w:r w:rsidRPr="00F35BB9">
        <w:t xml:space="preserve"> nach unten zugelassen. Die zulässige </w:t>
      </w:r>
      <w:proofErr w:type="spellStart"/>
      <w:r w:rsidRPr="00F35BB9">
        <w:t>Renominierung</w:t>
      </w:r>
      <w:proofErr w:type="spellEnd"/>
      <w:r w:rsidRPr="00F35BB9">
        <w:t xml:space="preserve"> wird kaufmännisch auf ganze Kilowattstunden pro Stunde gerundet. Diese Grenzen sind in der nachfolgenden Grafik veranschaulicht:</w:t>
      </w:r>
    </w:p>
    <w:p w14:paraId="47E4ADB8" w14:textId="77777777" w:rsidR="00980729" w:rsidRDefault="005C552B" w:rsidP="003C2438">
      <w:pPr>
        <w:spacing w:after="0"/>
        <w:rPr>
          <w:b/>
        </w:rPr>
      </w:pPr>
      <w:bookmarkStart w:id="407" w:name="_Ref292792634"/>
      <w:bookmarkStart w:id="408" w:name="_Toc288001418"/>
      <w:bookmarkStart w:id="409" w:name="_Ref292792623"/>
      <w:bookmarkStart w:id="410" w:name="_Toc296694335"/>
      <w:bookmarkStart w:id="411" w:name="_Toc357091950"/>
      <w:bookmarkStart w:id="412" w:name="_Toc390346565"/>
      <w:r>
        <w:rPr>
          <w:noProof/>
        </w:rPr>
        <w:drawing>
          <wp:inline distT="0" distB="0" distL="0" distR="0" wp14:anchorId="5390AA81" wp14:editId="6FE9F1F9">
            <wp:extent cx="4800600" cy="2333334"/>
            <wp:effectExtent l="19050" t="0" r="0" b="0"/>
            <wp:docPr id="19"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cstate="print"/>
                    <a:srcRect/>
                    <a:stretch>
                      <a:fillRect/>
                    </a:stretch>
                  </pic:blipFill>
                  <pic:spPr bwMode="auto">
                    <a:xfrm>
                      <a:off x="0" y="0"/>
                      <a:ext cx="4800600" cy="2333334"/>
                    </a:xfrm>
                    <a:prstGeom prst="rect">
                      <a:avLst/>
                    </a:prstGeom>
                    <a:noFill/>
                    <a:ln w="9525">
                      <a:noFill/>
                      <a:miter lim="800000"/>
                      <a:headEnd/>
                      <a:tailEnd/>
                    </a:ln>
                  </pic:spPr>
                </pic:pic>
              </a:graphicData>
            </a:graphic>
          </wp:inline>
        </w:drawing>
      </w:r>
    </w:p>
    <w:p w14:paraId="2AE94DC7" w14:textId="7DA97A8D" w:rsidR="00980729" w:rsidRDefault="005D3395" w:rsidP="00B73652">
      <w:pPr>
        <w:pStyle w:val="Abbildung"/>
        <w:spacing w:before="240" w:after="360"/>
        <w:rPr>
          <w:b/>
          <w:bCs/>
        </w:rPr>
      </w:pPr>
      <w:bookmarkStart w:id="413" w:name="_Ref437530379"/>
      <w:bookmarkStart w:id="414" w:name="_Toc412562635"/>
      <w:bookmarkStart w:id="415" w:name="_Toc437530321"/>
      <w:bookmarkStart w:id="416" w:name="_Toc111118595"/>
      <w:bookmarkStart w:id="417" w:name="_Toc111196141"/>
      <w:r w:rsidRPr="00FB6A99">
        <w:rPr>
          <w:b/>
          <w:bCs/>
        </w:rPr>
        <w:t xml:space="preserve">Abbildung </w:t>
      </w:r>
      <w:r w:rsidR="00561FFA" w:rsidRPr="00FB6A99">
        <w:rPr>
          <w:b/>
          <w:bCs/>
        </w:rPr>
        <w:fldChar w:fldCharType="begin"/>
      </w:r>
      <w:r w:rsidRPr="00FB6A99">
        <w:rPr>
          <w:b/>
          <w:bCs/>
        </w:rPr>
        <w:instrText xml:space="preserve"> SEQ Abbildung \* ARABIC </w:instrText>
      </w:r>
      <w:r w:rsidR="00561FFA" w:rsidRPr="00FB6A99">
        <w:rPr>
          <w:b/>
          <w:bCs/>
        </w:rPr>
        <w:fldChar w:fldCharType="separate"/>
      </w:r>
      <w:r w:rsidR="00D400FA">
        <w:rPr>
          <w:b/>
          <w:bCs/>
        </w:rPr>
        <w:t>12</w:t>
      </w:r>
      <w:r w:rsidR="00561FFA" w:rsidRPr="00FB6A99">
        <w:rPr>
          <w:b/>
          <w:bCs/>
        </w:rPr>
        <w:fldChar w:fldCharType="end"/>
      </w:r>
      <w:bookmarkEnd w:id="407"/>
      <w:bookmarkEnd w:id="413"/>
      <w:r w:rsidRPr="00FB6A99">
        <w:rPr>
          <w:b/>
          <w:bCs/>
        </w:rPr>
        <w:t>: Begrenzung der Renominierungsrechte</w:t>
      </w:r>
      <w:bookmarkEnd w:id="408"/>
      <w:bookmarkEnd w:id="409"/>
      <w:bookmarkEnd w:id="410"/>
      <w:bookmarkEnd w:id="411"/>
      <w:bookmarkEnd w:id="412"/>
      <w:bookmarkEnd w:id="414"/>
      <w:bookmarkEnd w:id="415"/>
      <w:bookmarkEnd w:id="416"/>
      <w:bookmarkEnd w:id="417"/>
    </w:p>
    <w:p w14:paraId="53598E47" w14:textId="33EB0189" w:rsidR="005D3395" w:rsidRDefault="005D3395" w:rsidP="003C2438">
      <w:pPr>
        <w:rPr>
          <w:rFonts w:cs="Arial"/>
        </w:rPr>
      </w:pPr>
      <w:r>
        <w:rPr>
          <w:rFonts w:cs="Arial"/>
        </w:rPr>
        <w:t xml:space="preserve">Überschreitet eine </w:t>
      </w:r>
      <w:proofErr w:type="spellStart"/>
      <w:r>
        <w:rPr>
          <w:rFonts w:cs="Arial"/>
        </w:rPr>
        <w:t>Renominierung</w:t>
      </w:r>
      <w:proofErr w:type="spellEnd"/>
      <w:r>
        <w:rPr>
          <w:rFonts w:cs="Arial"/>
        </w:rPr>
        <w:t xml:space="preserve"> an einem Punkt den zulässigen Bereich (grün markierter Bereich) wird diese </w:t>
      </w:r>
      <w:proofErr w:type="spellStart"/>
      <w:r>
        <w:rPr>
          <w:rFonts w:cs="Arial"/>
        </w:rPr>
        <w:t>Renominierung</w:t>
      </w:r>
      <w:proofErr w:type="spellEnd"/>
      <w:r>
        <w:rPr>
          <w:rFonts w:cs="Arial"/>
        </w:rPr>
        <w:t xml:space="preserve"> an diesem Punkt angenommen. Der den zulässigen Bereich überschreitende Teil der </w:t>
      </w:r>
      <w:proofErr w:type="spellStart"/>
      <w:r>
        <w:rPr>
          <w:rFonts w:cs="Arial"/>
        </w:rPr>
        <w:t>Renominierung</w:t>
      </w:r>
      <w:proofErr w:type="spellEnd"/>
      <w:r>
        <w:rPr>
          <w:rFonts w:cs="Arial"/>
        </w:rPr>
        <w:t xml:space="preserve"> wird wie eine Nominierung von unterbrechbarer Kapazität mit der höchsten Unterbrechungswahrscheinlichkeit behandelt und zuerst unterbrochen. Unterschreitet eine </w:t>
      </w:r>
      <w:proofErr w:type="spellStart"/>
      <w:r>
        <w:rPr>
          <w:rFonts w:cs="Arial"/>
        </w:rPr>
        <w:t>Renominierung</w:t>
      </w:r>
      <w:proofErr w:type="spellEnd"/>
      <w:r>
        <w:rPr>
          <w:rFonts w:cs="Arial"/>
        </w:rPr>
        <w:t xml:space="preserve"> den zulässigen Bereich, wird diese angenommen. Falls eine Unterbrechung in </w:t>
      </w:r>
      <w:r w:rsidRPr="007D6984">
        <w:t>Gegenstromrichtung</w:t>
      </w:r>
      <w:r>
        <w:rPr>
          <w:rFonts w:cs="Arial"/>
        </w:rPr>
        <w:t xml:space="preserve"> notwendig würde, wird die </w:t>
      </w:r>
      <w:proofErr w:type="spellStart"/>
      <w:r>
        <w:rPr>
          <w:rFonts w:cs="Arial"/>
        </w:rPr>
        <w:t>Renominierung</w:t>
      </w:r>
      <w:proofErr w:type="spellEnd"/>
      <w:r>
        <w:rPr>
          <w:rFonts w:cs="Arial"/>
        </w:rPr>
        <w:t xml:space="preserve"> den minimal zulässigen </w:t>
      </w:r>
      <w:proofErr w:type="spellStart"/>
      <w:r>
        <w:rPr>
          <w:rFonts w:cs="Arial"/>
        </w:rPr>
        <w:t>Renominierungswert</w:t>
      </w:r>
      <w:proofErr w:type="spellEnd"/>
      <w:r>
        <w:rPr>
          <w:rFonts w:cs="Arial"/>
        </w:rPr>
        <w:t xml:space="preserve"> angehoben.</w:t>
      </w:r>
    </w:p>
    <w:p w14:paraId="2DB42278" w14:textId="2E665E4B" w:rsidR="005D3395" w:rsidRDefault="005D3395" w:rsidP="003C2438">
      <w:pPr>
        <w:rPr>
          <w:rFonts w:cs="Arial"/>
        </w:rPr>
      </w:pPr>
      <w:r w:rsidRPr="008751A8">
        <w:rPr>
          <w:rFonts w:cs="Arial"/>
        </w:rPr>
        <w:t>Sofern der FNB die Kapazitäten im Zeitraum von 14</w:t>
      </w:r>
      <w:r>
        <w:rPr>
          <w:rFonts w:cs="Arial"/>
        </w:rPr>
        <w:t>:00</w:t>
      </w:r>
      <w:r w:rsidRPr="008751A8">
        <w:rPr>
          <w:rFonts w:cs="Arial"/>
        </w:rPr>
        <w:t xml:space="preserve"> Uhr bis 18</w:t>
      </w:r>
      <w:r>
        <w:rPr>
          <w:rFonts w:cs="Arial"/>
        </w:rPr>
        <w:t>:00</w:t>
      </w:r>
      <w:r w:rsidRPr="008751A8">
        <w:rPr>
          <w:rFonts w:cs="Arial"/>
        </w:rPr>
        <w:t xml:space="preserve"> Uhr einem Dritten vermarkten kann, werden die entsprechenden Kapazitäten</w:t>
      </w:r>
      <w:r>
        <w:rPr>
          <w:rFonts w:cs="Arial"/>
        </w:rPr>
        <w:t xml:space="preserve"> dem </w:t>
      </w:r>
      <w:r w:rsidR="00C867FE">
        <w:rPr>
          <w:rFonts w:cs="Arial"/>
        </w:rPr>
        <w:t>KN</w:t>
      </w:r>
      <w:r>
        <w:rPr>
          <w:rFonts w:cs="Arial"/>
        </w:rPr>
        <w:t xml:space="preserve"> endgültig entzogen. Ist die Summe aller Nominierungen am Übergabepunkt durch den FNB nicht mehr darstellbar, passt er die Nominierungen </w:t>
      </w:r>
      <w:r w:rsidRPr="00B67CC6">
        <w:rPr>
          <w:rFonts w:cs="Arial"/>
        </w:rPr>
        <w:t>an.</w:t>
      </w:r>
      <w:r>
        <w:rPr>
          <w:rFonts w:cs="Arial"/>
        </w:rPr>
        <w:t xml:space="preserve"> Dabei werden zunächst die festen Kapazitäten, anschließend unterbrechbar gebuchte Kapazitäten und danach, je nach Verfügbarkeit, Kapazitäten in den rot markierten Bereichen</w:t>
      </w:r>
      <w:r w:rsidRPr="000B7C0A">
        <w:rPr>
          <w:rFonts w:cs="Arial"/>
        </w:rPr>
        <w:t xml:space="preserve"> </w:t>
      </w:r>
      <w:r>
        <w:rPr>
          <w:rFonts w:cs="Arial"/>
        </w:rPr>
        <w:t>bedient.</w:t>
      </w:r>
    </w:p>
    <w:p w14:paraId="729B25EA" w14:textId="7FF98007" w:rsidR="005D3395" w:rsidRDefault="005D3395" w:rsidP="003C2438">
      <w:pPr>
        <w:rPr>
          <w:rFonts w:cs="Arial"/>
        </w:rPr>
      </w:pPr>
      <w:r>
        <w:rPr>
          <w:rFonts w:cs="Arial"/>
        </w:rPr>
        <w:t xml:space="preserve">Ausgenommen von der </w:t>
      </w:r>
      <w:proofErr w:type="spellStart"/>
      <w:r>
        <w:rPr>
          <w:rFonts w:cs="Arial"/>
        </w:rPr>
        <w:t>Renominierungsbeschränkung</w:t>
      </w:r>
      <w:proofErr w:type="spellEnd"/>
      <w:r>
        <w:rPr>
          <w:rFonts w:cs="Arial"/>
        </w:rPr>
        <w:t xml:space="preserve"> sind </w:t>
      </w:r>
      <w:r w:rsidR="00C867FE">
        <w:rPr>
          <w:rFonts w:cs="Arial"/>
        </w:rPr>
        <w:t>KN</w:t>
      </w:r>
      <w:r>
        <w:rPr>
          <w:rFonts w:cs="Arial"/>
        </w:rPr>
        <w:t xml:space="preserve">, die </w:t>
      </w:r>
      <w:r w:rsidRPr="00B37EB5">
        <w:rPr>
          <w:rFonts w:cs="Arial"/>
        </w:rPr>
        <w:t xml:space="preserve">in Summe über alle </w:t>
      </w:r>
      <w:r>
        <w:rPr>
          <w:rFonts w:cs="Arial"/>
        </w:rPr>
        <w:t xml:space="preserve">festen </w:t>
      </w:r>
      <w:r w:rsidRPr="00B37EB5">
        <w:rPr>
          <w:rFonts w:cs="Arial"/>
        </w:rPr>
        <w:t>Kapazitätsbuchungen am betreffenden Buchungspunkt weniger als 10 % der ausgewiesenen technischen Jahreskapazität gebucht haben</w:t>
      </w:r>
      <w:r>
        <w:rPr>
          <w:rFonts w:cs="Arial"/>
        </w:rPr>
        <w:t xml:space="preserve">, es sei denn, es werden Transportkapazitäten an einem Buchungspunkt von mehreren </w:t>
      </w:r>
      <w:r w:rsidR="00C867FE">
        <w:rPr>
          <w:rFonts w:cs="Arial"/>
        </w:rPr>
        <w:t>KN</w:t>
      </w:r>
      <w:r>
        <w:rPr>
          <w:rFonts w:cs="Arial"/>
        </w:rPr>
        <w:t xml:space="preserve"> in einen gemeinsamen BK eingebracht. In diesem Fall wird die Summe über alle in den BK eingebrachten Kapazitäten dieser </w:t>
      </w:r>
      <w:r w:rsidR="00C867FE">
        <w:rPr>
          <w:rFonts w:cs="Arial"/>
        </w:rPr>
        <w:t>KN</w:t>
      </w:r>
      <w:r>
        <w:rPr>
          <w:rFonts w:cs="Arial"/>
        </w:rPr>
        <w:t xml:space="preserve"> an dem betreffenden Buchungspunkt zur Anwendung der </w:t>
      </w:r>
      <w:proofErr w:type="spellStart"/>
      <w:r>
        <w:rPr>
          <w:rFonts w:cs="Arial"/>
        </w:rPr>
        <w:lastRenderedPageBreak/>
        <w:t>Renominierungsbeschränkung</w:t>
      </w:r>
      <w:proofErr w:type="spellEnd"/>
      <w:r>
        <w:rPr>
          <w:rFonts w:cs="Arial"/>
        </w:rPr>
        <w:t xml:space="preserve"> herangezogen. Dies kann vermieden werden, indem für die Kapazitäten verschiedener </w:t>
      </w:r>
      <w:r w:rsidR="00C867FE">
        <w:rPr>
          <w:rFonts w:cs="Arial"/>
        </w:rPr>
        <w:t>KN</w:t>
      </w:r>
      <w:r w:rsidR="007946B4">
        <w:rPr>
          <w:rFonts w:cs="Arial"/>
        </w:rPr>
        <w:t xml:space="preserve"> </w:t>
      </w:r>
      <w:r>
        <w:rPr>
          <w:rFonts w:cs="Arial"/>
        </w:rPr>
        <w:t xml:space="preserve">jeweils einzelne </w:t>
      </w:r>
      <w:r w:rsidR="00A64019">
        <w:rPr>
          <w:rFonts w:cs="Arial"/>
        </w:rPr>
        <w:t>SBK</w:t>
      </w:r>
      <w:r>
        <w:rPr>
          <w:rFonts w:cs="Arial"/>
        </w:rPr>
        <w:t xml:space="preserve"> eingerichtet und die Kapazitäten diesen zugeordnet werden.</w:t>
      </w:r>
    </w:p>
    <w:p w14:paraId="450A776C" w14:textId="35C2E92B" w:rsidR="005D3395" w:rsidRDefault="005D3395" w:rsidP="003C2438">
      <w:pPr>
        <w:rPr>
          <w:rFonts w:cs="Arial"/>
        </w:rPr>
      </w:pPr>
      <w:r>
        <w:rPr>
          <w:rFonts w:cs="Arial"/>
        </w:rPr>
        <w:t xml:space="preserve">Die ausgewiesene technische Jahreskapazität eines </w:t>
      </w:r>
      <w:r w:rsidR="00192965">
        <w:rPr>
          <w:rFonts w:cs="Arial"/>
        </w:rPr>
        <w:t>GÜP (</w:t>
      </w:r>
      <w:r>
        <w:rPr>
          <w:rFonts w:cs="Arial"/>
        </w:rPr>
        <w:t>deutschen Seite</w:t>
      </w:r>
      <w:r w:rsidR="00192965">
        <w:rPr>
          <w:rFonts w:cs="Arial"/>
        </w:rPr>
        <w:t>)</w:t>
      </w:r>
      <w:r>
        <w:rPr>
          <w:rFonts w:cs="Arial"/>
        </w:rPr>
        <w:t xml:space="preserve"> wird von den </w:t>
      </w:r>
      <w:r w:rsidR="00192965">
        <w:rPr>
          <w:rFonts w:cs="Arial"/>
        </w:rPr>
        <w:t>F</w:t>
      </w:r>
      <w:r>
        <w:rPr>
          <w:rFonts w:cs="Arial"/>
        </w:rPr>
        <w:t xml:space="preserve">NB einmal jährlich auf der </w:t>
      </w:r>
      <w:r w:rsidR="00466601">
        <w:t xml:space="preserve">Kapazitätsbuchungsplattform </w:t>
      </w:r>
      <w:r>
        <w:rPr>
          <w:rFonts w:cs="Arial"/>
        </w:rPr>
        <w:t>veröffentlicht.</w:t>
      </w:r>
    </w:p>
    <w:p w14:paraId="3D9435FD" w14:textId="77777777" w:rsidR="005D3395" w:rsidRDefault="005D3395" w:rsidP="00B73652">
      <w:pPr>
        <w:pStyle w:val="berschrift3"/>
        <w:tabs>
          <w:tab w:val="clear" w:pos="1276"/>
          <w:tab w:val="num" w:pos="1560"/>
        </w:tabs>
        <w:spacing w:before="480"/>
        <w:ind w:left="992" w:hanging="992"/>
      </w:pPr>
      <w:bookmarkStart w:id="418" w:name="_Toc391540153"/>
      <w:bookmarkStart w:id="419" w:name="_Toc412661316"/>
      <w:bookmarkStart w:id="420" w:name="_Toc111118469"/>
      <w:r w:rsidRPr="00572EF0">
        <w:t xml:space="preserve">Tägliche Kapazitätsbestandsmeldung und Mitteilung </w:t>
      </w:r>
      <w:proofErr w:type="spellStart"/>
      <w:r w:rsidRPr="00572EF0">
        <w:t>Renominierungsgrenze</w:t>
      </w:r>
      <w:bookmarkEnd w:id="418"/>
      <w:bookmarkEnd w:id="419"/>
      <w:bookmarkEnd w:id="420"/>
      <w:proofErr w:type="spellEnd"/>
    </w:p>
    <w:p w14:paraId="79E7F6E2" w14:textId="6331F1B2" w:rsidR="005D3395" w:rsidRPr="00572EF0" w:rsidRDefault="005D3395" w:rsidP="003C2438">
      <w:pPr>
        <w:rPr>
          <w:rFonts w:cs="Arial"/>
        </w:rPr>
      </w:pPr>
      <w:r w:rsidRPr="00572EF0">
        <w:rPr>
          <w:rFonts w:cs="Arial"/>
        </w:rPr>
        <w:t xml:space="preserve">Der </w:t>
      </w:r>
      <w:r>
        <w:rPr>
          <w:rFonts w:cs="Arial"/>
        </w:rPr>
        <w:t>FNB</w:t>
      </w:r>
      <w:r w:rsidRPr="00572EF0">
        <w:rPr>
          <w:rFonts w:cs="Arial"/>
        </w:rPr>
        <w:t xml:space="preserve"> informiert täglich bis 18:30 Uhr den </w:t>
      </w:r>
      <w:r>
        <w:rPr>
          <w:rFonts w:cs="Arial"/>
        </w:rPr>
        <w:t>BKV</w:t>
      </w:r>
      <w:r w:rsidRPr="00572EF0">
        <w:rPr>
          <w:rFonts w:cs="Arial"/>
        </w:rPr>
        <w:t xml:space="preserve"> über dessen Kapazitätsbestand an </w:t>
      </w:r>
      <w:r>
        <w:rPr>
          <w:rFonts w:cs="Arial"/>
        </w:rPr>
        <w:t>GÜP</w:t>
      </w:r>
      <w:r w:rsidRPr="00572EF0">
        <w:rPr>
          <w:rFonts w:cs="Arial"/>
        </w:rPr>
        <w:t xml:space="preserve"> für den Folgetag. Folgende Inhalte müssen übermittelt werden:</w:t>
      </w:r>
    </w:p>
    <w:p w14:paraId="52F74359"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Netzpunktbezeichnung</w:t>
      </w:r>
      <w:r>
        <w:rPr>
          <w:rFonts w:cs="Arial"/>
        </w:rPr>
        <w:t>;</w:t>
      </w:r>
    </w:p>
    <w:p w14:paraId="72DF81EC"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 xml:space="preserve">Netzpunkt-ID (möglichst Energy </w:t>
      </w:r>
      <w:proofErr w:type="spellStart"/>
      <w:r w:rsidRPr="00572EF0">
        <w:rPr>
          <w:rFonts w:cs="Arial"/>
        </w:rPr>
        <w:t>Identification</w:t>
      </w:r>
      <w:proofErr w:type="spellEnd"/>
      <w:r w:rsidRPr="00572EF0">
        <w:rPr>
          <w:rFonts w:cs="Arial"/>
        </w:rPr>
        <w:t xml:space="preserve"> Code des DVGW)</w:t>
      </w:r>
      <w:r>
        <w:rPr>
          <w:rFonts w:cs="Arial"/>
        </w:rPr>
        <w:t>;</w:t>
      </w:r>
    </w:p>
    <w:p w14:paraId="03883DB7"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Flussrichtung (</w:t>
      </w:r>
      <w:proofErr w:type="spellStart"/>
      <w:r w:rsidRPr="00572EF0">
        <w:rPr>
          <w:rFonts w:cs="Arial"/>
        </w:rPr>
        <w:t>entry</w:t>
      </w:r>
      <w:proofErr w:type="spellEnd"/>
      <w:r w:rsidRPr="00572EF0">
        <w:rPr>
          <w:rFonts w:cs="Arial"/>
        </w:rPr>
        <w:t xml:space="preserve"> oder </w:t>
      </w:r>
      <w:proofErr w:type="spellStart"/>
      <w:r w:rsidRPr="00572EF0">
        <w:rPr>
          <w:rFonts w:cs="Arial"/>
        </w:rPr>
        <w:t>exit</w:t>
      </w:r>
      <w:proofErr w:type="spellEnd"/>
      <w:r w:rsidRPr="00572EF0">
        <w:rPr>
          <w:rFonts w:cs="Arial"/>
        </w:rPr>
        <w:t>)</w:t>
      </w:r>
      <w:r>
        <w:rPr>
          <w:rFonts w:cs="Arial"/>
        </w:rPr>
        <w:t>;</w:t>
      </w:r>
    </w:p>
    <w:p w14:paraId="1CB43614" w14:textId="5C2A1873" w:rsidR="005D3395" w:rsidRDefault="005D3395" w:rsidP="007F76BC">
      <w:pPr>
        <w:pStyle w:val="Listenabsatz"/>
        <w:numPr>
          <w:ilvl w:val="0"/>
          <w:numId w:val="34"/>
        </w:numPr>
        <w:tabs>
          <w:tab w:val="clear" w:pos="720"/>
        </w:tabs>
        <w:ind w:left="284" w:hanging="284"/>
        <w:rPr>
          <w:rFonts w:cs="Arial"/>
        </w:rPr>
      </w:pPr>
      <w:r w:rsidRPr="00572EF0">
        <w:rPr>
          <w:rFonts w:cs="Arial"/>
        </w:rPr>
        <w:t>Kapazitätsprodukt</w:t>
      </w:r>
    </w:p>
    <w:p w14:paraId="488B5144"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Summe der eingebrachten festen Kapazität ohne etwaige Day-</w:t>
      </w:r>
      <w:proofErr w:type="spellStart"/>
      <w:r w:rsidRPr="00572EF0">
        <w:rPr>
          <w:rFonts w:cs="Arial"/>
        </w:rPr>
        <w:t>Ahead</w:t>
      </w:r>
      <w:proofErr w:type="spellEnd"/>
      <w:r w:rsidRPr="00572EF0">
        <w:rPr>
          <w:rFonts w:cs="Arial"/>
        </w:rPr>
        <w:t>-Kapazitäten</w:t>
      </w:r>
      <w:r>
        <w:rPr>
          <w:rFonts w:cs="Arial"/>
        </w:rPr>
        <w:t>;</w:t>
      </w:r>
    </w:p>
    <w:p w14:paraId="23B979CB"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 xml:space="preserve">Angabe, ob eine </w:t>
      </w:r>
      <w:proofErr w:type="spellStart"/>
      <w:r w:rsidRPr="00572EF0">
        <w:rPr>
          <w:rFonts w:cs="Arial"/>
        </w:rPr>
        <w:t>Renominierungsbeschränkung</w:t>
      </w:r>
      <w:proofErr w:type="spellEnd"/>
      <w:r w:rsidRPr="00572EF0">
        <w:rPr>
          <w:rFonts w:cs="Arial"/>
        </w:rPr>
        <w:t xml:space="preserve"> greift und falls ja, der unteren und oberen </w:t>
      </w:r>
      <w:proofErr w:type="spellStart"/>
      <w:r w:rsidRPr="00572EF0">
        <w:rPr>
          <w:rFonts w:cs="Arial"/>
        </w:rPr>
        <w:t>Renominierungsgrenze</w:t>
      </w:r>
      <w:proofErr w:type="spellEnd"/>
      <w:r>
        <w:rPr>
          <w:rFonts w:cs="Arial"/>
        </w:rPr>
        <w:t>;</w:t>
      </w:r>
    </w:p>
    <w:p w14:paraId="1D821D4A"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Summe der eingebrachten festen Day-</w:t>
      </w:r>
      <w:proofErr w:type="spellStart"/>
      <w:r w:rsidRPr="00572EF0">
        <w:rPr>
          <w:rFonts w:cs="Arial"/>
        </w:rPr>
        <w:t>Ahead</w:t>
      </w:r>
      <w:proofErr w:type="spellEnd"/>
      <w:r w:rsidRPr="00572EF0">
        <w:rPr>
          <w:rFonts w:cs="Arial"/>
        </w:rPr>
        <w:t>-Kapazitäten</w:t>
      </w:r>
      <w:r>
        <w:rPr>
          <w:rFonts w:cs="Arial"/>
        </w:rPr>
        <w:t>;</w:t>
      </w:r>
    </w:p>
    <w:p w14:paraId="23AA70BC" w14:textId="77777777" w:rsidR="005D3395" w:rsidRDefault="005D3395" w:rsidP="007F76BC">
      <w:pPr>
        <w:pStyle w:val="Listenabsatz"/>
        <w:numPr>
          <w:ilvl w:val="0"/>
          <w:numId w:val="34"/>
        </w:numPr>
        <w:tabs>
          <w:tab w:val="clear" w:pos="720"/>
        </w:tabs>
        <w:ind w:left="284" w:hanging="284"/>
        <w:rPr>
          <w:rFonts w:cs="Arial"/>
        </w:rPr>
      </w:pPr>
      <w:r w:rsidRPr="00572EF0">
        <w:rPr>
          <w:rFonts w:cs="Arial"/>
        </w:rPr>
        <w:t>Summe der eingebrachten unterbrechbaren Kapazitäten</w:t>
      </w:r>
      <w:r>
        <w:rPr>
          <w:rFonts w:cs="Arial"/>
        </w:rPr>
        <w:t>.</w:t>
      </w:r>
    </w:p>
    <w:p w14:paraId="5CB38F66" w14:textId="5E100863" w:rsidR="005D3395" w:rsidRPr="005D3395" w:rsidRDefault="005D3395" w:rsidP="003C2438">
      <w:pPr>
        <w:rPr>
          <w:rFonts w:cs="Arial"/>
        </w:rPr>
      </w:pPr>
      <w:r>
        <w:rPr>
          <w:rFonts w:cs="Arial"/>
        </w:rPr>
        <w:t xml:space="preserve">Die </w:t>
      </w:r>
      <w:r w:rsidRPr="00572EF0">
        <w:rPr>
          <w:rFonts w:cs="Arial"/>
        </w:rPr>
        <w:t xml:space="preserve">Mitteilung </w:t>
      </w:r>
      <w:r>
        <w:rPr>
          <w:rFonts w:cs="Arial"/>
        </w:rPr>
        <w:t xml:space="preserve">im Format CHACAP </w:t>
      </w:r>
      <w:r w:rsidRPr="00572EF0">
        <w:rPr>
          <w:rFonts w:cs="Arial"/>
        </w:rPr>
        <w:t xml:space="preserve">kann durch den </w:t>
      </w:r>
      <w:r>
        <w:rPr>
          <w:rFonts w:cs="Arial"/>
        </w:rPr>
        <w:t>FNB</w:t>
      </w:r>
      <w:r w:rsidRPr="00572EF0">
        <w:rPr>
          <w:rFonts w:cs="Arial"/>
        </w:rPr>
        <w:t xml:space="preserve"> auf bis zu </w:t>
      </w:r>
      <w:r>
        <w:rPr>
          <w:rFonts w:cs="Arial"/>
        </w:rPr>
        <w:t>zwei</w:t>
      </w:r>
      <w:r w:rsidRPr="00572EF0">
        <w:rPr>
          <w:rFonts w:cs="Arial"/>
        </w:rPr>
        <w:t xml:space="preserve"> Mitteilungen aufgeteilt werden</w:t>
      </w:r>
      <w:r>
        <w:rPr>
          <w:rFonts w:cs="Arial"/>
        </w:rPr>
        <w:t xml:space="preserve">. Der </w:t>
      </w:r>
      <w:r w:rsidRPr="00572EF0">
        <w:rPr>
          <w:rFonts w:cs="Arial"/>
        </w:rPr>
        <w:t xml:space="preserve">Versand </w:t>
      </w:r>
      <w:r>
        <w:rPr>
          <w:rFonts w:cs="Arial"/>
        </w:rPr>
        <w:t xml:space="preserve">erfolgt </w:t>
      </w:r>
      <w:r w:rsidRPr="00572EF0">
        <w:rPr>
          <w:rFonts w:cs="Arial"/>
        </w:rPr>
        <w:t xml:space="preserve">je BK/SBK, </w:t>
      </w:r>
      <w:r>
        <w:rPr>
          <w:rFonts w:cs="Arial"/>
        </w:rPr>
        <w:t>GÜP</w:t>
      </w:r>
      <w:r w:rsidRPr="00572EF0">
        <w:rPr>
          <w:rFonts w:cs="Arial"/>
        </w:rPr>
        <w:t xml:space="preserve"> Netzpunkt und Richtung</w:t>
      </w:r>
      <w:r>
        <w:rPr>
          <w:rFonts w:cs="Arial"/>
        </w:rPr>
        <w:t>.</w:t>
      </w:r>
    </w:p>
    <w:p w14:paraId="6F91113F" w14:textId="77777777" w:rsidR="005D3395" w:rsidRDefault="005D3395" w:rsidP="00B73652">
      <w:pPr>
        <w:pStyle w:val="berschrift2"/>
        <w:tabs>
          <w:tab w:val="clear" w:pos="851"/>
          <w:tab w:val="num" w:pos="1135"/>
        </w:tabs>
        <w:spacing w:before="480"/>
        <w:ind w:left="851" w:hanging="811"/>
      </w:pPr>
      <w:bookmarkStart w:id="421" w:name="_Toc280080581"/>
      <w:bookmarkStart w:id="422" w:name="_Toc284323635"/>
      <w:bookmarkStart w:id="423" w:name="_Toc284334312"/>
      <w:bookmarkStart w:id="424" w:name="_Toc285005282"/>
      <w:bookmarkStart w:id="425" w:name="_Toc288001318"/>
      <w:bookmarkStart w:id="426" w:name="_Toc296694095"/>
      <w:bookmarkStart w:id="427" w:name="_Toc391540156"/>
      <w:bookmarkStart w:id="428" w:name="_Toc412661319"/>
      <w:bookmarkStart w:id="429" w:name="_Toc111118470"/>
      <w:r w:rsidRPr="00DF0C6C">
        <w:t xml:space="preserve">Nominierungen gegenüber einem </w:t>
      </w:r>
      <w:r>
        <w:t xml:space="preserve">MGV </w:t>
      </w:r>
      <w:r w:rsidRPr="00DF0C6C">
        <w:t>am VHP</w:t>
      </w:r>
      <w:bookmarkEnd w:id="421"/>
      <w:bookmarkEnd w:id="422"/>
      <w:bookmarkEnd w:id="423"/>
      <w:bookmarkEnd w:id="424"/>
      <w:bookmarkEnd w:id="425"/>
      <w:bookmarkEnd w:id="426"/>
      <w:bookmarkEnd w:id="427"/>
      <w:bookmarkEnd w:id="428"/>
      <w:bookmarkEnd w:id="429"/>
    </w:p>
    <w:p w14:paraId="2B4F8BE2" w14:textId="60ADF195" w:rsidR="005D3395" w:rsidRPr="007A0DA9" w:rsidRDefault="003E668D" w:rsidP="003C2438">
      <w:r>
        <w:t xml:space="preserve">Für die Übertragung von Gasmengen am VHP übermittelt der BKV an den MGV Nominierungen. </w:t>
      </w:r>
      <w:r w:rsidR="005D3395" w:rsidRPr="007A0DA9">
        <w:t>Der MGV prüft nach Eingang der Nominierungen folgende Schritte:</w:t>
      </w:r>
    </w:p>
    <w:p w14:paraId="25B62975" w14:textId="77777777" w:rsidR="005D3395" w:rsidRPr="00A70403" w:rsidRDefault="005D3395" w:rsidP="007F76BC">
      <w:pPr>
        <w:pStyle w:val="NummerierteListeohneEinzug"/>
        <w:numPr>
          <w:ilvl w:val="0"/>
          <w:numId w:val="42"/>
        </w:numPr>
      </w:pPr>
      <w:r w:rsidRPr="00A70403">
        <w:t>Stimmen die Bilanzkreis</w:t>
      </w:r>
      <w:r>
        <w:t>nummern</w:t>
      </w:r>
      <w:r w:rsidRPr="00A70403">
        <w:t>paarungen der abgebenden und der aufnehmenden Seite überein?</w:t>
      </w:r>
      <w:bookmarkStart w:id="430" w:name="OLE_LINK2"/>
      <w:r w:rsidRPr="00A70403">
        <w:br/>
      </w:r>
      <w:bookmarkEnd w:id="430"/>
      <w:r>
        <w:t>So</w:t>
      </w:r>
      <w:r w:rsidRPr="00A70403">
        <w:t>fern zu einer Nominierung eines BKV für eine bestimmte Bilanzkreis</w:t>
      </w:r>
      <w:r>
        <w:t>nummer</w:t>
      </w:r>
      <w:r w:rsidRPr="00A70403">
        <w:t xml:space="preserve"> keine korrespondierende Gegennominierung vorliegt</w:t>
      </w:r>
      <w:r>
        <w:t>,</w:t>
      </w:r>
      <w:r w:rsidRPr="00A70403">
        <w:t xml:space="preserve"> kommt keine Übertragung von Gasmengen zustande.</w:t>
      </w:r>
    </w:p>
    <w:p w14:paraId="58612480" w14:textId="1EB33837" w:rsidR="005D3395" w:rsidRPr="00A84433" w:rsidRDefault="005D3395" w:rsidP="007F76BC">
      <w:pPr>
        <w:pStyle w:val="NummerierteListeohneEinzug"/>
        <w:numPr>
          <w:ilvl w:val="0"/>
          <w:numId w:val="42"/>
        </w:numPr>
      </w:pPr>
      <w:r w:rsidRPr="007D12A5">
        <w:t>Stimmt die Höhe der abgebenden und aufnehmenden Nominierung stundenscharf überein?</w:t>
      </w:r>
      <w:r w:rsidRPr="007D12A5">
        <w:br/>
      </w:r>
      <w:proofErr w:type="gramStart"/>
      <w:r w:rsidRPr="007D12A5">
        <w:t>Liegt</w:t>
      </w:r>
      <w:proofErr w:type="gramEnd"/>
      <w:r w:rsidRPr="007D12A5">
        <w:t xml:space="preserve"> Übereinstimmung vor, so werden beide Nominierungen bestätigt. Wenn keine Übereinstimmung vorliegt, wird die geringere der stundenscharf nominierten Mengen unter </w:t>
      </w:r>
      <w:r w:rsidR="00BA7A33" w:rsidRPr="007D12A5">
        <w:t>An</w:t>
      </w:r>
      <w:r w:rsidR="00BA7A33">
        <w:t>wendung</w:t>
      </w:r>
      <w:r>
        <w:t xml:space="preserve"> der „</w:t>
      </w:r>
      <w:proofErr w:type="spellStart"/>
      <w:r>
        <w:t>l</w:t>
      </w:r>
      <w:r w:rsidRPr="007D12A5">
        <w:t>esser</w:t>
      </w:r>
      <w:proofErr w:type="spellEnd"/>
      <w:r w:rsidRPr="007D12A5">
        <w:t xml:space="preserve"> </w:t>
      </w:r>
      <w:proofErr w:type="spellStart"/>
      <w:r w:rsidRPr="007D12A5">
        <w:t>rule</w:t>
      </w:r>
      <w:proofErr w:type="spellEnd"/>
      <w:r w:rsidRPr="007D12A5">
        <w:t xml:space="preserve">“ gegenüber den beiden BKV bestätigt, falls die Nominierungen richtungsgleich sind. Richtungsverschiedene Nominierungen führen zu dem </w:t>
      </w:r>
      <w:proofErr w:type="spellStart"/>
      <w:r>
        <w:t>Matchingergebnis</w:t>
      </w:r>
      <w:proofErr w:type="spellEnd"/>
      <w:r w:rsidRPr="007D12A5">
        <w:t xml:space="preserve"> 0.</w:t>
      </w:r>
    </w:p>
    <w:p w14:paraId="21C228C7" w14:textId="77777777" w:rsidR="005D3395" w:rsidRDefault="005D3395" w:rsidP="007F76BC">
      <w:pPr>
        <w:pStyle w:val="NummerierteListeohneEinzug"/>
        <w:numPr>
          <w:ilvl w:val="0"/>
          <w:numId w:val="42"/>
        </w:numPr>
      </w:pPr>
      <w:r>
        <w:lastRenderedPageBreak/>
        <w:t>Besondere Prüfung bei Biogasnominierungen für Biogas-BK bzw. Biogas-SBK:</w:t>
      </w:r>
      <w:r w:rsidRPr="00A70403">
        <w:br/>
      </w:r>
      <w:proofErr w:type="gramStart"/>
      <w:r>
        <w:t>Sind</w:t>
      </w:r>
      <w:proofErr w:type="gramEnd"/>
      <w:r>
        <w:t xml:space="preserve"> beide beteiligten Bilanzkreise Biogas-BK?</w:t>
      </w:r>
      <w:r w:rsidRPr="003E3215">
        <w:t xml:space="preserve"> </w:t>
      </w:r>
      <w:r w:rsidRPr="00A70403">
        <w:br/>
      </w:r>
      <w:r>
        <w:t>Sofern nicht, ist nur die Übertragung von einem Biogas-BK in einen Erdgas-BK zulässig. Eine Übertragung von Erdgas- in einen Biogas-BK wird abgelehnt.</w:t>
      </w:r>
    </w:p>
    <w:p w14:paraId="30A331CF" w14:textId="173BAC61" w:rsidR="005D3395" w:rsidRDefault="005D3395" w:rsidP="007F76BC">
      <w:pPr>
        <w:pStyle w:val="NummerierteListeohneEinzug"/>
        <w:numPr>
          <w:ilvl w:val="0"/>
          <w:numId w:val="42"/>
        </w:numPr>
      </w:pPr>
      <w:r>
        <w:t>Haben</w:t>
      </w:r>
      <w:r w:rsidRPr="00A1205B">
        <w:t xml:space="preserve"> die beiden beteiligten Bilanzkreise </w:t>
      </w:r>
      <w:r>
        <w:t>die</w:t>
      </w:r>
      <w:r w:rsidRPr="00A1205B">
        <w:t xml:space="preserve"> gleiche Gasqualität?</w:t>
      </w:r>
      <w:r w:rsidRPr="00A1205B">
        <w:br/>
        <w:t>Eine Übertragung von Mengen von H- nach L-Gas</w:t>
      </w:r>
      <w:r>
        <w:t>-</w:t>
      </w:r>
      <w:r w:rsidRPr="00A1205B">
        <w:t xml:space="preserve"> bzw. L- nach H-Gas</w:t>
      </w:r>
      <w:r>
        <w:t>-BK</w:t>
      </w:r>
      <w:r w:rsidRPr="00A1205B">
        <w:t xml:space="preserve"> </w:t>
      </w:r>
      <w:r>
        <w:t>ist nicht zulässig und wird vom MGV</w:t>
      </w:r>
      <w:r w:rsidRPr="00A1205B">
        <w:t xml:space="preserve"> abgelehnt.</w:t>
      </w:r>
    </w:p>
    <w:p w14:paraId="6750B3D7" w14:textId="288D21D7" w:rsidR="003E668D" w:rsidRDefault="003E668D" w:rsidP="003E668D">
      <w:pPr>
        <w:pStyle w:val="NummerierteListeohneEinzug"/>
        <w:ind w:left="284"/>
      </w:pPr>
      <w:r>
        <w:t>BKV können Nominierungen für mehrere Tage im</w:t>
      </w:r>
      <w:r w:rsidR="008F1E62">
        <w:t xml:space="preserve"> Voraus </w:t>
      </w:r>
      <w:r>
        <w:t xml:space="preserve">abgeben. In diesem Fall prüft der MGV bereits an dem </w:t>
      </w:r>
      <w:proofErr w:type="spellStart"/>
      <w:r>
        <w:t>Gastag</w:t>
      </w:r>
      <w:proofErr w:type="spellEnd"/>
      <w:r>
        <w:t xml:space="preserve">, an dem die Nominierungen eingegangen sind, die vorliegenden Nominierungen für alle </w:t>
      </w:r>
      <w:proofErr w:type="spellStart"/>
      <w:r>
        <w:t>Gastage</w:t>
      </w:r>
      <w:proofErr w:type="spellEnd"/>
      <w:r>
        <w:t xml:space="preserve"> des aktuellen und des Folgemonats nach den Schritten 1 bis 4.</w:t>
      </w:r>
    </w:p>
    <w:p w14:paraId="378CD37F" w14:textId="0A557ACE" w:rsidR="003E668D" w:rsidRPr="00A1205B" w:rsidRDefault="003E668D" w:rsidP="003E668D">
      <w:pPr>
        <w:pStyle w:val="NummerierteListeohneEinzug"/>
        <w:ind w:left="284"/>
      </w:pPr>
      <w:r>
        <w:t>Das Ergebnis der Prüfung (</w:t>
      </w:r>
      <w:proofErr w:type="spellStart"/>
      <w:r>
        <w:t>Matchingergebnis</w:t>
      </w:r>
      <w:proofErr w:type="spellEnd"/>
      <w:r>
        <w:t xml:space="preserve">) übermittelt der MGV an die BKV. Das </w:t>
      </w:r>
      <w:proofErr w:type="spellStart"/>
      <w:r>
        <w:t>Matchingergebnis</w:t>
      </w:r>
      <w:proofErr w:type="spellEnd"/>
      <w:r>
        <w:t xml:space="preserve"> bleibt unverändert, es sei denn es wird eine </w:t>
      </w:r>
      <w:proofErr w:type="spellStart"/>
      <w:r>
        <w:t>Renominierung</w:t>
      </w:r>
      <w:proofErr w:type="spellEnd"/>
      <w:r>
        <w:t xml:space="preserve"> an den MGV übermittelt. In Folge der Übermittlung der </w:t>
      </w:r>
      <w:proofErr w:type="spellStart"/>
      <w:r>
        <w:t>Renominierung</w:t>
      </w:r>
      <w:proofErr w:type="spellEnd"/>
      <w:r>
        <w:t xml:space="preserve"> prüft der MGV erneut nach den Schritten 1 bis 4 und übermittelt das </w:t>
      </w:r>
      <w:proofErr w:type="spellStart"/>
      <w:r>
        <w:t>Matchingergebnis</w:t>
      </w:r>
      <w:proofErr w:type="spellEnd"/>
      <w:r w:rsidR="00D26E13">
        <w:t xml:space="preserve"> an die betroffenen BKV.</w:t>
      </w:r>
    </w:p>
    <w:p w14:paraId="7FBAB207" w14:textId="77777777" w:rsidR="005D3395" w:rsidRDefault="005D3395" w:rsidP="00B73652">
      <w:pPr>
        <w:pStyle w:val="berschrift2"/>
        <w:tabs>
          <w:tab w:val="clear" w:pos="851"/>
          <w:tab w:val="num" w:pos="1135"/>
        </w:tabs>
        <w:spacing w:before="480"/>
        <w:ind w:left="828" w:hanging="828"/>
      </w:pPr>
      <w:bookmarkStart w:id="431" w:name="_Toc296694096"/>
      <w:bookmarkStart w:id="432" w:name="_Toc391540157"/>
      <w:bookmarkStart w:id="433" w:name="_Toc412661320"/>
      <w:bookmarkStart w:id="434" w:name="_Toc111118471"/>
      <w:r>
        <w:t>Nominierungsersatzverfahren</w:t>
      </w:r>
      <w:bookmarkEnd w:id="431"/>
      <w:bookmarkEnd w:id="432"/>
      <w:bookmarkEnd w:id="433"/>
      <w:bookmarkEnd w:id="434"/>
    </w:p>
    <w:p w14:paraId="384CC2F6" w14:textId="21B19C42" w:rsidR="005D3395" w:rsidRDefault="005D3395" w:rsidP="003C2438">
      <w:r w:rsidRPr="00CF5D55">
        <w:rPr>
          <w:rFonts w:cs="Arial"/>
          <w:lang w:eastAsia="en-US" w:bidi="kn-IN"/>
        </w:rPr>
        <w:t>Der NB kann dem TK ein Nominierungsersatzverfahren anbieten.</w:t>
      </w:r>
      <w:r>
        <w:rPr>
          <w:rFonts w:cs="Arial"/>
          <w:lang w:eastAsia="en-US" w:bidi="kn-IN"/>
        </w:rPr>
        <w:t xml:space="preserve"> Die Regelungen für die Abwicklung werden in den </w:t>
      </w:r>
      <w:r w:rsidR="008D1927">
        <w:rPr>
          <w:rFonts w:cs="Arial"/>
          <w:lang w:eastAsia="en-US" w:bidi="kn-IN"/>
        </w:rPr>
        <w:t>E</w:t>
      </w:r>
      <w:r>
        <w:rPr>
          <w:rFonts w:cs="Arial"/>
          <w:lang w:eastAsia="en-US" w:bidi="kn-IN"/>
        </w:rPr>
        <w:t>rgänzenden Geschäftsbedingungen veröffentlicht.</w:t>
      </w:r>
      <w:r w:rsidRPr="00CF5D55">
        <w:rPr>
          <w:rFonts w:cs="Arial"/>
          <w:lang w:eastAsia="en-US" w:bidi="kn-IN"/>
        </w:rPr>
        <w:t xml:space="preserve"> </w:t>
      </w:r>
      <w:r>
        <w:rPr>
          <w:rFonts w:cs="Arial"/>
          <w:lang w:eastAsia="en-US" w:bidi="kn-IN"/>
        </w:rPr>
        <w:t>Nominierungsersatzverfahren am VHP setzen voraus, dass der anbietende NB die Nominierungsersatzwerte an den MGV übermittelt.</w:t>
      </w:r>
      <w:bookmarkStart w:id="435" w:name="_Toc296694097"/>
    </w:p>
    <w:p w14:paraId="73E01A20" w14:textId="77777777" w:rsidR="005D3395" w:rsidRDefault="005D3395" w:rsidP="003C2438">
      <w:pPr>
        <w:pStyle w:val="berschrift2"/>
        <w:tabs>
          <w:tab w:val="clear" w:pos="851"/>
          <w:tab w:val="num" w:pos="-5103"/>
          <w:tab w:val="num" w:pos="1135"/>
        </w:tabs>
        <w:spacing w:before="480"/>
        <w:ind w:left="854" w:hanging="812"/>
      </w:pPr>
      <w:bookmarkStart w:id="436" w:name="_Toc391540158"/>
      <w:bookmarkStart w:id="437" w:name="_Toc412661321"/>
      <w:bookmarkStart w:id="438" w:name="_Toc111118472"/>
      <w:r>
        <w:t>Technische Mengenmeldung</w:t>
      </w:r>
      <w:r w:rsidRPr="00333673">
        <w:t xml:space="preserve"> für einzelne </w:t>
      </w:r>
      <w:r>
        <w:t xml:space="preserve">Ein- oder </w:t>
      </w:r>
      <w:r w:rsidRPr="00333673">
        <w:t>Ausspeisepunkte</w:t>
      </w:r>
      <w:bookmarkEnd w:id="435"/>
      <w:bookmarkEnd w:id="436"/>
      <w:bookmarkEnd w:id="437"/>
      <w:bookmarkEnd w:id="438"/>
    </w:p>
    <w:p w14:paraId="775737C1" w14:textId="56C06D74" w:rsidR="005D3395" w:rsidRPr="00C60204" w:rsidRDefault="005D3395" w:rsidP="003C2438">
      <w:r w:rsidRPr="00C60204">
        <w:t>Sofern für die Belieferung eines RLM-Ausspeisepunkt</w:t>
      </w:r>
      <w:r>
        <w:t xml:space="preserve">es eine Ausspeisemeldung gemäß </w:t>
      </w:r>
      <w:r w:rsidDel="00815124">
        <w:t>§</w:t>
      </w:r>
      <w:r w:rsidR="00815124">
        <w:t> </w:t>
      </w:r>
      <w:r w:rsidRPr="00C60204">
        <w:t>8</w:t>
      </w:r>
      <w:r>
        <w:t xml:space="preserve"> </w:t>
      </w:r>
      <w:r w:rsidRPr="00C60204">
        <w:t>Abs.</w:t>
      </w:r>
      <w:r>
        <w:t xml:space="preserve"> </w:t>
      </w:r>
      <w:r w:rsidRPr="00C60204">
        <w:t>5</w:t>
      </w:r>
      <w:r>
        <w:t xml:space="preserve"> </w:t>
      </w:r>
      <w:proofErr w:type="spellStart"/>
      <w:r w:rsidRPr="00C60204">
        <w:t>GasNZV</w:t>
      </w:r>
      <w:proofErr w:type="spellEnd"/>
      <w:r w:rsidRPr="00C60204">
        <w:t xml:space="preserve"> zum sicheren und zuverlässigen Betrieb des Ausspeisenetzes notwendig ist, informiert der NB den </w:t>
      </w:r>
      <w:r>
        <w:t>TK</w:t>
      </w:r>
      <w:r w:rsidRPr="00C60204">
        <w:t xml:space="preserve"> rechtzeitig in Textform über die Notwendigkeit der Abgabe technischer Ausspeisemeldungen.</w:t>
      </w:r>
    </w:p>
    <w:p w14:paraId="6802EA50" w14:textId="77777777" w:rsidR="005D3395" w:rsidRPr="00C60204" w:rsidRDefault="005D3395" w:rsidP="003C2438">
      <w:r w:rsidRPr="00C60204">
        <w:t>An Einspeisepunkten für z.</w:t>
      </w:r>
      <w:r>
        <w:t> </w:t>
      </w:r>
      <w:r w:rsidRPr="00C60204">
        <w:t>B. Biogasanlagen können die beteiligten Parteien eine technische Einspeisemeldung analog zur technischen Ausspeisemeldung vereinbaren.</w:t>
      </w:r>
    </w:p>
    <w:p w14:paraId="52E3DB00" w14:textId="53EFD56B" w:rsidR="005D3395" w:rsidRPr="00C60204" w:rsidRDefault="005D3395" w:rsidP="003C2438">
      <w:r w:rsidRPr="00C60204">
        <w:t xml:space="preserve">Der </w:t>
      </w:r>
      <w:r w:rsidR="008975C1">
        <w:t>KN bzw. LF</w:t>
      </w:r>
      <w:r w:rsidRPr="00C60204">
        <w:t xml:space="preserve"> übersendet dem NB am Tag D-1</w:t>
      </w:r>
      <w:r>
        <w:t>,</w:t>
      </w:r>
      <w:r w:rsidRPr="00C60204">
        <w:t xml:space="preserve"> bis 14:00 Uhr</w:t>
      </w:r>
      <w:r>
        <w:t>,</w:t>
      </w:r>
      <w:r w:rsidRPr="00C60204">
        <w:t xml:space="preserve"> für </w:t>
      </w:r>
      <w:r w:rsidR="008975C1">
        <w:t>die</w:t>
      </w:r>
      <w:r w:rsidRPr="00C60204">
        <w:t xml:space="preserve"> zuvor benannten </w:t>
      </w:r>
      <w:r w:rsidR="004E176B">
        <w:t>Marktlokationen</w:t>
      </w:r>
      <w:r w:rsidRPr="00C60204">
        <w:t xml:space="preserve"> eine Meldung auf Stundenbasis. Diese Meldung ist nicht allokationsrelevant für den </w:t>
      </w:r>
      <w:r>
        <w:t>BK</w:t>
      </w:r>
      <w:r w:rsidRPr="00C60204">
        <w:t xml:space="preserve">, sondern dient ausschließlich der sicheren Netzsteuerung. Sofern sich eine relevante Änderung der Ausspeisemengen ergibt, übermittelt der </w:t>
      </w:r>
      <w:r w:rsidR="004E176B">
        <w:t>KN bzw. LF</w:t>
      </w:r>
      <w:r w:rsidRPr="00C60204">
        <w:t xml:space="preserve"> eine aktualisierte Meldung am Tag D-1 oder am Tag D. Als Format wird das Datenformat NOMINT vorgeschlagen.</w:t>
      </w:r>
    </w:p>
    <w:p w14:paraId="0A5563F9" w14:textId="77777777" w:rsidR="005D3395" w:rsidRDefault="005D3395" w:rsidP="00B73652">
      <w:pPr>
        <w:pStyle w:val="berschrift2"/>
        <w:tabs>
          <w:tab w:val="clear" w:pos="851"/>
          <w:tab w:val="num" w:pos="-4962"/>
          <w:tab w:val="num" w:pos="1135"/>
        </w:tabs>
        <w:spacing w:before="480"/>
        <w:ind w:left="850" w:hanging="822"/>
      </w:pPr>
      <w:bookmarkStart w:id="439" w:name="_Toc296694098"/>
      <w:bookmarkStart w:id="440" w:name="_Toc391540159"/>
      <w:bookmarkStart w:id="441" w:name="_Toc412661322"/>
      <w:bookmarkStart w:id="442" w:name="_Toc111118473"/>
      <w:r w:rsidRPr="00333673">
        <w:lastRenderedPageBreak/>
        <w:t>Netzrelevantes Nominierungsmanagement zwischen einzelnen Netzbetreibern (Mengenanmeldung)</w:t>
      </w:r>
      <w:bookmarkEnd w:id="439"/>
      <w:bookmarkEnd w:id="440"/>
      <w:bookmarkEnd w:id="441"/>
      <w:bookmarkEnd w:id="442"/>
    </w:p>
    <w:p w14:paraId="08E8FA30" w14:textId="6B21F623" w:rsidR="005D3395" w:rsidRPr="00C60204" w:rsidRDefault="005D3395" w:rsidP="003C2438">
      <w:r w:rsidRPr="00C60204">
        <w:t xml:space="preserve">Wenn der vorgelagerte NB aufgrund transporttechnischer Erfordernisse gemäß </w:t>
      </w:r>
      <w:r w:rsidRPr="0011782F" w:rsidDel="00815124">
        <w:t>§</w:t>
      </w:r>
      <w:r w:rsidR="00815124">
        <w:t> </w:t>
      </w:r>
      <w:r>
        <w:t xml:space="preserve">28 </w:t>
      </w:r>
      <w:r w:rsidRPr="00C60204">
        <w:t xml:space="preserve">der </w:t>
      </w:r>
      <w:proofErr w:type="spellStart"/>
      <w:r w:rsidRPr="00C60204">
        <w:t>KoV</w:t>
      </w:r>
      <w:proofErr w:type="spellEnd"/>
      <w:r w:rsidRPr="00C60204">
        <w:t xml:space="preserve"> eine Mengenanmeldung </w:t>
      </w:r>
      <w:r>
        <w:t xml:space="preserve">für Netzkopplungspunkte von dem nachgelagerten NB </w:t>
      </w:r>
      <w:r w:rsidRPr="00C60204">
        <w:t>verlangt, so hat der nachgelagerte NB</w:t>
      </w:r>
      <w:r>
        <w:t>,</w:t>
      </w:r>
      <w:r w:rsidRPr="00C60204">
        <w:t xml:space="preserve"> bezogen auf </w:t>
      </w:r>
      <w:r>
        <w:t>den jeweiligen</w:t>
      </w:r>
      <w:r w:rsidRPr="00C60204">
        <w:t xml:space="preserve"> Netzkopplungspunkt bzw. </w:t>
      </w:r>
      <w:r>
        <w:t>die jeweilige</w:t>
      </w:r>
      <w:r w:rsidRPr="00C60204">
        <w:t xml:space="preserve"> Ausspeisezone</w:t>
      </w:r>
      <w:r>
        <w:t>,</w:t>
      </w:r>
      <w:r w:rsidRPr="00C60204">
        <w:t xml:space="preserve"> dem verlangenden NB eine stundenscharfe Mengenanmeldung zur Steuerung des Netzes für den nächsten </w:t>
      </w:r>
      <w:proofErr w:type="spellStart"/>
      <w:r w:rsidRPr="00C60204">
        <w:t>Gastag</w:t>
      </w:r>
      <w:proofErr w:type="spellEnd"/>
      <w:r w:rsidRPr="00C60204">
        <w:t xml:space="preserve"> abzugeben. Sofern sich die Umstände für die Erstellung der Mengenanmeldung wesentlich ändern, teilt der nachgelagerte NB die entsprechende angepasste Mengenanmeldung</w:t>
      </w:r>
      <w:r>
        <w:t xml:space="preserve"> unverzüglich</w:t>
      </w:r>
      <w:r w:rsidRPr="00C60204">
        <w:t xml:space="preserve"> dem </w:t>
      </w:r>
      <w:r>
        <w:t>betroffenen</w:t>
      </w:r>
      <w:r w:rsidRPr="00C60204">
        <w:t xml:space="preserve"> NB mit.</w:t>
      </w:r>
    </w:p>
    <w:p w14:paraId="0D0D953F" w14:textId="3347EF8C" w:rsidR="00B73652" w:rsidRDefault="005D3395" w:rsidP="001322F2">
      <w:r w:rsidRPr="00C60204">
        <w:t>Die Mengenanmeldung erfolgt bis 17:00 Uhr im Datenformat SCHEDL</w:t>
      </w:r>
      <w:r w:rsidRPr="00480306">
        <w:t xml:space="preserve"> </w:t>
      </w:r>
      <w:r w:rsidRPr="00C64EE3">
        <w:t xml:space="preserve">oder in einem zwischen den </w:t>
      </w:r>
      <w:r w:rsidR="004F593C">
        <w:t>NB</w:t>
      </w:r>
      <w:r w:rsidR="004F593C" w:rsidRPr="00C64EE3">
        <w:t xml:space="preserve"> </w:t>
      </w:r>
      <w:r w:rsidRPr="00C64EE3">
        <w:t>abge</w:t>
      </w:r>
      <w:r>
        <w:t>stimmten elektronischen Format</w:t>
      </w:r>
      <w:r w:rsidRPr="00C60204">
        <w:t>. Sind mehrere NB in einer Kaskade einem FNB nachgelagert, der eine entsprechende Mengenanmeldung verlangt, so stimmen sich diese NB untereinander ab, um die vorgenannte Frist sicherzustellen. Die Mengenanmeldungen sind unverbindlich, aber mit der angemessenen gaswirtschaftlichen Sorgfalt zu erstellen.</w:t>
      </w:r>
    </w:p>
    <w:p w14:paraId="69BD8A06" w14:textId="77777777" w:rsidR="001322F2" w:rsidRPr="0090314E" w:rsidRDefault="001322F2" w:rsidP="001322F2">
      <w:pPr>
        <w:rPr>
          <w:b/>
          <w:bCs/>
        </w:rPr>
      </w:pPr>
    </w:p>
    <w:p w14:paraId="5D2347FC" w14:textId="77777777" w:rsidR="007E05AB" w:rsidRDefault="00DF612D" w:rsidP="008C6E25">
      <w:pPr>
        <w:pStyle w:val="berschrift1"/>
        <w:pageBreakBefore w:val="0"/>
        <w:tabs>
          <w:tab w:val="clear" w:pos="567"/>
        </w:tabs>
        <w:ind w:left="856" w:hanging="856"/>
      </w:pPr>
      <w:bookmarkStart w:id="443" w:name="_Toc285686727"/>
      <w:bookmarkStart w:id="444" w:name="_Toc285686870"/>
      <w:bookmarkStart w:id="445" w:name="_Toc285389948"/>
      <w:bookmarkStart w:id="446" w:name="_Toc285389949"/>
      <w:bookmarkStart w:id="447" w:name="_Toc137895357"/>
      <w:bookmarkStart w:id="448" w:name="_Toc140207656"/>
      <w:bookmarkStart w:id="449" w:name="_Toc139688044"/>
      <w:bookmarkStart w:id="450" w:name="_Toc165385232"/>
      <w:bookmarkStart w:id="451" w:name="_Toc284323640"/>
      <w:bookmarkStart w:id="452" w:name="_Toc284334317"/>
      <w:bookmarkStart w:id="453" w:name="_Toc285005289"/>
      <w:bookmarkStart w:id="454" w:name="_Toc296694099"/>
      <w:bookmarkStart w:id="455" w:name="_Ref348533519"/>
      <w:bookmarkStart w:id="456" w:name="_Toc391540160"/>
      <w:bookmarkStart w:id="457" w:name="_Toc412661323"/>
      <w:bookmarkStart w:id="458" w:name="_Toc111118474"/>
      <w:bookmarkEnd w:id="389"/>
      <w:bookmarkEnd w:id="390"/>
      <w:bookmarkEnd w:id="391"/>
      <w:bookmarkEnd w:id="443"/>
      <w:bookmarkEnd w:id="444"/>
      <w:bookmarkEnd w:id="445"/>
      <w:bookmarkEnd w:id="446"/>
      <w:r w:rsidRPr="0063141C">
        <w:t>Allokation</w:t>
      </w:r>
      <w:bookmarkEnd w:id="447"/>
      <w:bookmarkEnd w:id="448"/>
      <w:bookmarkEnd w:id="449"/>
      <w:bookmarkEnd w:id="450"/>
      <w:bookmarkEnd w:id="451"/>
      <w:bookmarkEnd w:id="452"/>
      <w:bookmarkEnd w:id="453"/>
      <w:bookmarkEnd w:id="454"/>
      <w:bookmarkEnd w:id="455"/>
      <w:bookmarkEnd w:id="456"/>
      <w:bookmarkEnd w:id="457"/>
      <w:bookmarkEnd w:id="458"/>
    </w:p>
    <w:p w14:paraId="2D8D6DEF" w14:textId="1F7A256A" w:rsidR="001A0915" w:rsidRPr="00C60204" w:rsidRDefault="001A0915" w:rsidP="003C2438">
      <w:bookmarkStart w:id="459" w:name="_Ref169606809"/>
      <w:bookmarkStart w:id="460" w:name="_Toc284323641"/>
      <w:bookmarkStart w:id="461" w:name="_Toc284334318"/>
      <w:bookmarkStart w:id="462" w:name="_Toc285005290"/>
      <w:bookmarkStart w:id="463" w:name="_Ref287630136"/>
      <w:bookmarkStart w:id="464" w:name="_Toc296694100"/>
      <w:bookmarkStart w:id="465" w:name="_Toc391540161"/>
      <w:r w:rsidRPr="00C60204">
        <w:t xml:space="preserve">Die Allokation von Gasmengen ist erforderlich, um die Zuordnung dieser Mengen zu </w:t>
      </w:r>
      <w:r>
        <w:t>Bilanzkreisen</w:t>
      </w:r>
      <w:r w:rsidRPr="00C60204">
        <w:t xml:space="preserve"> bzw. </w:t>
      </w:r>
      <w:r>
        <w:t xml:space="preserve">(Sub)Bilanzkonten </w:t>
      </w:r>
      <w:r w:rsidRPr="00C60204">
        <w:t xml:space="preserve">durchzuführen. Generell müssen Regeln bei der Umstellung der Sommer-/Winterzeit in der Allokation berücksichtigt werden. Für </w:t>
      </w:r>
      <w:r w:rsidR="007E57C6" w:rsidRPr="00C60204">
        <w:t>buchbare Ein- und Ausspeisepunkte</w:t>
      </w:r>
      <w:r w:rsidRPr="00C60204">
        <w:t xml:space="preserve"> bzw. -zonen können unterschiedliche Allokationsverfahren Anwendung finden, die entweder durch die </w:t>
      </w:r>
      <w:proofErr w:type="spellStart"/>
      <w:r w:rsidRPr="00C60204">
        <w:t>KoV</w:t>
      </w:r>
      <w:proofErr w:type="spellEnd"/>
      <w:r w:rsidRPr="00C60204">
        <w:t xml:space="preserve"> vorbestimmt sind oder aber für spezielle Punkte/Zonen im Rahmen des Ein- bzw. Ausspeisevertrages festgelegt werden müssen. Diese individuelle Festlegung wird insbesondere dann notwendig, wenn das Gas an einem Punkt/einer Zone von mehreren TK ungetrennt voneinander übernommen oder an mehrere TK ungetrennt voneinander übergeben wird und dementsprechend ungetrennt voneinander gemessen wird.</w:t>
      </w:r>
    </w:p>
    <w:p w14:paraId="25BF2612" w14:textId="4BB3E366" w:rsidR="001A0915" w:rsidRPr="00C60204" w:rsidRDefault="001A0915" w:rsidP="003C2438">
      <w:r w:rsidRPr="00C60204">
        <w:t xml:space="preserve">Die Aggregation und Allokation von Daten erfolgt je </w:t>
      </w:r>
      <w:r>
        <w:t>BK</w:t>
      </w:r>
      <w:r w:rsidRPr="00C60204">
        <w:t xml:space="preserve"> bzw. je </w:t>
      </w:r>
      <w:r>
        <w:t>SBK</w:t>
      </w:r>
      <w:r w:rsidRPr="00C60204">
        <w:t xml:space="preserve"> und </w:t>
      </w:r>
      <w:r>
        <w:t>ZRT</w:t>
      </w:r>
      <w:r w:rsidRPr="00C60204">
        <w:t xml:space="preserve">. Nach Ablauf des Liefermonats werden bei bestimmten ZRT </w:t>
      </w:r>
      <w:r w:rsidR="00CF3EB8" w:rsidRPr="00C60204">
        <w:t xml:space="preserve">– sofern notwendig – </w:t>
      </w:r>
      <w:r w:rsidRPr="00C60204">
        <w:t>Ersatzwerte durch den NB gebildet</w:t>
      </w:r>
      <w:r w:rsidR="00CF3EB8">
        <w:t xml:space="preserve"> und/oder Mengen mit Abrechnungsbrennwert umgewertet</w:t>
      </w:r>
      <w:r w:rsidRPr="00C60204">
        <w:t>. Diese werden als korrigierte Allokationsdaten bis spätestens M+12 WT an den MGV erneut versendet. Die Bereitstellung der Allokationsdaten an den BKV erfolgt je BK/SBK, je Zeitreihentyp und je NB.</w:t>
      </w:r>
    </w:p>
    <w:p w14:paraId="31243584" w14:textId="77777777" w:rsidR="007E05AB" w:rsidRDefault="00DF612D" w:rsidP="008C6E25">
      <w:pPr>
        <w:pStyle w:val="berschrift2"/>
        <w:tabs>
          <w:tab w:val="clear" w:pos="851"/>
          <w:tab w:val="num" w:pos="-4962"/>
        </w:tabs>
        <w:spacing w:before="480"/>
        <w:ind w:left="828" w:hanging="828"/>
      </w:pPr>
      <w:bookmarkStart w:id="466" w:name="_Ref428443011"/>
      <w:bookmarkStart w:id="467" w:name="_Toc412661324"/>
      <w:bookmarkStart w:id="468" w:name="_Toc111118475"/>
      <w:r w:rsidRPr="00C615B6">
        <w:t xml:space="preserve">Definition der </w:t>
      </w:r>
      <w:r>
        <w:t xml:space="preserve">verschiedenen </w:t>
      </w:r>
      <w:r w:rsidRPr="00C615B6">
        <w:t>Allokationsverfahre</w:t>
      </w:r>
      <w:bookmarkEnd w:id="459"/>
      <w:r w:rsidRPr="00C615B6">
        <w:t>n</w:t>
      </w:r>
      <w:bookmarkEnd w:id="460"/>
      <w:bookmarkEnd w:id="461"/>
      <w:bookmarkEnd w:id="462"/>
      <w:bookmarkEnd w:id="463"/>
      <w:bookmarkEnd w:id="464"/>
      <w:bookmarkEnd w:id="465"/>
      <w:bookmarkEnd w:id="466"/>
      <w:bookmarkEnd w:id="467"/>
      <w:bookmarkEnd w:id="468"/>
    </w:p>
    <w:p w14:paraId="5525CC8A" w14:textId="2BFA1BBE" w:rsidR="001A0915" w:rsidRDefault="001A0915" w:rsidP="003C2438">
      <w:pPr>
        <w:pStyle w:val="Aufzhlungszeichen"/>
        <w:numPr>
          <w:ilvl w:val="0"/>
          <w:numId w:val="0"/>
        </w:numPr>
      </w:pPr>
      <w:bookmarkStart w:id="469" w:name="_Toc296694101"/>
      <w:bookmarkStart w:id="470" w:name="_Ref346538439"/>
      <w:bookmarkStart w:id="471" w:name="_Ref347919308"/>
      <w:bookmarkStart w:id="472" w:name="_Ref380744755"/>
      <w:bookmarkStart w:id="473" w:name="_Toc391540162"/>
      <w:r w:rsidRPr="00C60204">
        <w:t>Nachfolgend werden die möglichen Allokationsverfahren an Ein- und Ausspeisepunkten</w:t>
      </w:r>
      <w:r>
        <w:t xml:space="preserve"> des Marktgebietes beschrieben.</w:t>
      </w:r>
    </w:p>
    <w:p w14:paraId="26249DD4" w14:textId="77777777" w:rsidR="00117734" w:rsidRPr="007D12A5" w:rsidRDefault="00117734" w:rsidP="003C2438">
      <w:pPr>
        <w:pStyle w:val="Aufzhlungszeichen"/>
        <w:rPr>
          <w:b/>
        </w:rPr>
      </w:pPr>
      <w:r w:rsidRPr="007D12A5">
        <w:rPr>
          <w:b/>
        </w:rPr>
        <w:lastRenderedPageBreak/>
        <w:t>Allokation nach Nominierung</w:t>
      </w:r>
    </w:p>
    <w:p w14:paraId="65C7A3BB" w14:textId="77777777" w:rsidR="00117734" w:rsidRDefault="00117734" w:rsidP="003C2438">
      <w:pPr>
        <w:pStyle w:val="Eingezogen"/>
      </w:pPr>
      <w:r w:rsidRPr="004628C2">
        <w:t xml:space="preserve">Die Allokation am </w:t>
      </w:r>
      <w:r>
        <w:t>VHP</w:t>
      </w:r>
      <w:r w:rsidRPr="004628C2">
        <w:t xml:space="preserve"> </w:t>
      </w:r>
      <w:r>
        <w:t xml:space="preserve">erfolgt auf </w:t>
      </w:r>
      <w:proofErr w:type="gramStart"/>
      <w:r>
        <w:t>Basis</w:t>
      </w:r>
      <w:proofErr w:type="gramEnd"/>
      <w:r>
        <w:t xml:space="preserve"> der vom</w:t>
      </w:r>
      <w:r w:rsidRPr="004628C2">
        <w:t xml:space="preserve"> </w:t>
      </w:r>
      <w:r>
        <w:t xml:space="preserve">BKV </w:t>
      </w:r>
      <w:r w:rsidRPr="004628C2">
        <w:t xml:space="preserve">nominierten und vom </w:t>
      </w:r>
      <w:r>
        <w:t>MGV</w:t>
      </w:r>
      <w:r w:rsidRPr="004628C2">
        <w:t xml:space="preserve"> bestätigten Nominierungen bzw. </w:t>
      </w:r>
      <w:proofErr w:type="spellStart"/>
      <w:r w:rsidRPr="004628C2">
        <w:t>Renominierungen</w:t>
      </w:r>
      <w:proofErr w:type="spellEnd"/>
      <w:r w:rsidRPr="004628C2">
        <w:t xml:space="preserve">. Falls </w:t>
      </w:r>
      <w:proofErr w:type="spellStart"/>
      <w:r w:rsidRPr="004628C2">
        <w:t>Renominierungen</w:t>
      </w:r>
      <w:proofErr w:type="spellEnd"/>
      <w:r w:rsidRPr="004628C2">
        <w:t xml:space="preserve"> durchgeführt wurden, gilt die letzte gültige und vom </w:t>
      </w:r>
      <w:r>
        <w:t>MGV</w:t>
      </w:r>
      <w:r w:rsidRPr="004628C2">
        <w:t xml:space="preserve"> bestätigte </w:t>
      </w:r>
      <w:proofErr w:type="spellStart"/>
      <w:r w:rsidRPr="004628C2">
        <w:t>Renominierung</w:t>
      </w:r>
      <w:proofErr w:type="spellEnd"/>
      <w:r w:rsidRPr="004628C2">
        <w:t xml:space="preserve"> für die Allokation.</w:t>
      </w:r>
    </w:p>
    <w:p w14:paraId="36E13558" w14:textId="6E59D350" w:rsidR="00117734" w:rsidRPr="00343A2B" w:rsidRDefault="00117734" w:rsidP="003C2438">
      <w:pPr>
        <w:pStyle w:val="Eingezogen"/>
      </w:pPr>
      <w:r w:rsidRPr="00343A2B">
        <w:t xml:space="preserve">Die Allokation von Ein- bzw. Ausspeisungen an Speichern, GÜP und </w:t>
      </w:r>
      <w:r w:rsidRPr="00E731F5">
        <w:t>inländische</w:t>
      </w:r>
      <w:r>
        <w:t>n</w:t>
      </w:r>
      <w:r w:rsidRPr="00E731F5">
        <w:t xml:space="preserve"> Produktionsanlagen</w:t>
      </w:r>
      <w:r w:rsidRPr="00343A2B">
        <w:t xml:space="preserve"> erfolgt auf Basis der vom NB bestätigten Nominierungen bzw. </w:t>
      </w:r>
      <w:proofErr w:type="spellStart"/>
      <w:r w:rsidRPr="00343A2B">
        <w:t>Renominierungen</w:t>
      </w:r>
      <w:proofErr w:type="spellEnd"/>
      <w:r>
        <w:t xml:space="preserve"> bzw. Nominierungsersatzwerten</w:t>
      </w:r>
      <w:r w:rsidRPr="00343A2B">
        <w:t xml:space="preserve">. </w:t>
      </w:r>
      <w:r w:rsidRPr="00283338">
        <w:t>Steuerungsdifferenzen</w:t>
      </w:r>
      <w:r>
        <w:t xml:space="preserve">, </w:t>
      </w:r>
      <w:r w:rsidRPr="00283338">
        <w:t>d.</w:t>
      </w:r>
      <w:r>
        <w:t xml:space="preserve"> </w:t>
      </w:r>
      <w:r w:rsidRPr="00283338">
        <w:t>h. Differenzen zwischen den Summen der Nominierungen und den tatsächlichen Messwerten</w:t>
      </w:r>
      <w:r>
        <w:t xml:space="preserve">, werden auf ein </w:t>
      </w:r>
      <w:r w:rsidRPr="00C36391">
        <w:t xml:space="preserve">Operational </w:t>
      </w:r>
      <w:proofErr w:type="spellStart"/>
      <w:r w:rsidRPr="00C36391">
        <w:t>Balancing</w:t>
      </w:r>
      <w:proofErr w:type="spellEnd"/>
      <w:r w:rsidRPr="00C36391">
        <w:t xml:space="preserve"> Account (OBA</w:t>
      </w:r>
      <w:r>
        <w:t xml:space="preserve">) gemäß </w:t>
      </w:r>
      <w:r w:rsidRPr="00283338">
        <w:t>EASEE-</w:t>
      </w:r>
      <w:r>
        <w:t>G</w:t>
      </w:r>
      <w:r w:rsidRPr="00283338">
        <w:t>as CBP 2005-002/02 allokiert</w:t>
      </w:r>
      <w:r>
        <w:t xml:space="preserve">. Das OBA wird entweder von einem der beiden angrenzenden NB oder </w:t>
      </w:r>
      <w:r w:rsidRPr="00493388">
        <w:t xml:space="preserve">auch von </w:t>
      </w:r>
      <w:r w:rsidR="00BA7A33" w:rsidRPr="00493388">
        <w:t>bei</w:t>
      </w:r>
      <w:r w:rsidR="00BA7A33">
        <w:t>den</w:t>
      </w:r>
      <w:r w:rsidRPr="00493388">
        <w:t xml:space="preserve"> </w:t>
      </w:r>
      <w:r>
        <w:t>NB</w:t>
      </w:r>
      <w:r w:rsidRPr="00493388">
        <w:t xml:space="preserve"> geführt und dann monatlich abgeglichen</w:t>
      </w:r>
      <w:r>
        <w:t xml:space="preserve">. </w:t>
      </w:r>
      <w:r w:rsidRPr="00873138">
        <w:t>Im Falle von Ein- bzw. Ausspeisungen an Speichern kann das OBA auch vom SSO geführt werden.</w:t>
      </w:r>
    </w:p>
    <w:p w14:paraId="78C846D5" w14:textId="4CAE3713" w:rsidR="00117734" w:rsidRDefault="00117734" w:rsidP="003C2438">
      <w:pPr>
        <w:pStyle w:val="Eingezogen"/>
      </w:pPr>
      <w:r w:rsidRPr="00343A2B">
        <w:t>Im Falle eines Nominierungsersatzverfahrens mit einer OFC (Online-Flow-Control) gilt der von de</w:t>
      </w:r>
      <w:r w:rsidR="004E176B">
        <w:t>r ausspeisenden</w:t>
      </w:r>
      <w:r w:rsidRPr="00343A2B">
        <w:t xml:space="preserve"> RLM-</w:t>
      </w:r>
      <w:r w:rsidR="004E176B">
        <w:t>Marktlokation</w:t>
      </w:r>
      <w:r w:rsidRPr="00343A2B">
        <w:t xml:space="preserve"> übertragene stündliche Steuerungswert als Einspeiseallokation. </w:t>
      </w:r>
      <w:r w:rsidRPr="005801E2">
        <w:t>Der NB kann zur Vermeidung von Fehlwerten die Bildung von Ersatzwerten de</w:t>
      </w:r>
      <w:r w:rsidR="004E176B">
        <w:t>r ausspeisenden</w:t>
      </w:r>
      <w:r w:rsidRPr="005801E2">
        <w:t xml:space="preserve"> RLM</w:t>
      </w:r>
      <w:r>
        <w:t>-</w:t>
      </w:r>
      <w:r w:rsidR="004E176B">
        <w:t>Marktlokation</w:t>
      </w:r>
      <w:r w:rsidRPr="005801E2">
        <w:t xml:space="preserve"> anbieten</w:t>
      </w:r>
      <w:r>
        <w:t>.</w:t>
      </w:r>
    </w:p>
    <w:p w14:paraId="36525FBA" w14:textId="390DFD58" w:rsidR="00A62F85" w:rsidRPr="007D12A5" w:rsidRDefault="00A62F85" w:rsidP="003C2438">
      <w:pPr>
        <w:pStyle w:val="Aufzhlungszeichen"/>
        <w:rPr>
          <w:b/>
        </w:rPr>
      </w:pPr>
      <w:r w:rsidRPr="007D12A5">
        <w:rPr>
          <w:b/>
        </w:rPr>
        <w:t>Allokation</w:t>
      </w:r>
      <w:r>
        <w:rPr>
          <w:b/>
        </w:rPr>
        <w:t xml:space="preserve"> anhand von Standardlastprofilen</w:t>
      </w:r>
    </w:p>
    <w:p w14:paraId="112F3046" w14:textId="77777777" w:rsidR="00A62F85" w:rsidRDefault="00A62F85" w:rsidP="003C2438">
      <w:pPr>
        <w:pStyle w:val="Eingezogen"/>
      </w:pPr>
      <w:r w:rsidRPr="000B7EE2">
        <w:t>Die</w:t>
      </w:r>
      <w:r>
        <w:t>se</w:t>
      </w:r>
      <w:r w:rsidRPr="000B7EE2">
        <w:t xml:space="preserve"> Allokation </w:t>
      </w:r>
      <w:r>
        <w:t>erfolgt gemäß BDEW/VKU/GEODE-Leitfaden</w:t>
      </w:r>
      <w:r w:rsidR="00FF3030">
        <w:t xml:space="preserve"> </w:t>
      </w:r>
      <w:r w:rsidR="00FF3030" w:rsidRPr="00FF3030">
        <w:t>Abwicklung von Standardlastprofilen Gas</w:t>
      </w:r>
      <w:r>
        <w:t>.</w:t>
      </w:r>
    </w:p>
    <w:p w14:paraId="5A5BAEC4" w14:textId="77777777" w:rsidR="001A0915" w:rsidRDefault="001A0915" w:rsidP="007F76BC">
      <w:pPr>
        <w:pStyle w:val="Aufzhlungszeichen"/>
        <w:numPr>
          <w:ilvl w:val="0"/>
          <w:numId w:val="40"/>
        </w:numPr>
        <w:ind w:left="426"/>
        <w:rPr>
          <w:b/>
        </w:rPr>
      </w:pPr>
      <w:r w:rsidRPr="00FF4E33">
        <w:rPr>
          <w:b/>
        </w:rPr>
        <w:t>Allokation nach Messung</w:t>
      </w:r>
    </w:p>
    <w:p w14:paraId="0A4C7E08" w14:textId="6E61411D" w:rsidR="001A0915" w:rsidRDefault="001A0915" w:rsidP="003C2438">
      <w:pPr>
        <w:pStyle w:val="Aufzhlungszeichen"/>
        <w:numPr>
          <w:ilvl w:val="0"/>
          <w:numId w:val="0"/>
        </w:numPr>
        <w:ind w:left="360"/>
      </w:pPr>
      <w:r w:rsidRPr="004628C2">
        <w:t xml:space="preserve">Für alle </w:t>
      </w:r>
      <w:r w:rsidR="00A42D86">
        <w:t xml:space="preserve">ausspeisenden </w:t>
      </w:r>
      <w:r w:rsidRPr="004628C2">
        <w:t>RLM-</w:t>
      </w:r>
      <w:r w:rsidR="00A42D86">
        <w:t>Marktlokationen sowie für</w:t>
      </w:r>
      <w:r>
        <w:t xml:space="preserve"> Biogas- und Wasserstoffeinspeisungen </w:t>
      </w:r>
      <w:r w:rsidRPr="004628C2">
        <w:t>erfolgt die Allokation auf Basis der gemessenen Stundenmengen</w:t>
      </w:r>
      <w:r>
        <w:t xml:space="preserve"> und der daraus gemäß</w:t>
      </w:r>
      <w:r w:rsidR="006A752C">
        <w:t xml:space="preserve"> DVGW</w:t>
      </w:r>
      <w:r w:rsidR="008D1927">
        <w:t>-Arbeitsblatt</w:t>
      </w:r>
      <w:r>
        <w:t xml:space="preserve"> G 685 unter Berücksichtigung des Brennwertes ermittelten Energiemengen</w:t>
      </w:r>
      <w:r w:rsidRPr="00401932">
        <w:t>.</w:t>
      </w:r>
      <w:r>
        <w:t xml:space="preserve"> Der NB kann vorgeben, dass</w:t>
      </w:r>
      <w:r w:rsidRPr="00401932">
        <w:t xml:space="preserve"> </w:t>
      </w:r>
      <w:r>
        <w:t xml:space="preserve">die Einspeisung aus </w:t>
      </w:r>
      <w:r w:rsidRPr="00401932">
        <w:t>inländische</w:t>
      </w:r>
      <w:r>
        <w:t>n</w:t>
      </w:r>
      <w:r w:rsidRPr="00401932">
        <w:t xml:space="preserve"> Produktion</w:t>
      </w:r>
      <w:r>
        <w:t>sanlagen</w:t>
      </w:r>
      <w:r w:rsidRPr="00401932">
        <w:t xml:space="preserve"> (ohne Biogas)</w:t>
      </w:r>
      <w:r>
        <w:t xml:space="preserve"> </w:t>
      </w:r>
      <w:r w:rsidRPr="00401932">
        <w:t xml:space="preserve">auf Basis </w:t>
      </w:r>
      <w:r>
        <w:t>von gemessenen Lastgängen</w:t>
      </w:r>
      <w:r w:rsidRPr="00401932">
        <w:t xml:space="preserve"> allokiert w</w:t>
      </w:r>
      <w:r>
        <w:t>ird</w:t>
      </w:r>
      <w:r w:rsidRPr="00401932">
        <w:t xml:space="preserve">. </w:t>
      </w:r>
      <w:r>
        <w:t xml:space="preserve">Im Einzelfall werden auch durch die BNetzA genehmigte Ausspeisepunkte an GÜP nach dem Verfahren „allokiert wie gemessen“ als </w:t>
      </w:r>
      <w:r w:rsidR="00A42D86">
        <w:t xml:space="preserve">ausspeisenden </w:t>
      </w:r>
      <w:r>
        <w:t>RLM-</w:t>
      </w:r>
      <w:r w:rsidR="00A42D86">
        <w:t>Marktlokationen</w:t>
      </w:r>
      <w:r>
        <w:t xml:space="preserve"> abgewickelt.</w:t>
      </w:r>
    </w:p>
    <w:p w14:paraId="338BB0CE" w14:textId="77777777" w:rsidR="00A62F85" w:rsidRDefault="00A62F85" w:rsidP="007F76BC">
      <w:pPr>
        <w:pStyle w:val="Aufzhlungszeichen"/>
        <w:numPr>
          <w:ilvl w:val="0"/>
          <w:numId w:val="40"/>
        </w:numPr>
        <w:ind w:left="426"/>
        <w:rPr>
          <w:b/>
        </w:rPr>
      </w:pPr>
      <w:r w:rsidRPr="00117734">
        <w:rPr>
          <w:b/>
        </w:rPr>
        <w:t>Allokation pro Rata</w:t>
      </w:r>
    </w:p>
    <w:p w14:paraId="110A95A5" w14:textId="77777777" w:rsidR="00A62F85" w:rsidRPr="00B33295" w:rsidRDefault="00A62F85" w:rsidP="003C2438">
      <w:pPr>
        <w:pStyle w:val="Aufzhlungszeichen"/>
        <w:numPr>
          <w:ilvl w:val="0"/>
          <w:numId w:val="0"/>
        </w:numPr>
        <w:ind w:left="360"/>
      </w:pPr>
      <w:r w:rsidRPr="00794A9F">
        <w:t>Im Falle einer Pro</w:t>
      </w:r>
      <w:r w:rsidR="00542358">
        <w:t>-</w:t>
      </w:r>
      <w:r w:rsidRPr="00794A9F">
        <w:t>Rata</w:t>
      </w:r>
      <w:r w:rsidR="00542358">
        <w:t>-</w:t>
      </w:r>
      <w:r w:rsidRPr="00794A9F">
        <w:t>Allokation wird der Messwert des Punktes im Verhältnis der bestätigten Nominierungen für diesen Punkt aufgeteilt. Eine Pro</w:t>
      </w:r>
      <w:r w:rsidR="00F376C1">
        <w:t>-</w:t>
      </w:r>
      <w:r w:rsidRPr="00794A9F">
        <w:t>Rata</w:t>
      </w:r>
      <w:r w:rsidR="00F376C1">
        <w:t>-</w:t>
      </w:r>
      <w:r w:rsidRPr="00794A9F">
        <w:t xml:space="preserve">Allokation ist gemäß Network Code </w:t>
      </w:r>
      <w:proofErr w:type="spellStart"/>
      <w:r w:rsidRPr="00794A9F">
        <w:t>Interoperability</w:t>
      </w:r>
      <w:proofErr w:type="spellEnd"/>
      <w:r w:rsidRPr="00794A9F">
        <w:t xml:space="preserve"> and Dataexchange Artikel 9 Ziffer 3 für den Fall zulässig, wenn die Grenzen des Operating </w:t>
      </w:r>
      <w:proofErr w:type="spellStart"/>
      <w:r w:rsidRPr="00794A9F">
        <w:t>Balancing</w:t>
      </w:r>
      <w:proofErr w:type="spellEnd"/>
      <w:r w:rsidRPr="00794A9F">
        <w:t xml:space="preserve"> Account zwischen den FNB erreicht wurden</w:t>
      </w:r>
      <w:r>
        <w:t>.</w:t>
      </w:r>
    </w:p>
    <w:p w14:paraId="5E1BA75E" w14:textId="77777777" w:rsidR="007E05AB" w:rsidRDefault="00DF612D" w:rsidP="00BA1379">
      <w:pPr>
        <w:pStyle w:val="berschrift2"/>
        <w:tabs>
          <w:tab w:val="clear" w:pos="851"/>
          <w:tab w:val="num" w:pos="-4962"/>
        </w:tabs>
        <w:spacing w:before="480"/>
        <w:ind w:left="822" w:hanging="782"/>
      </w:pPr>
      <w:bookmarkStart w:id="474" w:name="_Ref412554361"/>
      <w:bookmarkStart w:id="475" w:name="_Ref412554401"/>
      <w:bookmarkStart w:id="476" w:name="_Toc412661325"/>
      <w:bookmarkStart w:id="477" w:name="_Toc111118476"/>
      <w:r>
        <w:lastRenderedPageBreak/>
        <w:t>Bestimmung des Bilanzierungsbrennwerts</w:t>
      </w:r>
      <w:bookmarkEnd w:id="469"/>
      <w:bookmarkEnd w:id="470"/>
      <w:bookmarkEnd w:id="471"/>
      <w:bookmarkEnd w:id="472"/>
      <w:bookmarkEnd w:id="473"/>
      <w:bookmarkEnd w:id="474"/>
      <w:bookmarkEnd w:id="475"/>
      <w:bookmarkEnd w:id="476"/>
      <w:bookmarkEnd w:id="477"/>
    </w:p>
    <w:p w14:paraId="65F0A57A" w14:textId="240BF3F1" w:rsidR="001A0915" w:rsidRPr="00C60204" w:rsidRDefault="001A0915" w:rsidP="003C2438">
      <w:bookmarkStart w:id="478" w:name="_Toc391540163"/>
      <w:r w:rsidRPr="00C60204">
        <w:t xml:space="preserve">Für die tägliche Allokation während des Liefermonats wird ein vorläufiger Brennwert für die Bestimmung der Energiemengen benötigt. Die Festlegung des Bilanzierungsbrennwerts obliegt dem NB. Das Verfahren zur Bestimmung des Bilanzierungsbrennwerts wird so gewählt, dass die Differenz zum Abrechnungsbrennwert so gering wie möglich gehalten wird. Der Bilanzierungsbrennwert für den Tag D wird dem </w:t>
      </w:r>
      <w:r w:rsidR="00A42D86">
        <w:t>LF</w:t>
      </w:r>
      <w:r w:rsidRPr="00C60204">
        <w:t xml:space="preserve"> am Tag D+1 in der Übermittlung des täglichen Lastgangs mitgeteilt. Der Bilanzierungsbrennwert kann entweder für jeden Monat oder für jeden Tag neu bestimmt werden</w:t>
      </w:r>
      <w:bookmarkStart w:id="479" w:name="_Toc255492630"/>
      <w:r w:rsidRPr="00C60204">
        <w:t>.</w:t>
      </w:r>
    </w:p>
    <w:p w14:paraId="5C091B7A" w14:textId="7E76B46B" w:rsidR="001A0915" w:rsidRPr="00C60204" w:rsidRDefault="001A0915" w:rsidP="003C2438">
      <w:r w:rsidRPr="00C60204">
        <w:t>Ein monatlicher Bilanzierungsbrennwert wird je Abrechnungsbrennwertgebiet und für den kompletten Liefermonat bestimmt und am vorletzten Werktag des Vormonats bekanntgegeben. Mögliche Verfahren können sein:</w:t>
      </w:r>
    </w:p>
    <w:p w14:paraId="646FEF36" w14:textId="3506FF65" w:rsidR="001A0915" w:rsidRPr="00C60204" w:rsidRDefault="001A0915" w:rsidP="003C2438">
      <w:pPr>
        <w:pStyle w:val="Aufzhlungszeichen"/>
      </w:pPr>
      <w:r w:rsidRPr="00C60204">
        <w:t>Vorvormonatsabrechnungsbrennwert-Verfahren (VM2):</w:t>
      </w:r>
      <w:bookmarkEnd w:id="479"/>
      <w:r w:rsidRPr="00C60204">
        <w:t xml:space="preserve"> Jeden Monat wird der Abrechnungsbrennwert des Vorvormonats als Bilanzierungsbrennwert herangezogen, z.</w:t>
      </w:r>
      <w:r w:rsidR="00C22517">
        <w:t> </w:t>
      </w:r>
      <w:r w:rsidRPr="00C60204">
        <w:t>B. Verwendung des monatlichen Abrechnungsbrennwerts von September als Bilanzierungsbrennwert für den Monat November.</w:t>
      </w:r>
      <w:bookmarkStart w:id="480" w:name="_Toc255492632"/>
    </w:p>
    <w:p w14:paraId="3538C6EE" w14:textId="77777777" w:rsidR="001A0915" w:rsidRPr="00C60204" w:rsidRDefault="001A0915" w:rsidP="003C2438">
      <w:pPr>
        <w:pStyle w:val="Aufzhlungszeichen"/>
      </w:pPr>
      <w:r w:rsidRPr="00C60204">
        <w:t>12 Monatsmittel-Verfahren: Über einen Zeitraum von 12 Monaten – beginnend mit dem Vorvormonat – wird aus den 12 monatlichen Abrechnungsbrennwerten der Durchschnittswert gebildet. Es erfolgt eine monatliche rollierende Aktualisierung.</w:t>
      </w:r>
    </w:p>
    <w:p w14:paraId="5E3469E8" w14:textId="77777777" w:rsidR="001A0915" w:rsidRPr="00C60204" w:rsidRDefault="001A0915" w:rsidP="003C2438">
      <w:pPr>
        <w:pStyle w:val="Aufzhlungszeichen"/>
      </w:pPr>
      <w:r w:rsidRPr="00C60204">
        <w:t>72-Monatsmittel-Verfahren</w:t>
      </w:r>
      <w:bookmarkEnd w:id="480"/>
      <w:r w:rsidRPr="00C60204">
        <w:t>: Über einen Zeitraum von 72 Monaten – beginnend mit dem Vorvormonat – wird aus den 72 monatlichen Abrechnungsbrennwerten ein Durchschnittswert gebildet. Es erfolgt eine monatliche rollierende Aktualisierung.</w:t>
      </w:r>
      <w:bookmarkStart w:id="481" w:name="_Toc255492633"/>
    </w:p>
    <w:p w14:paraId="1BCFD422" w14:textId="2AF463DC" w:rsidR="001A0915" w:rsidRPr="00C60204" w:rsidRDefault="001A0915" w:rsidP="003C2438">
      <w:pPr>
        <w:pStyle w:val="Aufzhlungszeichen"/>
      </w:pPr>
      <w:bookmarkStart w:id="482" w:name="_Toc255492634"/>
      <w:bookmarkEnd w:id="481"/>
      <w:r w:rsidRPr="00C60204">
        <w:t>Saisonales Verfahren</w:t>
      </w:r>
      <w:bookmarkEnd w:id="482"/>
      <w:r w:rsidRPr="00C60204">
        <w:t>: In einem Brennwertgebiet mit sehr unterschiedlichen saisonal wiederkehrenden monatlichen Abrechnungsbrennwerten, die sich aufgrund vorgegebener Netzfahrweisen ergeben, bietet sich das saisonale Verfahren an. Hierbei wird ein Mittelwert der monatlichen Abrechnungsbrennwerte aus dem Vorjahr der entsprechenden Zeitspanne (im Beispiel der Mittelwert vom 01.04. bis 01.10. für den Sommer und der Mittelwert der monatlichen Abrechnungsbrennwerte vom 01.10. bis 01.04. für den Winter) gebildet. Bei der Zeitspanne kann es sich um einzelne Monate, Quartale oder Halbjahre handeln.</w:t>
      </w:r>
    </w:p>
    <w:p w14:paraId="0F09D094" w14:textId="3C5D6319" w:rsidR="001A0915" w:rsidRDefault="001A0915" w:rsidP="00BA1379">
      <w:pPr>
        <w:pStyle w:val="Aufzhlungszeichen"/>
      </w:pPr>
      <w:r w:rsidRPr="00C60204">
        <w:t xml:space="preserve">Brennwertzuordnungsverfahren: Beim Brennwertzuordnungsverfahren wird den </w:t>
      </w:r>
      <w:r w:rsidR="00A42D86">
        <w:t>Marktlokationen oder Netzkopplungspunkten</w:t>
      </w:r>
      <w:r w:rsidR="007946B4">
        <w:t xml:space="preserve"> </w:t>
      </w:r>
      <w:r w:rsidRPr="00C60204">
        <w:t xml:space="preserve">eines Netzes, an denen keine Brennwertmessung installiert ist, ein gemessener oder rekonstruierter Brennwert zugeordnet. Ausnahme ist der Bilanzierungsbrennwert bei Biogaseinspeisungen. Hier entspricht der Bilanzierungsbrennwert dem täglich </w:t>
      </w:r>
      <w:r>
        <w:t>gemessenen Abrechnungsbrennwert.</w:t>
      </w:r>
    </w:p>
    <w:p w14:paraId="06938866" w14:textId="6CF2CF7E" w:rsidR="001A0915" w:rsidRDefault="001A0915" w:rsidP="003C2438">
      <w:pPr>
        <w:pStyle w:val="Aufzhlungszeichen"/>
        <w:numPr>
          <w:ilvl w:val="0"/>
          <w:numId w:val="0"/>
        </w:numPr>
      </w:pPr>
      <w:r w:rsidRPr="00F06DE7">
        <w:t xml:space="preserve">Im Fall einer Marktraumumstellung hat der </w:t>
      </w:r>
      <w:r>
        <w:t>NB</w:t>
      </w:r>
      <w:r w:rsidRPr="00F06DE7">
        <w:t xml:space="preserve"> bei der Bestimmung des Bilanzierungsbrennwertes für den Monat, ab dem die Umstellung bilanziell wirksam wird, die geänderte Gasqualität zu berücksichtigen.</w:t>
      </w:r>
      <w:r>
        <w:t xml:space="preserve"> </w:t>
      </w:r>
      <w:r w:rsidRPr="001A0915">
        <w:t xml:space="preserve">Der FNB teilt dem nachgelagerten NB je Netzkopplungspunkt mindestens 1 Monat vor dem bilanziellen Umstellungstermin schriftlich </w:t>
      </w:r>
      <w:r w:rsidRPr="001A0915">
        <w:lastRenderedPageBreak/>
        <w:t xml:space="preserve">einen H-Gas Brennwert mit, der zur Berechnung des Bilanzierungsbrennwertes herangezogen werden kann. An von der Marktraumumstellung betroffene weitere jeweils nachgelagerte NB erfolgt eine Weitergabe entsprechend der für die Netzbetreiberketten </w:t>
      </w:r>
      <w:r w:rsidR="00612A5B">
        <w:t xml:space="preserve">im Kap. </w:t>
      </w:r>
      <w:r w:rsidR="00561FFA">
        <w:fldChar w:fldCharType="begin"/>
      </w:r>
      <w:r w:rsidR="00612A5B">
        <w:instrText xml:space="preserve"> REF _Ref439853957 \r \h </w:instrText>
      </w:r>
      <w:r w:rsidR="00561FFA">
        <w:fldChar w:fldCharType="separate"/>
      </w:r>
      <w:r w:rsidR="00692E23">
        <w:t>5.3</w:t>
      </w:r>
      <w:r w:rsidR="00561FFA">
        <w:fldChar w:fldCharType="end"/>
      </w:r>
      <w:r w:rsidR="00612A5B">
        <w:t xml:space="preserve"> </w:t>
      </w:r>
      <w:r w:rsidRPr="001A0915">
        <w:t>genannten Fristen von NB zu NB</w:t>
      </w:r>
      <w:r w:rsidR="00612A5B">
        <w:t xml:space="preserve"> jeweils maximal 2 Werktage später</w:t>
      </w:r>
      <w:r w:rsidR="00612A5B" w:rsidRPr="001A0915">
        <w:t>.</w:t>
      </w:r>
      <w:r w:rsidRPr="001A0915">
        <w:t xml:space="preserve"> Unter Berücksichtigung dieses Wertes ermittelt der </w:t>
      </w:r>
      <w:r w:rsidR="004F593C">
        <w:t>NB</w:t>
      </w:r>
      <w:r w:rsidRPr="001A0915">
        <w:t xml:space="preserve"> den Bilanzierungsbrennwert (für den Umstellmonat, sowie abhängig vom Verfahren ggf. relevante Folgemonate). Dies kann unter Einbeziehung des Termins der Änderung der Gasqualität am Netzkopplungspunkt ein – z.</w:t>
      </w:r>
      <w:r w:rsidR="00C22517">
        <w:t> </w:t>
      </w:r>
      <w:r w:rsidRPr="001A0915">
        <w:t xml:space="preserve">B. mengengewichteter - Mischbrennwert aus L- und H-Gasqualität sein, sofern nicht mit tagesscharfen Brennwerten gerechnet wird. Den Abrechnungsbrennwert teilt der jeweilige vorgelagerte </w:t>
      </w:r>
      <w:r w:rsidR="004F593C">
        <w:t>NB</w:t>
      </w:r>
      <w:r w:rsidRPr="001A0915">
        <w:t xml:space="preserve"> dem nachgelagerten </w:t>
      </w:r>
      <w:r w:rsidR="004F593C">
        <w:t>NB</w:t>
      </w:r>
      <w:r w:rsidRPr="001A0915">
        <w:t xml:space="preserve"> nachmonatlich </w:t>
      </w:r>
      <w:r w:rsidR="00612A5B">
        <w:t xml:space="preserve">gem. Kap. </w:t>
      </w:r>
      <w:r w:rsidR="00561FFA">
        <w:fldChar w:fldCharType="begin"/>
      </w:r>
      <w:r w:rsidR="00612A5B">
        <w:instrText xml:space="preserve"> REF _Ref439854031 \r \h </w:instrText>
      </w:r>
      <w:r w:rsidR="00561FFA">
        <w:fldChar w:fldCharType="separate"/>
      </w:r>
      <w:r w:rsidR="00692E23">
        <w:t>5.3</w:t>
      </w:r>
      <w:r w:rsidR="00561FFA">
        <w:fldChar w:fldCharType="end"/>
      </w:r>
      <w:r w:rsidR="00612A5B">
        <w:t xml:space="preserve"> </w:t>
      </w:r>
      <w:r w:rsidRPr="001A0915">
        <w:t>mit.</w:t>
      </w:r>
    </w:p>
    <w:p w14:paraId="64E4613B" w14:textId="6FF7E8BD" w:rsidR="007E05AB" w:rsidRDefault="008473A9" w:rsidP="00BA1379">
      <w:pPr>
        <w:pStyle w:val="berschrift2"/>
        <w:tabs>
          <w:tab w:val="clear" w:pos="851"/>
        </w:tabs>
        <w:spacing w:before="480"/>
        <w:ind w:left="799" w:hanging="799"/>
      </w:pPr>
      <w:bookmarkStart w:id="483" w:name="_Toc412661326"/>
      <w:bookmarkStart w:id="484" w:name="_Ref439853950"/>
      <w:bookmarkStart w:id="485" w:name="_Ref439853957"/>
      <w:bookmarkStart w:id="486" w:name="_Ref439854031"/>
      <w:bookmarkStart w:id="487" w:name="_Toc111118477"/>
      <w:r>
        <w:t>Bereitstellung von</w:t>
      </w:r>
      <w:r w:rsidR="00CF2520">
        <w:t xml:space="preserve"> </w:t>
      </w:r>
      <w:r w:rsidRPr="0046659D">
        <w:t>Gasbeschaffenheits</w:t>
      </w:r>
      <w:r w:rsidR="00A42D86">
        <w:t>werten</w:t>
      </w:r>
      <w:bookmarkEnd w:id="478"/>
      <w:bookmarkEnd w:id="483"/>
      <w:bookmarkEnd w:id="484"/>
      <w:bookmarkEnd w:id="485"/>
      <w:bookmarkEnd w:id="486"/>
      <w:bookmarkEnd w:id="487"/>
    </w:p>
    <w:p w14:paraId="4DBC31DD" w14:textId="2E2B998C" w:rsidR="00E21705" w:rsidRDefault="001A0915" w:rsidP="003C2438">
      <w:bookmarkStart w:id="488" w:name="_Toc405912710"/>
      <w:bookmarkStart w:id="489" w:name="_Toc284323642"/>
      <w:bookmarkStart w:id="490" w:name="_Toc284334319"/>
      <w:bookmarkStart w:id="491" w:name="_Toc285005291"/>
      <w:bookmarkStart w:id="492" w:name="_Toc296694104"/>
      <w:bookmarkEnd w:id="488"/>
      <w:r>
        <w:t>Für die Energieermittlung nach DVGW</w:t>
      </w:r>
      <w:r w:rsidR="008D1927">
        <w:t>-Arbeitsblatt</w:t>
      </w:r>
      <w:r>
        <w:t xml:space="preserve"> G</w:t>
      </w:r>
      <w:r w:rsidR="007A2C97">
        <w:t xml:space="preserve"> </w:t>
      </w:r>
      <w:r>
        <w:t>685 sowie zur Erfüllung der Veröffentlichungspflichten benötigt jeder NB</w:t>
      </w:r>
      <w:r w:rsidR="007946B4">
        <w:t xml:space="preserve"> </w:t>
      </w:r>
      <w:r w:rsidR="00A42D86" w:rsidRPr="006F786D">
        <w:t>Gasbeschaffenheitswerte in der kleinsten verfügbaren Zeiteinheit</w:t>
      </w:r>
      <w:r>
        <w:t xml:space="preserve">. Da die Ermittlung des Abrechnungsbrennwertes eines Netzes von den zuvor ermittelten Abrechnungsbrennwerten des vorgelagerten Netzes abhängt, ist eine enge Abstimmung der NB untereinander erforderlich, um die Anforderungen und Fristen gemäß </w:t>
      </w:r>
      <w:proofErr w:type="spellStart"/>
      <w:r>
        <w:t>GasNZV</w:t>
      </w:r>
      <w:proofErr w:type="spellEnd"/>
      <w:r>
        <w:t xml:space="preserve"> sowie </w:t>
      </w:r>
      <w:proofErr w:type="spellStart"/>
      <w:r>
        <w:t>GeLi</w:t>
      </w:r>
      <w:proofErr w:type="spellEnd"/>
      <w:r>
        <w:t xml:space="preserve"> Gas und </w:t>
      </w:r>
      <w:proofErr w:type="spellStart"/>
      <w:r w:rsidR="00E2449C">
        <w:t>GaBi</w:t>
      </w:r>
      <w:proofErr w:type="spellEnd"/>
      <w:r w:rsidR="00E2449C">
        <w:t xml:space="preserve"> Gas</w:t>
      </w:r>
      <w:r>
        <w:t xml:space="preserve"> Prozesse ordnungsgemäß einhalten zu können.</w:t>
      </w:r>
    </w:p>
    <w:p w14:paraId="28730CC5" w14:textId="2A49011B" w:rsidR="001A0915" w:rsidRDefault="001A0915" w:rsidP="003C2438">
      <w:r>
        <w:t>Neben dem Abrechnungsbrennwert werden Normdichte und CO</w:t>
      </w:r>
      <w:r w:rsidRPr="00C9275A">
        <w:rPr>
          <w:vertAlign w:val="subscript"/>
        </w:rPr>
        <w:t>2</w:t>
      </w:r>
      <w:r>
        <w:t>-Stoffmengen</w:t>
      </w:r>
      <w:r w:rsidRPr="00C9275A">
        <w:t xml:space="preserve">anteil </w:t>
      </w:r>
      <w:r>
        <w:t xml:space="preserve">sowie ggfs., soweit verfügbar, </w:t>
      </w:r>
      <w:r w:rsidRPr="00C9275A">
        <w:t>H</w:t>
      </w:r>
      <w:r w:rsidRPr="00C9275A">
        <w:rPr>
          <w:vertAlign w:val="subscript"/>
        </w:rPr>
        <w:t>2</w:t>
      </w:r>
      <w:r w:rsidRPr="00C9275A">
        <w:t>-Stoffmengenantei</w:t>
      </w:r>
      <w:r>
        <w:t>l, Sauerstoff und weitere Kohlenwasserstoffanteile (CH</w:t>
      </w:r>
      <w:r w:rsidRPr="00C9275A">
        <w:rPr>
          <w:vertAlign w:val="subscript"/>
        </w:rPr>
        <w:t>4</w:t>
      </w:r>
      <w:r>
        <w:t>, C</w:t>
      </w:r>
      <w:r w:rsidRPr="00C9275A">
        <w:rPr>
          <w:vertAlign w:val="subscript"/>
        </w:rPr>
        <w:t>2</w:t>
      </w:r>
      <w:r>
        <w:t>H</w:t>
      </w:r>
      <w:r w:rsidRPr="00C9275A">
        <w:rPr>
          <w:vertAlign w:val="subscript"/>
        </w:rPr>
        <w:t>6</w:t>
      </w:r>
      <w:r>
        <w:t>,</w:t>
      </w:r>
      <w:r w:rsidR="00091645">
        <w:t xml:space="preserve"> </w:t>
      </w:r>
      <w:r>
        <w:t>…) übermittelt.</w:t>
      </w:r>
    </w:p>
    <w:p w14:paraId="60BDB077" w14:textId="77777777" w:rsidR="001A0915" w:rsidRDefault="001A0915" w:rsidP="003C2438">
      <w:r>
        <w:t>Dabei gilt folgendes:</w:t>
      </w:r>
    </w:p>
    <w:p w14:paraId="6827A955" w14:textId="77777777" w:rsidR="001A0915" w:rsidRDefault="001A0915" w:rsidP="007F76BC">
      <w:pPr>
        <w:pStyle w:val="Listenabsatz"/>
        <w:numPr>
          <w:ilvl w:val="0"/>
          <w:numId w:val="38"/>
        </w:numPr>
        <w:tabs>
          <w:tab w:val="num" w:pos="360"/>
        </w:tabs>
        <w:contextualSpacing w:val="0"/>
      </w:pPr>
      <w:r>
        <w:t>Der erste NB in einer Netzbetreiberkette, der einen Abrechnungsbrennwert ermitteln kann (in der Regel ein FNB) ermittelt diesen und stellt ihn seinen unmittelbar nachgelagerten NB bis spätestens M+5 WT zur Verfügung.</w:t>
      </w:r>
    </w:p>
    <w:p w14:paraId="5498157E" w14:textId="77777777" w:rsidR="001A0915" w:rsidRDefault="001A0915" w:rsidP="007F76BC">
      <w:pPr>
        <w:pStyle w:val="Listenabsatz"/>
        <w:numPr>
          <w:ilvl w:val="0"/>
          <w:numId w:val="38"/>
        </w:numPr>
        <w:tabs>
          <w:tab w:val="num" w:pos="360"/>
        </w:tabs>
        <w:contextualSpacing w:val="0"/>
      </w:pPr>
      <w:r>
        <w:t>Die Weitergabe eines ermittelten Abrechnungsbrennwertes an jede weitere Netzebene erfolgt von NB zu NB jeweils maximal 2 Werktage später.</w:t>
      </w:r>
    </w:p>
    <w:p w14:paraId="697D6706" w14:textId="77777777" w:rsidR="001A0915" w:rsidRDefault="001A0915" w:rsidP="007F76BC">
      <w:pPr>
        <w:pStyle w:val="Listenabsatz"/>
        <w:numPr>
          <w:ilvl w:val="0"/>
          <w:numId w:val="38"/>
        </w:numPr>
        <w:tabs>
          <w:tab w:val="num" w:pos="360"/>
        </w:tabs>
        <w:contextualSpacing w:val="0"/>
      </w:pPr>
      <w:r>
        <w:t>Es muss aber sichergestellt werden, dass der Abrechnungsbrennwert spätestens M+9 WT der letzten Netzebene übermittelt wird.</w:t>
      </w:r>
    </w:p>
    <w:p w14:paraId="0AE652BC" w14:textId="77777777" w:rsidR="000A17CA" w:rsidRPr="007E0894" w:rsidRDefault="001A0915" w:rsidP="007F76BC">
      <w:pPr>
        <w:pStyle w:val="Listenabsatz"/>
        <w:numPr>
          <w:ilvl w:val="0"/>
          <w:numId w:val="38"/>
        </w:numPr>
        <w:tabs>
          <w:tab w:val="num" w:pos="360"/>
        </w:tabs>
        <w:autoSpaceDE w:val="0"/>
        <w:autoSpaceDN w:val="0"/>
        <w:adjustRightInd w:val="0"/>
        <w:contextualSpacing w:val="0"/>
        <w:rPr>
          <w:rFonts w:cs="Arial"/>
          <w:color w:val="000000"/>
          <w:sz w:val="24"/>
          <w:szCs w:val="24"/>
        </w:rPr>
      </w:pPr>
      <w:r>
        <w:t xml:space="preserve">Bei einer Netzbetreiberkette von mehr als </w:t>
      </w:r>
      <w:r w:rsidR="0072609A">
        <w:t>4</w:t>
      </w:r>
      <w:r>
        <w:t xml:space="preserve"> Netzebenen stimmen sich die NB untereinander über Anpassungen dieser Fristen ab, so dass der Termin M+9 WT für die letzte Netzebene eingehalten wird.</w:t>
      </w:r>
    </w:p>
    <w:p w14:paraId="4100ABF2" w14:textId="59AE516C" w:rsidR="000A17CA" w:rsidRDefault="000A17CA" w:rsidP="007F76BC">
      <w:pPr>
        <w:pStyle w:val="Listenabsatz"/>
        <w:numPr>
          <w:ilvl w:val="0"/>
          <w:numId w:val="38"/>
        </w:numPr>
        <w:tabs>
          <w:tab w:val="num" w:pos="360"/>
        </w:tabs>
        <w:contextualSpacing w:val="0"/>
      </w:pPr>
      <w:r w:rsidRPr="003B120C">
        <w:t>Die Gasbeschaffenheits</w:t>
      </w:r>
      <w:r w:rsidR="00097B00">
        <w:t>werten</w:t>
      </w:r>
      <w:r w:rsidRPr="003B120C">
        <w:t xml:space="preserve"> </w:t>
      </w:r>
      <w:r w:rsidR="00117734">
        <w:t>werden</w:t>
      </w:r>
      <w:r w:rsidR="00117734" w:rsidRPr="003B120C">
        <w:t xml:space="preserve"> </w:t>
      </w:r>
      <w:r w:rsidRPr="003B120C">
        <w:t xml:space="preserve">elektronisch </w:t>
      </w:r>
      <w:r w:rsidR="00117734">
        <w:t xml:space="preserve">im Format </w:t>
      </w:r>
      <w:r w:rsidRPr="003B120C">
        <w:t xml:space="preserve">MSCONS </w:t>
      </w:r>
      <w:r w:rsidR="00117734">
        <w:t>übermittelt</w:t>
      </w:r>
      <w:r w:rsidRPr="003B120C">
        <w:t>.</w:t>
      </w:r>
    </w:p>
    <w:p w14:paraId="51D13EDA" w14:textId="319A6475" w:rsidR="003967F5" w:rsidRDefault="003967F5" w:rsidP="003C2438">
      <w:r w:rsidRPr="00B34213">
        <w:t xml:space="preserve">Die </w:t>
      </w:r>
      <w:r w:rsidR="00097B00">
        <w:t>LF</w:t>
      </w:r>
      <w:r w:rsidRPr="00B34213">
        <w:t xml:space="preserve"> und </w:t>
      </w:r>
      <w:r w:rsidR="00097B00">
        <w:t xml:space="preserve">der </w:t>
      </w:r>
      <w:r w:rsidRPr="00B34213">
        <w:t>Letztverbraucher haben ebenfalls Bedarf an endgültigen Gasbeschaffenheits</w:t>
      </w:r>
      <w:r w:rsidR="00097B00">
        <w:t>werten</w:t>
      </w:r>
      <w:r w:rsidRPr="00B34213">
        <w:t>, z.</w:t>
      </w:r>
      <w:r w:rsidR="00C22517">
        <w:t> </w:t>
      </w:r>
      <w:r w:rsidRPr="00B34213">
        <w:t xml:space="preserve">B. zur Plausibilisierung von Rechnungen oder um den CO2-Emmissionsfaktor ermitteln zu können. Dabei versendet der NB an den </w:t>
      </w:r>
      <w:r w:rsidR="00097B00">
        <w:t>LF</w:t>
      </w:r>
      <w:r w:rsidRPr="00B34213">
        <w:t xml:space="preserve"> bis M+10 WT auf </w:t>
      </w:r>
      <w:r w:rsidRPr="00B34213">
        <w:lastRenderedPageBreak/>
        <w:t>dessen einmalige Anfrage fortlaufend für</w:t>
      </w:r>
      <w:r w:rsidR="00B17EB3">
        <w:t xml:space="preserve"> abgestimmte</w:t>
      </w:r>
      <w:r w:rsidRPr="00B34213">
        <w:t xml:space="preserve"> RLM</w:t>
      </w:r>
      <w:r w:rsidR="006B1E20" w:rsidRPr="006B1E20">
        <w:t xml:space="preserve"> </w:t>
      </w:r>
      <w:r w:rsidR="006B1E20">
        <w:t>Marktlokationen</w:t>
      </w:r>
      <w:r w:rsidRPr="00B34213">
        <w:t xml:space="preserve"> die Gasbeschaffenheits</w:t>
      </w:r>
      <w:r w:rsidR="00097B00">
        <w:t>werte</w:t>
      </w:r>
      <w:r w:rsidRPr="00B34213">
        <w:t xml:space="preserve"> in elektronischer Form. Ein Letztverbraucher wendet sich bei Bedarf primär an seinen Lieferanten, der als </w:t>
      </w:r>
      <w:r w:rsidR="00097B00">
        <w:t>LF</w:t>
      </w:r>
      <w:r w:rsidRPr="00B34213">
        <w:t xml:space="preserve"> an de</w:t>
      </w:r>
      <w:r w:rsidR="006B1E20">
        <w:t>r</w:t>
      </w:r>
      <w:r w:rsidRPr="00B34213">
        <w:t xml:space="preserve"> relevanten </w:t>
      </w:r>
      <w:r w:rsidR="006B1E20">
        <w:t>Marktlokation</w:t>
      </w:r>
      <w:r w:rsidR="006138E8">
        <w:t xml:space="preserve"> </w:t>
      </w:r>
      <w:r w:rsidRPr="00B34213">
        <w:t xml:space="preserve">mit dem NB einen Ausspeise- bzw. Lieferantenrahmenvertrag abgeschlossen hat. Der </w:t>
      </w:r>
      <w:r w:rsidR="00097B00">
        <w:t>LF</w:t>
      </w:r>
      <w:r w:rsidRPr="00B34213">
        <w:t xml:space="preserve"> stellt dem Letztverbraucher </w:t>
      </w:r>
      <w:r w:rsidR="00B34213">
        <w:t xml:space="preserve">ab </w:t>
      </w:r>
      <w:r w:rsidRPr="00B34213">
        <w:t>M+1</w:t>
      </w:r>
      <w:r w:rsidR="00B34213">
        <w:t>0</w:t>
      </w:r>
      <w:r w:rsidRPr="00B34213">
        <w:t xml:space="preserve"> WT die Gasbeschaffenheits</w:t>
      </w:r>
      <w:r w:rsidR="00097B00">
        <w:t>werte</w:t>
      </w:r>
      <w:r w:rsidRPr="00B34213">
        <w:t xml:space="preserve"> zur Verfügung. Alternativ kann der Letztverbraucher diese Daten auch vom NB, an dessen Netz der Anschluss besteht, an M+10 WT erhalten. In beiden Fällen erfolgt die Bereitstellung nur auf Anfrage und nur für RLM</w:t>
      </w:r>
      <w:r w:rsidR="00097B00">
        <w:t>-</w:t>
      </w:r>
      <w:r w:rsidR="006B1E20">
        <w:t>Marktlokationen</w:t>
      </w:r>
      <w:r w:rsidRPr="00B34213">
        <w:t>. Ein gesondertes Format ist für die Bereitstellung an Letztverbraucher nicht vorgesehen und wird bilateral abgestimmt.</w:t>
      </w:r>
    </w:p>
    <w:p w14:paraId="6365062A" w14:textId="77777777" w:rsidR="006903F8" w:rsidRPr="00117734" w:rsidRDefault="006903F8" w:rsidP="00BA1379">
      <w:pPr>
        <w:pStyle w:val="berschrift2"/>
        <w:tabs>
          <w:tab w:val="clear" w:pos="851"/>
        </w:tabs>
        <w:spacing w:before="480"/>
        <w:ind w:left="799" w:hanging="799"/>
      </w:pPr>
      <w:bookmarkStart w:id="493" w:name="_Toc111118478"/>
      <w:r w:rsidRPr="00117734">
        <w:t>Stammdatenaustausch am NKP</w:t>
      </w:r>
      <w:bookmarkEnd w:id="493"/>
    </w:p>
    <w:p w14:paraId="35AA5259" w14:textId="432684F9" w:rsidR="006903F8" w:rsidRPr="00117734" w:rsidRDefault="006903F8" w:rsidP="003C2438">
      <w:r w:rsidRPr="00117734">
        <w:t>Im Rahmen des Abstimmungsprozesses der Netzübergangszeitreihen zwischen den beiden angrenzenden NB am NKP gemäß Kap</w:t>
      </w:r>
      <w:r w:rsidR="00780040" w:rsidRPr="00117734">
        <w:t xml:space="preserve">. </w:t>
      </w:r>
      <w:r w:rsidR="0011373C">
        <w:fldChar w:fldCharType="begin"/>
      </w:r>
      <w:r w:rsidR="0011373C">
        <w:instrText xml:space="preserve"> REF _Ref433965245 \r \h  \* MERGEFORMAT </w:instrText>
      </w:r>
      <w:r w:rsidR="0011373C">
        <w:fldChar w:fldCharType="separate"/>
      </w:r>
      <w:r w:rsidR="00692E23">
        <w:t>5.5.5</w:t>
      </w:r>
      <w:r w:rsidR="0011373C">
        <w:fldChar w:fldCharType="end"/>
      </w:r>
      <w:r w:rsidRPr="00117734">
        <w:t xml:space="preserve"> werden Energiezeitreihen zunächst per MSCONS ausgetauscht. Beide NB führen hierzu im Vorfeld eine Energieermittlung gemäß DVGW</w:t>
      </w:r>
      <w:r w:rsidR="008D1927">
        <w:t>-</w:t>
      </w:r>
      <w:r w:rsidRPr="00117734">
        <w:t>Arbeitsbl</w:t>
      </w:r>
      <w:r w:rsidR="008D1927">
        <w:t>att</w:t>
      </w:r>
      <w:r w:rsidRPr="00117734">
        <w:t xml:space="preserve"> G 685 durch. Mögliche Ursachen für Abweichungen in den Ergebnissen bei beiden NB sind dabei:</w:t>
      </w:r>
    </w:p>
    <w:p w14:paraId="6225F90C" w14:textId="77777777" w:rsidR="006903F8" w:rsidRPr="00117734" w:rsidRDefault="006903F8" w:rsidP="003C2438">
      <w:pPr>
        <w:ind w:left="567" w:hanging="567"/>
      </w:pPr>
      <w:r w:rsidRPr="00117734">
        <w:t>(1)</w:t>
      </w:r>
      <w:r w:rsidRPr="00117734">
        <w:tab/>
        <w:t>Unterschiede in der Mittelwertbildung und in den Rechenverfahren (z.</w:t>
      </w:r>
      <w:r w:rsidR="00F376C1">
        <w:t> </w:t>
      </w:r>
      <w:r w:rsidRPr="00117734">
        <w:t xml:space="preserve">B. werden Druck, Temperatur und die Gasbeschaffenheit täglich/monatlich und dabei arithmetisch oder mengengewogen </w:t>
      </w:r>
      <w:r w:rsidR="00354F84">
        <w:t>[</w:t>
      </w:r>
      <w:r w:rsidR="00354F84">
        <w:rPr>
          <w:rFonts w:cs="Arial"/>
        </w:rPr>
        <w:t>auf V</w:t>
      </w:r>
      <w:r w:rsidR="00354F84" w:rsidRPr="005C576F">
        <w:rPr>
          <w:rFonts w:cs="Arial"/>
          <w:vertAlign w:val="subscript"/>
        </w:rPr>
        <w:t>B</w:t>
      </w:r>
      <w:r w:rsidR="00354F84">
        <w:rPr>
          <w:rFonts w:cs="Arial"/>
        </w:rPr>
        <w:t>/V</w:t>
      </w:r>
      <w:r w:rsidR="00354F84" w:rsidRPr="005C576F">
        <w:rPr>
          <w:rFonts w:cs="Arial"/>
          <w:vertAlign w:val="subscript"/>
        </w:rPr>
        <w:t>BU</w:t>
      </w:r>
      <w:r w:rsidR="00354F84">
        <w:rPr>
          <w:rFonts w:cs="Arial"/>
        </w:rPr>
        <w:t>/V</w:t>
      </w:r>
      <w:r w:rsidR="00354F84" w:rsidRPr="005C576F">
        <w:rPr>
          <w:rFonts w:cs="Arial"/>
          <w:vertAlign w:val="subscript"/>
        </w:rPr>
        <w:t>U</w:t>
      </w:r>
      <w:r w:rsidR="00354F84">
        <w:rPr>
          <w:rFonts w:cs="Arial"/>
        </w:rPr>
        <w:t>/E</w:t>
      </w:r>
      <w:r w:rsidR="00354F84" w:rsidRPr="005C576F">
        <w:rPr>
          <w:rFonts w:cs="Arial"/>
          <w:vertAlign w:val="subscript"/>
        </w:rPr>
        <w:t>U</w:t>
      </w:r>
      <w:r w:rsidR="00354F84">
        <w:rPr>
          <w:rFonts w:cs="Arial"/>
        </w:rPr>
        <w:t>…] gemittelt</w:t>
      </w:r>
      <w:r w:rsidRPr="00117734">
        <w:t>)</w:t>
      </w:r>
      <w:r w:rsidR="00F376C1">
        <w:t>;</w:t>
      </w:r>
    </w:p>
    <w:p w14:paraId="65D01D98" w14:textId="77777777" w:rsidR="00E157A6" w:rsidRPr="00117734" w:rsidRDefault="006903F8" w:rsidP="003C2438">
      <w:pPr>
        <w:ind w:left="567" w:hanging="567"/>
      </w:pPr>
      <w:r w:rsidRPr="00117734">
        <w:t>(2)</w:t>
      </w:r>
      <w:r w:rsidRPr="00117734">
        <w:tab/>
        <w:t>Unterschiede in der angewendeten Ersatzwertstrategie in Störungs-/Revisionssitu</w:t>
      </w:r>
      <w:r w:rsidR="00F376C1">
        <w:t>-</w:t>
      </w:r>
      <w:proofErr w:type="spellStart"/>
      <w:r w:rsidRPr="00117734">
        <w:t>ationen</w:t>
      </w:r>
      <w:proofErr w:type="spellEnd"/>
      <w:r w:rsidR="00F376C1">
        <w:t>;</w:t>
      </w:r>
    </w:p>
    <w:p w14:paraId="7C0C410F" w14:textId="77777777" w:rsidR="00E157A6" w:rsidRPr="00117734" w:rsidRDefault="006903F8" w:rsidP="003C2438">
      <w:pPr>
        <w:ind w:left="567" w:hanging="567"/>
      </w:pPr>
      <w:r w:rsidRPr="00117734">
        <w:t>(3)</w:t>
      </w:r>
      <w:r w:rsidRPr="00117734">
        <w:tab/>
        <w:t>Unterschiede in den der Energieermittlung zugrunde</w:t>
      </w:r>
      <w:r w:rsidR="003507A2">
        <w:t xml:space="preserve"> </w:t>
      </w:r>
      <w:r w:rsidRPr="00117734">
        <w:t xml:space="preserve">gelegten technischen Stammdaten der am NKP eingesetzten Mess- und Übertragungstechnik (Zähler, </w:t>
      </w:r>
      <w:proofErr w:type="spellStart"/>
      <w:r w:rsidRPr="00117734">
        <w:t>Umwerter</w:t>
      </w:r>
      <w:proofErr w:type="spellEnd"/>
      <w:r w:rsidRPr="00117734">
        <w:t>, DFÜ)</w:t>
      </w:r>
      <w:r w:rsidR="00F376C1">
        <w:t>.</w:t>
      </w:r>
    </w:p>
    <w:p w14:paraId="7D28CB6A" w14:textId="2D4950EB" w:rsidR="00364CFB" w:rsidRDefault="006903F8" w:rsidP="003C2438">
      <w:r w:rsidRPr="00117734">
        <w:t>Während (1) und (2) nur durch bilaterale Abstimmung zwischen den NB zu lösen sind</w:t>
      </w:r>
      <w:r w:rsidR="00354F84">
        <w:t>,</w:t>
      </w:r>
      <w:r w:rsidRPr="00117734">
        <w:t xml:space="preserve"> kann </w:t>
      </w:r>
      <w:r w:rsidR="00F92192">
        <w:t xml:space="preserve">eine </w:t>
      </w:r>
      <w:r w:rsidRPr="00117734">
        <w:t xml:space="preserve">Fehlerquelle (3) durch die </w:t>
      </w:r>
      <w:r w:rsidR="00F92192">
        <w:t>Abstimmung</w:t>
      </w:r>
      <w:r w:rsidRPr="00117734">
        <w:t xml:space="preserve"> einer einheitlichen Stammdatenlage </w:t>
      </w:r>
      <w:r w:rsidR="00F92192">
        <w:t>beseitigt</w:t>
      </w:r>
      <w:r w:rsidRPr="00117734">
        <w:t xml:space="preserve"> werden. </w:t>
      </w:r>
      <w:r w:rsidR="00097B00">
        <w:t xml:space="preserve">Der für den Messstellenbetrieb verantwortliche Netzbetreiber teilt dem jeweils anderen Netzbetreiber des Netzkopplungspunktes bei geplanten Arbeiten mit einer Vorlaufzeit von mindestens 14 Kalendertagen Änderungen der Stammdaten </w:t>
      </w:r>
      <w:r w:rsidR="00097B00" w:rsidRPr="00117734">
        <w:t xml:space="preserve">in </w:t>
      </w:r>
      <w:r w:rsidR="00097B00">
        <w:t xml:space="preserve">dem </w:t>
      </w:r>
      <w:r w:rsidR="00097B00" w:rsidRPr="00117734">
        <w:t>Form</w:t>
      </w:r>
      <w:r w:rsidR="00097B00">
        <w:t>blatt gemäß Anlage 1 mit, insbesondere Anlagenänderungen, Veränderungen der Mess- und Übertragungstechnik und -parameter sowie Änderungen der eingestellten Gasbeschaffenheitsparameter</w:t>
      </w:r>
      <w:r w:rsidR="00097B00" w:rsidRPr="00117734">
        <w:t>.</w:t>
      </w:r>
      <w:r w:rsidRPr="00117734">
        <w:t xml:space="preserve"> </w:t>
      </w:r>
      <w:r w:rsidR="00097B00">
        <w:t xml:space="preserve">Soweit eine vorherige Mitteilung nicht möglich ist, ist diese binnen 2 Werktagen nachzuholen. </w:t>
      </w:r>
      <w:r w:rsidR="00364CFB">
        <w:t xml:space="preserve">Übermittelt werden die Stammdaten zum Zähler, </w:t>
      </w:r>
      <w:proofErr w:type="spellStart"/>
      <w:r w:rsidR="00364CFB">
        <w:t>Umwerter</w:t>
      </w:r>
      <w:proofErr w:type="spellEnd"/>
      <w:r w:rsidR="00364CFB">
        <w:t xml:space="preserve"> und der Abruftechnik sowie die eingestellten Gasbeschaffenheitsparameter.</w:t>
      </w:r>
    </w:p>
    <w:p w14:paraId="2110A229" w14:textId="00D8EF69" w:rsidR="004C7CAA" w:rsidRDefault="006903F8" w:rsidP="003C2438">
      <w:r w:rsidRPr="00117734">
        <w:t>Auslöser einer solchen Änderung sind z.</w:t>
      </w:r>
      <w:r w:rsidR="00F376C1">
        <w:t> </w:t>
      </w:r>
      <w:r w:rsidRPr="00117734">
        <w:t xml:space="preserve">B. ein Gerätewechsel bei Auslaufen der Eichgültigkeit, Umbau einer Station oder Änderung der eingestellten Gasanalyse im </w:t>
      </w:r>
      <w:proofErr w:type="spellStart"/>
      <w:r w:rsidRPr="00117734">
        <w:t>Umwerter</w:t>
      </w:r>
      <w:proofErr w:type="spellEnd"/>
      <w:r w:rsidRPr="00117734">
        <w:t>.</w:t>
      </w:r>
    </w:p>
    <w:p w14:paraId="1D653FB3" w14:textId="77777777" w:rsidR="004C7CAA" w:rsidRDefault="004C7CAA">
      <w:r>
        <w:br w:type="page"/>
      </w:r>
    </w:p>
    <w:p w14:paraId="2FD7B21E" w14:textId="77777777" w:rsidR="006903F8" w:rsidRPr="00117734" w:rsidRDefault="006903F8" w:rsidP="003C2438"/>
    <w:p w14:paraId="1629D417" w14:textId="77777777" w:rsidR="007E05AB" w:rsidRDefault="00DF612D" w:rsidP="008C6E25">
      <w:pPr>
        <w:pStyle w:val="berschrift2"/>
        <w:tabs>
          <w:tab w:val="clear" w:pos="851"/>
          <w:tab w:val="num" w:pos="-4962"/>
        </w:tabs>
        <w:spacing w:before="480"/>
        <w:ind w:left="1066" w:hanging="1066"/>
      </w:pPr>
      <w:bookmarkStart w:id="494" w:name="_Toc391540164"/>
      <w:bookmarkStart w:id="495" w:name="_Ref417897746"/>
      <w:bookmarkStart w:id="496" w:name="_Toc412661327"/>
      <w:bookmarkStart w:id="497" w:name="_Toc111118479"/>
      <w:r w:rsidRPr="00883DA8">
        <w:t>Allokation</w:t>
      </w:r>
      <w:r>
        <w:t xml:space="preserve"> der verschiedenen Zeitreihentypen</w:t>
      </w:r>
      <w:bookmarkEnd w:id="489"/>
      <w:bookmarkEnd w:id="490"/>
      <w:bookmarkEnd w:id="491"/>
      <w:bookmarkEnd w:id="492"/>
      <w:bookmarkEnd w:id="494"/>
      <w:bookmarkEnd w:id="495"/>
      <w:bookmarkEnd w:id="496"/>
      <w:bookmarkEnd w:id="497"/>
    </w:p>
    <w:p w14:paraId="5DBA3DFC" w14:textId="70B21B4A" w:rsidR="0060191C" w:rsidRPr="009B0844" w:rsidRDefault="0060191C" w:rsidP="003C2438">
      <w:pPr>
        <w:pStyle w:val="berschrift3"/>
        <w:spacing w:before="480"/>
        <w:ind w:left="1078" w:hanging="1038"/>
      </w:pPr>
      <w:bookmarkStart w:id="498" w:name="_Toc284334320"/>
      <w:bookmarkStart w:id="499" w:name="_Toc391540165"/>
      <w:bookmarkStart w:id="500" w:name="_Toc412661328"/>
      <w:bookmarkStart w:id="501" w:name="_Toc111118480"/>
      <w:bookmarkStart w:id="502" w:name="_Toc285687015"/>
      <w:bookmarkStart w:id="503" w:name="_Ref290038534"/>
      <w:bookmarkStart w:id="504" w:name="_Toc296694105"/>
      <w:bookmarkStart w:id="505" w:name="_Toc284323644"/>
      <w:bookmarkStart w:id="506" w:name="_Toc284334322"/>
      <w:bookmarkStart w:id="507" w:name="_Toc285005293"/>
      <w:bookmarkEnd w:id="498"/>
      <w:r w:rsidRPr="009B0844">
        <w:t>Allokation von SLP-</w:t>
      </w:r>
      <w:r w:rsidR="006B1E20" w:rsidRPr="006B1E20">
        <w:t xml:space="preserve"> </w:t>
      </w:r>
      <w:r w:rsidR="003C116E">
        <w:t>Marktlokationen</w:t>
      </w:r>
      <w:r w:rsidR="006B1E20" w:rsidRPr="009B0844">
        <w:t xml:space="preserve"> </w:t>
      </w:r>
      <w:r w:rsidRPr="009B0844">
        <w:t>(Zeitreihentyp</w:t>
      </w:r>
      <w:r>
        <w:t>en</w:t>
      </w:r>
      <w:r w:rsidRPr="009B0844">
        <w:t xml:space="preserve"> </w:t>
      </w:r>
      <w:proofErr w:type="spellStart"/>
      <w:r w:rsidRPr="009B0844">
        <w:t>SLPsyn</w:t>
      </w:r>
      <w:proofErr w:type="spellEnd"/>
      <w:r w:rsidRPr="009B0844">
        <w:t xml:space="preserve"> und </w:t>
      </w:r>
      <w:proofErr w:type="spellStart"/>
      <w:r w:rsidRPr="009B0844">
        <w:t>SLPana</w:t>
      </w:r>
      <w:proofErr w:type="spellEnd"/>
      <w:r w:rsidRPr="009B0844">
        <w:t>)</w:t>
      </w:r>
      <w:bookmarkEnd w:id="499"/>
      <w:bookmarkEnd w:id="500"/>
      <w:bookmarkEnd w:id="501"/>
    </w:p>
    <w:p w14:paraId="4CE8DF43" w14:textId="7BCDD081" w:rsidR="00A15646" w:rsidRPr="009B0844" w:rsidRDefault="00A15646" w:rsidP="008C6E25">
      <w:pPr>
        <w:pStyle w:val="berschrift4"/>
        <w:spacing w:line="300" w:lineRule="atLeast"/>
        <w:ind w:left="1077" w:hanging="1049"/>
      </w:pPr>
      <w:bookmarkStart w:id="508" w:name="_Toc391540166"/>
      <w:bookmarkStart w:id="509" w:name="_Toc412661329"/>
      <w:bookmarkStart w:id="510" w:name="_Toc111118481"/>
      <w:r w:rsidRPr="001E5908">
        <w:t>Allokation</w:t>
      </w:r>
      <w:r>
        <w:t xml:space="preserve"> von </w:t>
      </w:r>
      <w:r w:rsidRPr="009B0844">
        <w:t>SLP-</w:t>
      </w:r>
      <w:r w:rsidR="006B1E20" w:rsidRPr="006B1E20">
        <w:t xml:space="preserve"> </w:t>
      </w:r>
      <w:r w:rsidR="003C116E">
        <w:t>Marktlokationen</w:t>
      </w:r>
      <w:r w:rsidR="006B1E20" w:rsidRPr="009B0844">
        <w:t xml:space="preserve"> </w:t>
      </w:r>
      <w:r w:rsidRPr="009B0844">
        <w:t>im synthetischen Verfahren</w:t>
      </w:r>
      <w:r>
        <w:t xml:space="preserve"> (</w:t>
      </w:r>
      <w:proofErr w:type="spellStart"/>
      <w:r>
        <w:t>SLPsyn</w:t>
      </w:r>
      <w:proofErr w:type="spellEnd"/>
      <w:r>
        <w:t>)</w:t>
      </w:r>
      <w:bookmarkEnd w:id="508"/>
      <w:bookmarkEnd w:id="509"/>
      <w:bookmarkEnd w:id="510"/>
    </w:p>
    <w:p w14:paraId="1CC9EAB4" w14:textId="77777777" w:rsidR="001A0915" w:rsidRDefault="001A0915" w:rsidP="003C2438">
      <w:pPr>
        <w:spacing w:before="120"/>
        <w:rPr>
          <w:rFonts w:cs="Arial"/>
        </w:rPr>
      </w:pPr>
      <w:bookmarkStart w:id="511" w:name="_Toc391540167"/>
      <w:r w:rsidRPr="004628C2">
        <w:rPr>
          <w:rFonts w:cs="Arial"/>
        </w:rPr>
        <w:t xml:space="preserve">Für die Allokation ermittelt der </w:t>
      </w:r>
      <w:r>
        <w:rPr>
          <w:rFonts w:cs="Arial"/>
        </w:rPr>
        <w:t>NB</w:t>
      </w:r>
      <w:r w:rsidRPr="004628C2">
        <w:rPr>
          <w:rFonts w:cs="Arial"/>
        </w:rPr>
        <w:t xml:space="preserve"> am Tag D-1 die SLP-Tagesmenge auf Basis der Prognosetemperatur </w:t>
      </w:r>
      <w:r>
        <w:rPr>
          <w:rFonts w:cs="Arial"/>
        </w:rPr>
        <w:t>(z.</w:t>
      </w:r>
      <w:r w:rsidR="00922E3E">
        <w:t> </w:t>
      </w:r>
      <w:r>
        <w:rPr>
          <w:rFonts w:cs="Arial"/>
        </w:rPr>
        <w:t xml:space="preserve">B. geometrische Reihe) </w:t>
      </w:r>
      <w:r w:rsidRPr="004628C2">
        <w:rPr>
          <w:rFonts w:cs="Arial"/>
        </w:rPr>
        <w:t xml:space="preserve">für den Folgetag. Es </w:t>
      </w:r>
      <w:r>
        <w:rPr>
          <w:rFonts w:cs="Arial"/>
        </w:rPr>
        <w:t>wird</w:t>
      </w:r>
      <w:r w:rsidRPr="004628C2">
        <w:rPr>
          <w:rFonts w:cs="Arial"/>
        </w:rPr>
        <w:t xml:space="preserve"> immer der Datumsstempel für den Tag D verwendet.</w:t>
      </w:r>
      <w:r w:rsidRPr="00C30AD7">
        <w:rPr>
          <w:rFonts w:cs="Arial"/>
        </w:rPr>
        <w:t xml:space="preserve"> </w:t>
      </w:r>
      <w:r w:rsidRPr="004628C2">
        <w:rPr>
          <w:rFonts w:cs="Arial"/>
        </w:rPr>
        <w:t>Weitere Details zu</w:t>
      </w:r>
      <w:r>
        <w:rPr>
          <w:rFonts w:cs="Arial"/>
        </w:rPr>
        <w:t xml:space="preserve">m Ermittlungsprozess </w:t>
      </w:r>
      <w:r w:rsidRPr="004628C2">
        <w:rPr>
          <w:rFonts w:cs="Arial"/>
        </w:rPr>
        <w:t>der SLP-Tagesm</w:t>
      </w:r>
      <w:r>
        <w:rPr>
          <w:rFonts w:cs="Arial"/>
        </w:rPr>
        <w:t xml:space="preserve">engen finden sich </w:t>
      </w:r>
      <w:r w:rsidRPr="006E3E7E">
        <w:rPr>
          <w:rFonts w:cs="Arial"/>
        </w:rPr>
        <w:t xml:space="preserve">im </w:t>
      </w:r>
      <w:r w:rsidRPr="006E3E7E">
        <w:rPr>
          <w:rFonts w:cs="Arial"/>
          <w:i/>
        </w:rPr>
        <w:t>„</w:t>
      </w:r>
      <w:r>
        <w:t xml:space="preserve">BDEW/VKU/GEODE-Leitfaden Abwicklung von </w:t>
      </w:r>
      <w:r w:rsidRPr="007B3507">
        <w:t>Standardlastprofilen Gas</w:t>
      </w:r>
      <w:r w:rsidRPr="007B3507">
        <w:rPr>
          <w:rFonts w:cs="Arial"/>
        </w:rPr>
        <w:t>“.</w:t>
      </w:r>
    </w:p>
    <w:p w14:paraId="093DBB4F" w14:textId="21C4D0FD" w:rsidR="00A15646" w:rsidRPr="009B0844" w:rsidRDefault="00A15646" w:rsidP="008C6E25">
      <w:pPr>
        <w:pStyle w:val="berschrift4"/>
        <w:spacing w:line="300" w:lineRule="atLeast"/>
        <w:ind w:left="1089" w:hanging="1049"/>
      </w:pPr>
      <w:bookmarkStart w:id="512" w:name="_Toc412661330"/>
      <w:bookmarkStart w:id="513" w:name="_Toc111118482"/>
      <w:r>
        <w:t xml:space="preserve">Allokation </w:t>
      </w:r>
      <w:r w:rsidRPr="009B0844">
        <w:t>von SLP-</w:t>
      </w:r>
      <w:r w:rsidR="006B1E20" w:rsidRPr="006B1E20">
        <w:t xml:space="preserve"> </w:t>
      </w:r>
      <w:r w:rsidR="003C116E">
        <w:t>Marktlokationen</w:t>
      </w:r>
      <w:r w:rsidRPr="009B0844">
        <w:t xml:space="preserve"> im analytischen Verfahren</w:t>
      </w:r>
      <w:r>
        <w:t xml:space="preserve"> (</w:t>
      </w:r>
      <w:proofErr w:type="spellStart"/>
      <w:r>
        <w:t>SLPana</w:t>
      </w:r>
      <w:proofErr w:type="spellEnd"/>
      <w:r>
        <w:t>)</w:t>
      </w:r>
      <w:bookmarkEnd w:id="511"/>
      <w:bookmarkEnd w:id="512"/>
      <w:bookmarkEnd w:id="513"/>
    </w:p>
    <w:p w14:paraId="204776DB" w14:textId="77777777" w:rsidR="001A0915" w:rsidRDefault="001A0915" w:rsidP="003C2438">
      <w:pPr>
        <w:rPr>
          <w:i/>
        </w:rPr>
      </w:pPr>
      <w:bookmarkStart w:id="514" w:name="_Toc391540168"/>
      <w:r w:rsidRPr="004628C2">
        <w:t xml:space="preserve">Um den </w:t>
      </w:r>
      <w:r>
        <w:t>BKV</w:t>
      </w:r>
      <w:r w:rsidRPr="004628C2">
        <w:t xml:space="preserve"> am Tag D-1 die Daten zur Verfügung zu stellen wird die SLP-Menge für den Tag aufgrund der Restlastkurve des Tages D-2 ermittelt je Bilanzkreis/Sub-Bilanzkonto. Es ist zu beachten, dass immer der Datumsstempel für den Tag D verwendet wird.</w:t>
      </w:r>
      <w:r>
        <w:t xml:space="preserve"> </w:t>
      </w:r>
      <w:r w:rsidRPr="004628C2">
        <w:t>Weitere Details zu</w:t>
      </w:r>
      <w:r>
        <w:t xml:space="preserve">m Ermittlungsprozess </w:t>
      </w:r>
      <w:r w:rsidRPr="004628C2">
        <w:t>der SLP-Tagesm</w:t>
      </w:r>
      <w:r>
        <w:t>engen finden sic</w:t>
      </w:r>
      <w:r w:rsidRPr="004B6FA7">
        <w:t xml:space="preserve">h im </w:t>
      </w:r>
      <w:r>
        <w:t>„BDEW/VKU/GEODE-Leitfaden Abwicklung von Standardlastprofilen Gas“</w:t>
      </w:r>
      <w:r w:rsidRPr="004B6FA7">
        <w:rPr>
          <w:i/>
        </w:rPr>
        <w:t>.</w:t>
      </w:r>
    </w:p>
    <w:p w14:paraId="70A76907" w14:textId="77777777" w:rsidR="00A15646" w:rsidRPr="004628C2" w:rsidRDefault="00A15646" w:rsidP="003C2438">
      <w:pPr>
        <w:pStyle w:val="berschrift4"/>
        <w:spacing w:line="300" w:lineRule="atLeast"/>
        <w:ind w:left="1089" w:hanging="1049"/>
      </w:pPr>
      <w:bookmarkStart w:id="515" w:name="_Toc412661331"/>
      <w:bookmarkStart w:id="516" w:name="_Toc111118483"/>
      <w:r>
        <w:t>Täglicher Datenaustausch der SLP-Allokationsdaten</w:t>
      </w:r>
      <w:bookmarkEnd w:id="514"/>
      <w:bookmarkEnd w:id="515"/>
      <w:bookmarkEnd w:id="516"/>
    </w:p>
    <w:p w14:paraId="61751798" w14:textId="16923196" w:rsidR="001A0915" w:rsidRPr="004628C2" w:rsidRDefault="001A0915" w:rsidP="003C2438">
      <w:pPr>
        <w:rPr>
          <w:rFonts w:cs="Arial"/>
        </w:rPr>
      </w:pPr>
      <w:bookmarkStart w:id="517" w:name="_Toc391540169"/>
      <w:r>
        <w:rPr>
          <w:rFonts w:cs="Arial"/>
        </w:rPr>
        <w:t>Der NB übermittelt die SLP-</w:t>
      </w:r>
      <w:r w:rsidR="003C116E">
        <w:rPr>
          <w:rFonts w:cs="Arial"/>
        </w:rPr>
        <w:t>Allokation</w:t>
      </w:r>
      <w:r>
        <w:rPr>
          <w:rFonts w:cs="Arial"/>
        </w:rPr>
        <w:t xml:space="preserve"> entweder als Tagesmenge, als strukturierten SLP-</w:t>
      </w:r>
      <w:r w:rsidRPr="003908D5">
        <w:rPr>
          <w:rFonts w:cs="Arial"/>
        </w:rPr>
        <w:t>Stundenlastgang pro Tag oder als Tagesband</w:t>
      </w:r>
      <w:r>
        <w:rPr>
          <w:rFonts w:cs="Arial"/>
        </w:rPr>
        <w:t xml:space="preserve">. Der MGV ermittelt daraus ein Tagesband. </w:t>
      </w:r>
      <w:r w:rsidRPr="004628C2">
        <w:rPr>
          <w:rFonts w:cs="Arial"/>
        </w:rPr>
        <w:t>Folgende Schritte werden durchlaufen</w:t>
      </w:r>
      <w:r>
        <w:rPr>
          <w:rFonts w:cs="Arial"/>
        </w:rPr>
        <w:t>,</w:t>
      </w:r>
      <w:r w:rsidRPr="004628C2">
        <w:rPr>
          <w:rFonts w:cs="Arial"/>
        </w:rPr>
        <w:t xml:space="preserve"> um die allokationsrelevanten Werte zu berechnen:</w:t>
      </w:r>
    </w:p>
    <w:p w14:paraId="64170B57" w14:textId="77777777" w:rsidR="001A0915" w:rsidRPr="004628C2" w:rsidRDefault="001A0915" w:rsidP="0020289E">
      <w:pPr>
        <w:pStyle w:val="NummerierteListeohneEinzug"/>
        <w:numPr>
          <w:ilvl w:val="0"/>
          <w:numId w:val="22"/>
        </w:numPr>
      </w:pPr>
      <w:r w:rsidRPr="004628C2">
        <w:t xml:space="preserve">NB: Ermittlung der </w:t>
      </w:r>
      <w:r w:rsidRPr="00A84433">
        <w:t>Ausspeisemengen</w:t>
      </w:r>
      <w:r w:rsidRPr="004628C2">
        <w:t xml:space="preserve"> gemäß dem vom </w:t>
      </w:r>
      <w:r>
        <w:t>NB</w:t>
      </w:r>
      <w:r w:rsidR="0065115A">
        <w:t xml:space="preserve"> festgelegten SLP-Verfahren.</w:t>
      </w:r>
    </w:p>
    <w:p w14:paraId="631B02BD" w14:textId="49CC6FA5" w:rsidR="001A0915" w:rsidRDefault="001A0915" w:rsidP="0020289E">
      <w:pPr>
        <w:pStyle w:val="NummerierteListeohneEinzug"/>
        <w:numPr>
          <w:ilvl w:val="0"/>
          <w:numId w:val="22"/>
        </w:numPr>
      </w:pPr>
      <w:r w:rsidRPr="004628C2">
        <w:t xml:space="preserve">NB an </w:t>
      </w:r>
      <w:r>
        <w:t>MGV</w:t>
      </w:r>
      <w:r w:rsidRPr="004628C2">
        <w:t>: Übersendung der je BK/SBK aggregierten Tagesmenge oder Stundenzeitreihe täglich am Tag D-1</w:t>
      </w:r>
      <w:r w:rsidR="0065115A">
        <w:t>,</w:t>
      </w:r>
      <w:r w:rsidRPr="004628C2">
        <w:t xml:space="preserve"> bis </w:t>
      </w:r>
      <w:r>
        <w:t xml:space="preserve">spätestens </w:t>
      </w:r>
      <w:r w:rsidRPr="004628C2">
        <w:t>12</w:t>
      </w:r>
      <w:r>
        <w:t>:</w:t>
      </w:r>
      <w:r w:rsidRPr="004628C2">
        <w:t>00 Uhr.</w:t>
      </w:r>
    </w:p>
    <w:p w14:paraId="1E44E959" w14:textId="77777777" w:rsidR="001A0915" w:rsidRPr="004628C2" w:rsidRDefault="001A0915" w:rsidP="0020289E">
      <w:pPr>
        <w:pStyle w:val="NummerierteListeohneEinzug"/>
        <w:numPr>
          <w:ilvl w:val="0"/>
          <w:numId w:val="22"/>
        </w:numPr>
      </w:pPr>
      <w:r>
        <w:t xml:space="preserve">Optional auf Wunsch BKV: NB an BKV: </w:t>
      </w:r>
      <w:r w:rsidRPr="004628C2">
        <w:t xml:space="preserve">Übersendung der je BK/SBK aggregierten Tagesmenge oder Stundenzeitreihe täglich am Tag D-1 </w:t>
      </w:r>
      <w:r>
        <w:t>nach erfolgreichem Versand an MGV.</w:t>
      </w:r>
    </w:p>
    <w:p w14:paraId="54B8C942" w14:textId="4FA3198C" w:rsidR="001A0915" w:rsidRPr="004628C2" w:rsidRDefault="001A0915" w:rsidP="0020289E">
      <w:pPr>
        <w:pStyle w:val="NummerierteListeohneEinzug"/>
        <w:numPr>
          <w:ilvl w:val="0"/>
          <w:numId w:val="22"/>
        </w:numPr>
      </w:pPr>
      <w:r>
        <w:t>MGV</w:t>
      </w:r>
      <w:r w:rsidRPr="004628C2">
        <w:t xml:space="preserve">: </w:t>
      </w:r>
      <w:r w:rsidR="00931F8D">
        <w:t>D</w:t>
      </w:r>
      <w:r>
        <w:t>er MGV ermittelt</w:t>
      </w:r>
      <w:r w:rsidRPr="004628C2">
        <w:t xml:space="preserve"> aus den übersendeten Mengen der Zeitreihentypen </w:t>
      </w:r>
      <w:proofErr w:type="spellStart"/>
      <w:r w:rsidRPr="004628C2">
        <w:t>SLPsyn</w:t>
      </w:r>
      <w:proofErr w:type="spellEnd"/>
      <w:r w:rsidRPr="004628C2">
        <w:t xml:space="preserve"> und </w:t>
      </w:r>
      <w:proofErr w:type="spellStart"/>
      <w:r w:rsidRPr="004628C2">
        <w:t>SLPana</w:t>
      </w:r>
      <w:proofErr w:type="spellEnd"/>
      <w:r w:rsidRPr="004628C2">
        <w:t xml:space="preserve"> je Zeitreihentyp </w:t>
      </w:r>
      <w:r>
        <w:t xml:space="preserve">und je NB </w:t>
      </w:r>
      <w:r w:rsidRPr="004628C2">
        <w:t>eine Tagesmenge je BK/SBK.</w:t>
      </w:r>
    </w:p>
    <w:p w14:paraId="500DBF38" w14:textId="42E3E163" w:rsidR="00DD4EB5" w:rsidRDefault="001A0915" w:rsidP="0020289E">
      <w:pPr>
        <w:pStyle w:val="NummerierteListeohneEinzug"/>
        <w:numPr>
          <w:ilvl w:val="0"/>
          <w:numId w:val="22"/>
        </w:numPr>
      </w:pPr>
      <w:r>
        <w:lastRenderedPageBreak/>
        <w:t>MGV</w:t>
      </w:r>
      <w:r w:rsidRPr="004628C2">
        <w:t xml:space="preserve">: </w:t>
      </w:r>
      <w:r w:rsidRPr="009D1458">
        <w:t xml:space="preserve">Die Tagesmenge wird gleichmäßig und ganzzahlig (kaufmännisch gerundet) als Tagesband auf die Stunden des </w:t>
      </w:r>
      <w:proofErr w:type="spellStart"/>
      <w:r w:rsidRPr="009D1458">
        <w:t>Gastages</w:t>
      </w:r>
      <w:proofErr w:type="spellEnd"/>
      <w:r w:rsidRPr="009D1458">
        <w:t xml:space="preserve"> aufgeteilt. An den Tagen der Sommer-/Winter</w:t>
      </w:r>
      <w:r w:rsidR="007741ED">
        <w:t>-</w:t>
      </w:r>
      <w:proofErr w:type="spellStart"/>
      <w:r w:rsidRPr="009D1458">
        <w:t>zeitumstellung</w:t>
      </w:r>
      <w:proofErr w:type="spellEnd"/>
      <w:r w:rsidRPr="009D1458">
        <w:t xml:space="preserve"> wird durch 23 bzw. 25 Stunden dividiert. Durch diese Berechnung können Rundungsdifferenzen zwischen den Stundenmengen des </w:t>
      </w:r>
      <w:r>
        <w:t>NB</w:t>
      </w:r>
      <w:r w:rsidRPr="009D1458">
        <w:t xml:space="preserve"> und den bilanzierungsrelevanten Allokationsdaten beim MGV entstehen</w:t>
      </w:r>
      <w:r>
        <w:t>, die akzeptiert werden</w:t>
      </w:r>
      <w:r w:rsidRPr="009D1458">
        <w:t>. Bei sehr geringen Stundenmengen (z.</w:t>
      </w:r>
      <w:r w:rsidR="00C22517">
        <w:t> </w:t>
      </w:r>
      <w:r w:rsidRPr="009D1458">
        <w:t>B. bei der Anwendung von Kochgasprofilen) sind im Zuge der Rundung auch Null-Allokationen möglich.</w:t>
      </w:r>
    </w:p>
    <w:p w14:paraId="3A6DA3CE" w14:textId="77777777" w:rsidR="001A0915" w:rsidRPr="004628C2" w:rsidRDefault="001A0915" w:rsidP="0020289E">
      <w:pPr>
        <w:pStyle w:val="NummerierteListeohneEinzug"/>
        <w:numPr>
          <w:ilvl w:val="0"/>
          <w:numId w:val="22"/>
        </w:numPr>
      </w:pPr>
      <w:r>
        <w:t>MGV</w:t>
      </w:r>
      <w:r w:rsidRPr="004628C2">
        <w:t>: Allokation des Tagesbandes in den Bilanzkreis</w:t>
      </w:r>
      <w:r w:rsidR="0065115A">
        <w:t>.</w:t>
      </w:r>
    </w:p>
    <w:p w14:paraId="1B31F539" w14:textId="77777777" w:rsidR="001A0915" w:rsidRPr="004628C2" w:rsidRDefault="001A0915" w:rsidP="0020289E">
      <w:pPr>
        <w:pStyle w:val="NummerierteListeohneEinzug"/>
        <w:numPr>
          <w:ilvl w:val="0"/>
          <w:numId w:val="22"/>
        </w:numPr>
      </w:pPr>
      <w:r>
        <w:t>MGV</w:t>
      </w:r>
      <w:r w:rsidRPr="004628C2">
        <w:t xml:space="preserve"> an BKV: Übersendung der Tagesbänder je BK/SBK</w:t>
      </w:r>
      <w:r>
        <w:t xml:space="preserve"> je Zeitreihentyp</w:t>
      </w:r>
      <w:r w:rsidRPr="004628C2">
        <w:t xml:space="preserve"> </w:t>
      </w:r>
      <w:r>
        <w:t xml:space="preserve">und je NB </w:t>
      </w:r>
      <w:r w:rsidRPr="004628C2">
        <w:t>am Tag D-1</w:t>
      </w:r>
      <w:r w:rsidR="0065115A">
        <w:t>,</w:t>
      </w:r>
      <w:r w:rsidRPr="004628C2">
        <w:t xml:space="preserve"> bis </w:t>
      </w:r>
      <w:r>
        <w:t xml:space="preserve">spätestens </w:t>
      </w:r>
      <w:r w:rsidRPr="004628C2">
        <w:t>13</w:t>
      </w:r>
      <w:r>
        <w:t>:</w:t>
      </w:r>
      <w:r w:rsidRPr="004628C2">
        <w:t>00 Uhr</w:t>
      </w:r>
      <w:r w:rsidR="0065115A">
        <w:t>.</w:t>
      </w:r>
    </w:p>
    <w:p w14:paraId="669947F3" w14:textId="77777777" w:rsidR="001A0915" w:rsidRDefault="001A0915" w:rsidP="003C2438">
      <w:pPr>
        <w:spacing w:before="120"/>
        <w:rPr>
          <w:rFonts w:cs="Arial"/>
        </w:rPr>
      </w:pPr>
      <w:r w:rsidRPr="004628C2">
        <w:rPr>
          <w:rFonts w:cs="Arial"/>
        </w:rPr>
        <w:t xml:space="preserve">Dieses Tagesband dient dem </w:t>
      </w:r>
      <w:r>
        <w:rPr>
          <w:rFonts w:cs="Arial"/>
        </w:rPr>
        <w:t>BKV</w:t>
      </w:r>
      <w:r w:rsidRPr="004628C2">
        <w:rPr>
          <w:rFonts w:cs="Arial"/>
        </w:rPr>
        <w:t xml:space="preserve"> für die Erstellung seiner stundenscharfen Nominierung der Einspeisung. Sofern der </w:t>
      </w:r>
      <w:r>
        <w:rPr>
          <w:rFonts w:cs="Arial"/>
        </w:rPr>
        <w:t>BKV</w:t>
      </w:r>
      <w:r w:rsidRPr="004628C2">
        <w:rPr>
          <w:rFonts w:cs="Arial"/>
        </w:rPr>
        <w:t xml:space="preserve"> genau dieses Tage</w:t>
      </w:r>
      <w:r>
        <w:rPr>
          <w:rFonts w:cs="Arial"/>
        </w:rPr>
        <w:t>s</w:t>
      </w:r>
      <w:r w:rsidRPr="004628C2">
        <w:rPr>
          <w:rFonts w:cs="Arial"/>
        </w:rPr>
        <w:t xml:space="preserve">band </w:t>
      </w:r>
      <w:r>
        <w:rPr>
          <w:rFonts w:cs="Arial"/>
        </w:rPr>
        <w:t>in seinen Bilanzkreis einspeist</w:t>
      </w:r>
      <w:r w:rsidRPr="004628C2">
        <w:rPr>
          <w:rFonts w:cs="Arial"/>
        </w:rPr>
        <w:t xml:space="preserve">, fallen weder Ausgleichsenergiekosten noch </w:t>
      </w:r>
      <w:r w:rsidR="00F735AC">
        <w:rPr>
          <w:rFonts w:cs="Arial"/>
        </w:rPr>
        <w:t>Flexibilitätskostenbeiträge</w:t>
      </w:r>
      <w:r w:rsidR="00F735AC" w:rsidRPr="004628C2">
        <w:rPr>
          <w:rFonts w:cs="Arial"/>
        </w:rPr>
        <w:t xml:space="preserve"> </w:t>
      </w:r>
      <w:r w:rsidRPr="004628C2">
        <w:rPr>
          <w:rFonts w:cs="Arial"/>
        </w:rPr>
        <w:t>an.</w:t>
      </w:r>
    </w:p>
    <w:p w14:paraId="216A109E" w14:textId="77777777" w:rsidR="00A15646" w:rsidRPr="005B02CE" w:rsidRDefault="00A15646" w:rsidP="004D75C1">
      <w:pPr>
        <w:pStyle w:val="berschrift4"/>
        <w:spacing w:line="300" w:lineRule="atLeast"/>
        <w:ind w:left="1134" w:hanging="1094"/>
      </w:pPr>
      <w:bookmarkStart w:id="518" w:name="_Ref412102275"/>
      <w:bookmarkStart w:id="519" w:name="_Toc412661332"/>
      <w:bookmarkStart w:id="520" w:name="_Toc111118484"/>
      <w:r>
        <w:t>SLP-</w:t>
      </w:r>
      <w:r w:rsidRPr="005B02CE">
        <w:t>Ersatzwertbildung durch den MGV</w:t>
      </w:r>
      <w:bookmarkEnd w:id="517"/>
      <w:bookmarkEnd w:id="518"/>
      <w:bookmarkEnd w:id="519"/>
      <w:bookmarkEnd w:id="520"/>
    </w:p>
    <w:p w14:paraId="7D0C40FB" w14:textId="3FD38CF8" w:rsidR="001A0915" w:rsidRDefault="00A20819" w:rsidP="003C2438">
      <w:r>
        <w:t>Der MGV ist gemäß</w:t>
      </w:r>
      <w:r w:rsidR="001A0915">
        <w:t xml:space="preserve"> </w:t>
      </w:r>
      <w:proofErr w:type="spellStart"/>
      <w:r>
        <w:t>KoV</w:t>
      </w:r>
      <w:proofErr w:type="spellEnd"/>
      <w:r>
        <w:t xml:space="preserve"> </w:t>
      </w:r>
      <w:r w:rsidDel="00815124">
        <w:t>§</w:t>
      </w:r>
      <w:r w:rsidR="00815124">
        <w:t> </w:t>
      </w:r>
      <w:r>
        <w:t>46 Ziffer 5</w:t>
      </w:r>
      <w:r w:rsidR="0039013B">
        <w:t xml:space="preserve"> Abs. 5</w:t>
      </w:r>
      <w:r>
        <w:t xml:space="preserve"> </w:t>
      </w:r>
      <w:r w:rsidR="001A0915">
        <w:t xml:space="preserve">verpflichtet, bei fehlenden Allokationsdaten eine Ersatz-Allokation für </w:t>
      </w:r>
      <w:r w:rsidR="000D12AB">
        <w:t xml:space="preserve">ausspeisende </w:t>
      </w:r>
      <w:r w:rsidR="001A0915">
        <w:t>SLP-</w:t>
      </w:r>
      <w:r w:rsidR="006B1E20" w:rsidRPr="006B1E20">
        <w:t xml:space="preserve"> </w:t>
      </w:r>
      <w:r w:rsidR="003C116E">
        <w:t>Marktlokationen</w:t>
      </w:r>
      <w:r w:rsidR="006B1E20">
        <w:t xml:space="preserve"> </w:t>
      </w:r>
      <w:r w:rsidR="001A0915">
        <w:t xml:space="preserve">vorzunehmen. Dieser Fall tritt ein, sofern der MGV bis 12:00 Uhr keine oder </w:t>
      </w:r>
      <w:r w:rsidR="003C116E">
        <w:t xml:space="preserve">eine </w:t>
      </w:r>
      <w:r w:rsidR="001A0915">
        <w:t>unvollständige SLP-Allokation vom NB erhalten hat. In beiden Fällen bildet der MGV für alle Stunden des Tages D Ersatzwerte.</w:t>
      </w:r>
    </w:p>
    <w:p w14:paraId="5A25D73E" w14:textId="77777777" w:rsidR="001F0CD8" w:rsidRDefault="001F0CD8" w:rsidP="003C2438">
      <w:r w:rsidRPr="001F0CD8">
        <w:t xml:space="preserve">Im Rahmen der Ersatzwertbildung ist der Vortageswert durch die Anzahl der Stundenwerte des jeweiligen Vortages zu dividieren und mit der Anzahl an Stundenwerten des relevanten </w:t>
      </w:r>
      <w:proofErr w:type="spellStart"/>
      <w:r w:rsidRPr="001F0CD8">
        <w:t>Gastages</w:t>
      </w:r>
      <w:proofErr w:type="spellEnd"/>
      <w:r w:rsidRPr="001F0CD8">
        <w:t xml:space="preserve"> für den der Ersatzwert gebildet werden soll zu multiplizieren. Durch dieses Vorgehen werden abweichende Stundenanzahlen bei Sommer-/Winterzeitumstellungen berücksichtigt.</w:t>
      </w:r>
    </w:p>
    <w:p w14:paraId="78BF3B50" w14:textId="76FD59A6" w:rsidR="001A0915" w:rsidRPr="006C7938" w:rsidRDefault="001A0915" w:rsidP="00D53FAF">
      <w:r>
        <w:t xml:space="preserve">Der MGV </w:t>
      </w:r>
      <w:r w:rsidR="006A752C">
        <w:t>bietet an</w:t>
      </w:r>
      <w:r>
        <w:t>, dass der NB über den Tag D hinaus zusätzlich für D+1 und D+2 auf der Basis einer mehrtägigen Temperaturprognose prognostizierte Allokationswerte bilden und an den MGV versenden kann („3-Tages-Vorausallokation“). Diese zusätzlich prognostizierten Allokationswerte können nur im Rahmen einer möglichen Ersatzwertallokation durch den MGV vorrangig Anwendung finden. Die Ermittlung und Versendung zusätzlich prognostizierter Allokationswerte entbindet den ANB nicht von der Pflicht zur täglichen Ermittlung und Versendung der Allokationsdaten. Bei einem Versand von mehreren Tagen versendet der NB für jeden Tag eine getrennte ALOCAT.</w:t>
      </w:r>
      <w:r w:rsidR="00D53FAF" w:rsidRPr="00D53FAF">
        <w:t xml:space="preserve"> </w:t>
      </w:r>
      <w:r w:rsidR="00D53FAF" w:rsidRPr="006C7938">
        <w:t>Sollte der NB von der „3-Tages-Vorausallokation“ Gebrauch machen und seiner Pflicht zur täglichen Ermittlung und Versendung der Allokationsdaten anschließend nicht nachkommen, so werden diese Allokationen</w:t>
      </w:r>
      <w:r w:rsidR="00FC090B" w:rsidRPr="006C7938">
        <w:t xml:space="preserve"> durch den MGV</w:t>
      </w:r>
      <w:r w:rsidR="00D53FAF" w:rsidRPr="006C7938">
        <w:t xml:space="preserve"> als Ersatzwert gekennzeichnet.</w:t>
      </w:r>
    </w:p>
    <w:p w14:paraId="5B536B70" w14:textId="2F909FC7" w:rsidR="001A0915" w:rsidRDefault="008F0645" w:rsidP="003C2438">
      <w:r>
        <w:t xml:space="preserve">Die Ersatzwerte werden vom </w:t>
      </w:r>
      <w:r w:rsidR="001A0915">
        <w:t>MGV in folgender Reihenfolge gebildet:</w:t>
      </w:r>
    </w:p>
    <w:p w14:paraId="2A4D9FCD" w14:textId="77777777" w:rsidR="006E3950" w:rsidRDefault="001A0915" w:rsidP="007F76BC">
      <w:pPr>
        <w:pStyle w:val="Listenabsatz"/>
        <w:numPr>
          <w:ilvl w:val="0"/>
          <w:numId w:val="46"/>
        </w:numPr>
        <w:ind w:left="357" w:hanging="357"/>
        <w:contextualSpacing w:val="0"/>
      </w:pPr>
      <w:r>
        <w:t xml:space="preserve">Der Allokationswert aus einer vom NB gelieferten „3-Tages-Vorausallokation“ (sofern der NB von der Möglichkeit Gebrauch macht, dem MGV auf der Basis einer mehrtägigen </w:t>
      </w:r>
      <w:r>
        <w:lastRenderedPageBreak/>
        <w:t>Temperaturprognose bereits mehrtägige prognostizierte Allokationswerte zu übersen</w:t>
      </w:r>
      <w:r w:rsidR="0065115A">
        <w:t>den);</w:t>
      </w:r>
    </w:p>
    <w:p w14:paraId="7EF83577" w14:textId="77777777" w:rsidR="006E3950" w:rsidRDefault="001A0915" w:rsidP="007F76BC">
      <w:pPr>
        <w:pStyle w:val="Listenabsatz"/>
        <w:numPr>
          <w:ilvl w:val="0"/>
          <w:numId w:val="46"/>
        </w:numPr>
        <w:ind w:left="357" w:hanging="357"/>
        <w:contextualSpacing w:val="0"/>
      </w:pPr>
      <w:r>
        <w:t>Falls ein Wert aus „3-Tages-Vorausallokation“ n</w:t>
      </w:r>
      <w:r w:rsidR="0065115A">
        <w:t>icht vorliegt, der Vortageswert;</w:t>
      </w:r>
    </w:p>
    <w:p w14:paraId="132806B3" w14:textId="5A4E6EE8" w:rsidR="006E3950" w:rsidRDefault="001A0915" w:rsidP="007F76BC">
      <w:pPr>
        <w:pStyle w:val="Listenabsatz"/>
        <w:numPr>
          <w:ilvl w:val="0"/>
          <w:numId w:val="46"/>
        </w:numPr>
        <w:ind w:left="357" w:hanging="357"/>
        <w:contextualSpacing w:val="0"/>
      </w:pPr>
      <w:r>
        <w:t>Liegt kein Vortageswert vor, wird der stündliche Ersatzwert 0 kWh gebildet.</w:t>
      </w:r>
    </w:p>
    <w:p w14:paraId="0195CD3C" w14:textId="6F00AAE5" w:rsidR="006413F3" w:rsidRDefault="001A0915" w:rsidP="003C2438">
      <w:r>
        <w:t>Ersatzwerte, die ggf. gebildet werden, werden vom MGV bis 13:00 Uhr dem BKV zur Verfügung gestellt. Der MGV übersendet die von ihm auf die jeweiligen BK/SBK allokierten Ersatzwerte je Stunde am Tag D-1 ebenfalls an den NB. Diese Allokation verwendet der NB zur Durchführung seiner Mehr-/Mindermengenabrechnung und zur Kontrolle seines Netzkontostandes.</w:t>
      </w:r>
    </w:p>
    <w:p w14:paraId="6AEF1FDB" w14:textId="77777777" w:rsidR="00EE365C" w:rsidRDefault="00EE365C" w:rsidP="004D75C1">
      <w:pPr>
        <w:pStyle w:val="berschrift4"/>
        <w:tabs>
          <w:tab w:val="clear" w:pos="1844"/>
        </w:tabs>
        <w:spacing w:line="300" w:lineRule="atLeast"/>
        <w:ind w:left="1134" w:hanging="1094"/>
      </w:pPr>
      <w:bookmarkStart w:id="521" w:name="_Toc111118485"/>
      <w:r>
        <w:t>Versand von anwendungsspezifischen SLP Parameter</w:t>
      </w:r>
      <w:r w:rsidR="00695AFF">
        <w:t>n</w:t>
      </w:r>
      <w:bookmarkEnd w:id="521"/>
    </w:p>
    <w:p w14:paraId="72A60314" w14:textId="70651CA1" w:rsidR="00695AFF" w:rsidRDefault="0028291F" w:rsidP="003C2438">
      <w:r>
        <w:t xml:space="preserve">Wendet ein </w:t>
      </w:r>
      <w:r w:rsidR="00922E3E">
        <w:t>NB</w:t>
      </w:r>
      <w:r>
        <w:t xml:space="preserve"> </w:t>
      </w:r>
      <w:r w:rsidRPr="00B54CE8">
        <w:t>anwendungsspezifische</w:t>
      </w:r>
      <w:r>
        <w:t xml:space="preserve"> Parameter</w:t>
      </w:r>
      <w:r w:rsidR="00695AFF">
        <w:t xml:space="preserve"> an, werden diese dem </w:t>
      </w:r>
      <w:r w:rsidR="003C116E">
        <w:t>LF</w:t>
      </w:r>
      <w:r w:rsidR="00695AFF">
        <w:t xml:space="preserve"> täglich D-1 </w:t>
      </w:r>
      <w:r w:rsidR="005F3C15">
        <w:t xml:space="preserve">bis </w:t>
      </w:r>
      <w:r w:rsidR="003559E4">
        <w:t xml:space="preserve">spätestens </w:t>
      </w:r>
      <w:r w:rsidR="005F3C15">
        <w:t>1</w:t>
      </w:r>
      <w:r w:rsidR="003559E4">
        <w:t>2</w:t>
      </w:r>
      <w:r w:rsidR="005F3C15">
        <w:t xml:space="preserve">:00 Uhr </w:t>
      </w:r>
      <w:r w:rsidR="00695AFF">
        <w:t>elektronisch übermittelt. Die anwendungsspezifischen Parameter sind im</w:t>
      </w:r>
      <w:r w:rsidR="00FF3030">
        <w:t xml:space="preserve"> </w:t>
      </w:r>
      <w:r w:rsidR="00FF3030" w:rsidRPr="00FF3030">
        <w:t>BDEW/VKU/GEODE-Leitfaden</w:t>
      </w:r>
      <w:r w:rsidR="00FF3030">
        <w:t xml:space="preserve"> </w:t>
      </w:r>
      <w:r w:rsidR="00922E3E">
        <w:t>„</w:t>
      </w:r>
      <w:r w:rsidR="00FF3030">
        <w:t>Abwicklung von Standardlastprofilen Gas</w:t>
      </w:r>
      <w:r w:rsidR="00922E3E">
        <w:t>“</w:t>
      </w:r>
      <w:r w:rsidR="00695AFF">
        <w:t xml:space="preserve"> definiert.</w:t>
      </w:r>
    </w:p>
    <w:p w14:paraId="65D0F8A5" w14:textId="77777777" w:rsidR="0028291F" w:rsidRPr="007E4BA5" w:rsidRDefault="0028291F" w:rsidP="003C2438">
      <w:pPr>
        <w:rPr>
          <w:rFonts w:cs="Arial"/>
        </w:rPr>
      </w:pPr>
      <w:r>
        <w:t xml:space="preserve">Die Übermittlung muss auch dann erfolgen, wenn an einzelnen Tagen keine </w:t>
      </w:r>
      <w:r w:rsidRPr="00B54CE8">
        <w:t>anwendungsspezifische</w:t>
      </w:r>
      <w:r>
        <w:t xml:space="preserve">n Parameter verwendet wurden. </w:t>
      </w:r>
      <w:r w:rsidR="00695AFF">
        <w:t>Die Meldung erfolgt nicht auf Zählpunkt</w:t>
      </w:r>
      <w:r>
        <w:t>ebene.</w:t>
      </w:r>
    </w:p>
    <w:p w14:paraId="1CDFBED1" w14:textId="77777777" w:rsidR="00695AFF" w:rsidRDefault="0028291F" w:rsidP="003C2438">
      <w:r w:rsidRPr="00B42F65">
        <w:t xml:space="preserve">Der </w:t>
      </w:r>
      <w:r w:rsidR="00922E3E">
        <w:rPr>
          <w:rFonts w:cs="Arial"/>
        </w:rPr>
        <w:t>NB</w:t>
      </w:r>
      <w:r w:rsidRPr="00B42F65">
        <w:t xml:space="preserve"> übermittelt </w:t>
      </w:r>
      <w:r>
        <w:t xml:space="preserve">einen oder mehrere Parameter </w:t>
      </w:r>
      <w:r w:rsidRPr="00B42F65">
        <w:t xml:space="preserve">entweder </w:t>
      </w:r>
      <w:r>
        <w:t>als Tages</w:t>
      </w:r>
      <w:r w:rsidR="00695AFF">
        <w:t>summe</w:t>
      </w:r>
      <w:r>
        <w:t xml:space="preserve"> oder</w:t>
      </w:r>
      <w:r w:rsidRPr="000B6BC5">
        <w:t xml:space="preserve"> </w:t>
      </w:r>
      <w:r w:rsidR="00695AFF">
        <w:t>als</w:t>
      </w:r>
      <w:r w:rsidRPr="000B6BC5">
        <w:t xml:space="preserve"> Stundenwerte</w:t>
      </w:r>
      <w:r w:rsidR="00F92192" w:rsidRPr="00F92192">
        <w:t xml:space="preserve"> </w:t>
      </w:r>
      <w:r w:rsidR="00F92192">
        <w:t>im Format SLPASP</w:t>
      </w:r>
      <w:r w:rsidRPr="000B6BC5">
        <w:t>.</w:t>
      </w:r>
    </w:p>
    <w:p w14:paraId="4EA8087B" w14:textId="720838E8" w:rsidR="0028291F" w:rsidRDefault="00D267A4" w:rsidP="003C2438">
      <w:r>
        <w:t xml:space="preserve">Die </w:t>
      </w:r>
      <w:r w:rsidR="0028291F">
        <w:t xml:space="preserve">BKV können die Weiterleitung der Parameter mit den </w:t>
      </w:r>
      <w:r w:rsidR="003C116E">
        <w:t>LF</w:t>
      </w:r>
      <w:r w:rsidR="0028291F">
        <w:t xml:space="preserve"> bilateral vereinbaren.</w:t>
      </w:r>
    </w:p>
    <w:p w14:paraId="1F5A2523" w14:textId="544D975C" w:rsidR="0060191C" w:rsidRPr="00C70335" w:rsidRDefault="003B6E69" w:rsidP="004D75C1">
      <w:pPr>
        <w:pStyle w:val="berschrift3"/>
        <w:spacing w:before="480"/>
        <w:ind w:left="1066" w:hanging="1026"/>
      </w:pPr>
      <w:bookmarkStart w:id="522" w:name="_Toc391540170"/>
      <w:bookmarkStart w:id="523" w:name="_Ref428796613"/>
      <w:bookmarkStart w:id="524" w:name="_Toc412661333"/>
      <w:bookmarkStart w:id="525" w:name="_Toc111118486"/>
      <w:r>
        <w:t xml:space="preserve">Allokation von </w:t>
      </w:r>
      <w:r w:rsidR="003C116E">
        <w:t xml:space="preserve">ausspeisenden </w:t>
      </w:r>
      <w:r>
        <w:t>RLM-</w:t>
      </w:r>
      <w:bookmarkEnd w:id="522"/>
      <w:bookmarkEnd w:id="523"/>
      <w:bookmarkEnd w:id="524"/>
      <w:r w:rsidR="003C116E">
        <w:t>Marktlokationen</w:t>
      </w:r>
      <w:bookmarkEnd w:id="525"/>
    </w:p>
    <w:p w14:paraId="604F6A02" w14:textId="7A71316C" w:rsidR="0060191C" w:rsidRDefault="00340283" w:rsidP="003C2438">
      <w:pPr>
        <w:rPr>
          <w:rFonts w:cs="Arial"/>
        </w:rPr>
      </w:pPr>
      <w:r>
        <w:rPr>
          <w:rFonts w:cs="Arial"/>
        </w:rPr>
        <w:t>Die Allokation von RLM-</w:t>
      </w:r>
      <w:r w:rsidR="006B1E20">
        <w:rPr>
          <w:rFonts w:cs="Arial"/>
        </w:rPr>
        <w:t xml:space="preserve">Ausspeisepunkten </w:t>
      </w:r>
      <w:r>
        <w:rPr>
          <w:rFonts w:cs="Arial"/>
        </w:rPr>
        <w:t xml:space="preserve">erfolgt im Format ALOCAT. </w:t>
      </w:r>
      <w:r w:rsidR="0060191C" w:rsidRPr="004628C2">
        <w:rPr>
          <w:rFonts w:cs="Arial"/>
        </w:rPr>
        <w:t xml:space="preserve">Der </w:t>
      </w:r>
      <w:r w:rsidR="0060191C">
        <w:rPr>
          <w:rFonts w:cs="Arial"/>
        </w:rPr>
        <w:t>NB</w:t>
      </w:r>
      <w:r w:rsidR="0060191C" w:rsidRPr="004628C2">
        <w:rPr>
          <w:rFonts w:cs="Arial"/>
        </w:rPr>
        <w:t xml:space="preserve"> aggregiert alle gemessenen RLM-Stunden</w:t>
      </w:r>
      <w:r>
        <w:rPr>
          <w:rFonts w:cs="Arial"/>
        </w:rPr>
        <w:t>lastgänge</w:t>
      </w:r>
      <w:r w:rsidR="0060191C" w:rsidRPr="004628C2">
        <w:rPr>
          <w:rFonts w:cs="Arial"/>
        </w:rPr>
        <w:t xml:space="preserve"> des Liefertages D getrennt je Zeitreihentyp und je BK/SBK zu einer stündlichen Summenzeitreihe und übersendet diese an den </w:t>
      </w:r>
      <w:r w:rsidR="0060191C">
        <w:rPr>
          <w:rFonts w:cs="Arial"/>
        </w:rPr>
        <w:t>MGV</w:t>
      </w:r>
      <w:r>
        <w:rPr>
          <w:rFonts w:cs="Arial"/>
        </w:rPr>
        <w:t>.</w:t>
      </w:r>
      <w:r w:rsidR="0060191C">
        <w:rPr>
          <w:rFonts w:cs="Arial"/>
        </w:rPr>
        <w:t xml:space="preserve"> </w:t>
      </w:r>
      <w:r w:rsidR="0060191C" w:rsidRPr="004628C2">
        <w:rPr>
          <w:rFonts w:cs="Arial"/>
        </w:rPr>
        <w:t xml:space="preserve">Der </w:t>
      </w:r>
      <w:r w:rsidR="0060191C">
        <w:rPr>
          <w:rFonts w:cs="Arial"/>
        </w:rPr>
        <w:t>MGV</w:t>
      </w:r>
      <w:r w:rsidR="0060191C" w:rsidRPr="004628C2">
        <w:rPr>
          <w:rFonts w:cs="Arial"/>
        </w:rPr>
        <w:t xml:space="preserve"> </w:t>
      </w:r>
      <w:r w:rsidR="0060191C">
        <w:rPr>
          <w:rFonts w:cs="Arial"/>
        </w:rPr>
        <w:t>übersendet</w:t>
      </w:r>
      <w:r w:rsidR="0060191C" w:rsidRPr="004628C2">
        <w:rPr>
          <w:rFonts w:cs="Arial"/>
        </w:rPr>
        <w:t xml:space="preserve"> die gemessenen </w:t>
      </w:r>
      <w:r>
        <w:rPr>
          <w:rFonts w:cs="Arial"/>
        </w:rPr>
        <w:t>RLM-Stundenl</w:t>
      </w:r>
      <w:r w:rsidR="0060191C" w:rsidRPr="004628C2">
        <w:rPr>
          <w:rFonts w:cs="Arial"/>
        </w:rPr>
        <w:t>astgänge getrennt je Zeitreihentyp</w:t>
      </w:r>
      <w:r>
        <w:rPr>
          <w:rFonts w:cs="Arial"/>
        </w:rPr>
        <w:t>,</w:t>
      </w:r>
      <w:r w:rsidR="0060191C" w:rsidRPr="004628C2">
        <w:rPr>
          <w:rFonts w:cs="Arial"/>
        </w:rPr>
        <w:t xml:space="preserve"> je BK/SBK </w:t>
      </w:r>
      <w:r w:rsidR="0060191C">
        <w:rPr>
          <w:rFonts w:cs="Arial"/>
        </w:rPr>
        <w:t xml:space="preserve">und je NB </w:t>
      </w:r>
      <w:r w:rsidR="0060191C" w:rsidRPr="004628C2">
        <w:rPr>
          <w:rFonts w:cs="Arial"/>
        </w:rPr>
        <w:t xml:space="preserve">an den </w:t>
      </w:r>
      <w:r w:rsidR="0060191C">
        <w:rPr>
          <w:rFonts w:cs="Arial"/>
        </w:rPr>
        <w:t>BKV</w:t>
      </w:r>
      <w:r w:rsidR="0060191C" w:rsidRPr="00EE402E">
        <w:rPr>
          <w:rFonts w:cs="Arial"/>
        </w:rPr>
        <w:t>.</w:t>
      </w:r>
    </w:p>
    <w:p w14:paraId="61A2B4B4" w14:textId="77777777" w:rsidR="000321C4" w:rsidRDefault="0027331B" w:rsidP="003C2438">
      <w:r>
        <w:t xml:space="preserve">Zusätzlich errechnet der MGV aus den übersendeten gemessenen </w:t>
      </w:r>
      <w:r w:rsidR="00340283">
        <w:t>RLM-Stundenl</w:t>
      </w:r>
      <w:r>
        <w:t xml:space="preserve">astgängen des ZRT </w:t>
      </w:r>
      <w:proofErr w:type="spellStart"/>
      <w:r>
        <w:t>RLMmT</w:t>
      </w:r>
      <w:proofErr w:type="spellEnd"/>
      <w:r>
        <w:t xml:space="preserve"> den Tageswert und verteilt diesen </w:t>
      </w:r>
      <w:r w:rsidRPr="00556D55">
        <w:t xml:space="preserve">gleichmäßig und ganzzahlig (kaufmännisch gerundet) auf die Stunden des </w:t>
      </w:r>
      <w:proofErr w:type="spellStart"/>
      <w:r w:rsidRPr="00556D55">
        <w:t>Gastages</w:t>
      </w:r>
      <w:proofErr w:type="spellEnd"/>
      <w:r w:rsidRPr="00556D55">
        <w:t xml:space="preserve"> (Tagesband). Durch diese Berechnung können Rundungsdifferenzen zwischen den Lastgangdaten des </w:t>
      </w:r>
      <w:r w:rsidR="0071541D">
        <w:t>NB</w:t>
      </w:r>
      <w:r w:rsidR="0071541D" w:rsidRPr="00556D55">
        <w:t xml:space="preserve"> </w:t>
      </w:r>
      <w:r w:rsidRPr="00556D55">
        <w:t>und den bilanzierungsrelevanten Allokationsdaten beim MGV entstehen</w:t>
      </w:r>
      <w:r w:rsidR="00F96051">
        <w:t>, die akzeptiert werden</w:t>
      </w:r>
      <w:r w:rsidRPr="00556D55">
        <w:t>.</w:t>
      </w:r>
    </w:p>
    <w:p w14:paraId="39FB3F66" w14:textId="3A20FDAE" w:rsidR="00F012C4" w:rsidRPr="00D5153E" w:rsidRDefault="00892932" w:rsidP="003C2438">
      <w:pPr>
        <w:rPr>
          <w:u w:val="single"/>
        </w:rPr>
      </w:pPr>
      <w:r>
        <w:rPr>
          <w:u w:val="single"/>
        </w:rPr>
        <w:t>Der Gesamtprozess der</w:t>
      </w:r>
      <w:r w:rsidR="00340283">
        <w:rPr>
          <w:u w:val="single"/>
        </w:rPr>
        <w:t xml:space="preserve"> Allokation der Zeitreihentypen </w:t>
      </w:r>
      <w:proofErr w:type="spellStart"/>
      <w:r w:rsidR="00340283">
        <w:rPr>
          <w:u w:val="single"/>
        </w:rPr>
        <w:t>RLMmT</w:t>
      </w:r>
      <w:proofErr w:type="spellEnd"/>
      <w:r w:rsidR="000E0F53">
        <w:rPr>
          <w:u w:val="single"/>
        </w:rPr>
        <w:t xml:space="preserve"> und </w:t>
      </w:r>
      <w:proofErr w:type="spellStart"/>
      <w:r w:rsidR="00340283">
        <w:rPr>
          <w:u w:val="single"/>
        </w:rPr>
        <w:t>RLMoT</w:t>
      </w:r>
      <w:proofErr w:type="spellEnd"/>
      <w:r w:rsidR="00793BB6">
        <w:rPr>
          <w:u w:val="single"/>
        </w:rPr>
        <w:t xml:space="preserve"> </w:t>
      </w:r>
      <w:r w:rsidR="00340283">
        <w:rPr>
          <w:u w:val="single"/>
        </w:rPr>
        <w:t>erfolgt im Detail wie folgt (siehe auch Leitfaden Bilanzkreismanagement Teil 2</w:t>
      </w:r>
      <w:r w:rsidR="00703F12">
        <w:rPr>
          <w:u w:val="single"/>
        </w:rPr>
        <w:t>,</w:t>
      </w:r>
      <w:r w:rsidR="00340283">
        <w:rPr>
          <w:u w:val="single"/>
        </w:rPr>
        <w:t xml:space="preserve"> </w:t>
      </w:r>
      <w:r w:rsidR="004B77C7">
        <w:rPr>
          <w:u w:val="single"/>
        </w:rPr>
        <w:t>Kap.</w:t>
      </w:r>
      <w:r w:rsidR="00AF5747">
        <w:rPr>
          <w:u w:val="single"/>
        </w:rPr>
        <w:t xml:space="preserve"> </w:t>
      </w:r>
      <w:r w:rsidR="00F92192">
        <w:rPr>
          <w:u w:val="single"/>
        </w:rPr>
        <w:t>6.4.3</w:t>
      </w:r>
      <w:r>
        <w:rPr>
          <w:u w:val="single"/>
        </w:rPr>
        <w:t>)</w:t>
      </w:r>
      <w:r w:rsidR="00F012C4" w:rsidRPr="00D5153E">
        <w:rPr>
          <w:u w:val="single"/>
        </w:rPr>
        <w:t>:</w:t>
      </w:r>
    </w:p>
    <w:p w14:paraId="76BBF602" w14:textId="77777777" w:rsidR="00E157A6" w:rsidRDefault="00E157A6" w:rsidP="00FF7A06">
      <w:pPr>
        <w:pStyle w:val="Listenabsatz"/>
        <w:numPr>
          <w:ilvl w:val="0"/>
          <w:numId w:val="20"/>
        </w:numPr>
        <w:contextualSpacing w:val="0"/>
        <w:rPr>
          <w:rFonts w:cs="Arial"/>
        </w:rPr>
      </w:pPr>
      <w:r w:rsidRPr="00E157A6">
        <w:rPr>
          <w:rFonts w:cs="Arial"/>
        </w:rPr>
        <w:lastRenderedPageBreak/>
        <w:t>Täglich am Tag D, bis spätestens 15:00 Uhr, die stündliche Summenzeitreihe des Tages D, von 06:00 Uhr bis 12:00 Uhr, umgewertet mit Bilanzierungsbrennwert vom NB an den MGV.</w:t>
      </w:r>
    </w:p>
    <w:p w14:paraId="23D98F48" w14:textId="77777777" w:rsidR="00892932" w:rsidRPr="002276F8" w:rsidRDefault="00892932" w:rsidP="00FF7A06">
      <w:pPr>
        <w:pStyle w:val="Listenabsatz"/>
        <w:numPr>
          <w:ilvl w:val="0"/>
          <w:numId w:val="20"/>
        </w:numPr>
        <w:contextualSpacing w:val="0"/>
      </w:pPr>
      <w:r>
        <w:rPr>
          <w:rFonts w:cs="Arial"/>
        </w:rPr>
        <w:t>Täglich am Tag D</w:t>
      </w:r>
      <w:r w:rsidR="00F0656B">
        <w:rPr>
          <w:rFonts w:cs="Arial"/>
        </w:rPr>
        <w:t>,</w:t>
      </w:r>
      <w:r>
        <w:rPr>
          <w:rFonts w:cs="Arial"/>
        </w:rPr>
        <w:t xml:space="preserve"> bis spätestens </w:t>
      </w:r>
      <w:r w:rsidR="002276F8">
        <w:rPr>
          <w:rFonts w:cs="Arial"/>
        </w:rPr>
        <w:t>16</w:t>
      </w:r>
      <w:r>
        <w:rPr>
          <w:rFonts w:cs="Arial"/>
        </w:rPr>
        <w:t>:00 Uhr</w:t>
      </w:r>
      <w:r w:rsidR="00F0656B">
        <w:rPr>
          <w:rFonts w:cs="Arial"/>
        </w:rPr>
        <w:t>,</w:t>
      </w:r>
      <w:r>
        <w:rPr>
          <w:rFonts w:cs="Arial"/>
        </w:rPr>
        <w:t xml:space="preserve"> </w:t>
      </w:r>
      <w:r w:rsidR="00C919BC" w:rsidRPr="00C919BC">
        <w:rPr>
          <w:rFonts w:cs="Arial"/>
        </w:rPr>
        <w:t>die stündliche Summenzeitreihe</w:t>
      </w:r>
      <w:r w:rsidRPr="00892932">
        <w:rPr>
          <w:rFonts w:cs="Arial"/>
        </w:rPr>
        <w:t xml:space="preserve"> des Tages D</w:t>
      </w:r>
      <w:r w:rsidR="00F0656B">
        <w:rPr>
          <w:rFonts w:cs="Arial"/>
        </w:rPr>
        <w:t>,</w:t>
      </w:r>
      <w:r w:rsidRPr="00892932">
        <w:rPr>
          <w:rFonts w:cs="Arial"/>
        </w:rPr>
        <w:t xml:space="preserve"> von </w:t>
      </w:r>
      <w:r w:rsidR="005C7400">
        <w:rPr>
          <w:rFonts w:cs="Arial"/>
        </w:rPr>
        <w:t>0</w:t>
      </w:r>
      <w:r w:rsidRPr="00892932">
        <w:rPr>
          <w:rFonts w:cs="Arial"/>
        </w:rPr>
        <w:t>6:00 Uhr bis 12:00 Uhr</w:t>
      </w:r>
      <w:r w:rsidR="00F0656B">
        <w:rPr>
          <w:rFonts w:cs="Arial"/>
        </w:rPr>
        <w:t>,</w:t>
      </w:r>
      <w:r w:rsidRPr="00892932">
        <w:rPr>
          <w:rFonts w:cs="Arial"/>
        </w:rPr>
        <w:t xml:space="preserve"> </w:t>
      </w:r>
      <w:r w:rsidR="00BD665E">
        <w:rPr>
          <w:rFonts w:cs="Arial"/>
        </w:rPr>
        <w:t>umgewertet</w:t>
      </w:r>
      <w:r w:rsidRPr="00892932">
        <w:rPr>
          <w:rFonts w:cs="Arial"/>
        </w:rPr>
        <w:t xml:space="preserve"> mit Bilanzierungsbrennwert</w:t>
      </w:r>
      <w:r>
        <w:rPr>
          <w:rFonts w:cs="Arial"/>
        </w:rPr>
        <w:t xml:space="preserve"> vom MGV an den BKV.</w:t>
      </w:r>
    </w:p>
    <w:p w14:paraId="6C5A8E00" w14:textId="77777777" w:rsidR="002276F8" w:rsidRPr="009C6C0A" w:rsidRDefault="00793BB6" w:rsidP="00FF7A06">
      <w:pPr>
        <w:pStyle w:val="Listenabsatz"/>
        <w:numPr>
          <w:ilvl w:val="0"/>
          <w:numId w:val="20"/>
        </w:numPr>
        <w:contextualSpacing w:val="0"/>
      </w:pPr>
      <w:r>
        <w:rPr>
          <w:rFonts w:cs="Arial"/>
        </w:rPr>
        <w:t>T</w:t>
      </w:r>
      <w:r w:rsidR="002276F8">
        <w:rPr>
          <w:rFonts w:cs="Arial"/>
        </w:rPr>
        <w:t>äglich am Tag D</w:t>
      </w:r>
      <w:r w:rsidR="00F0656B">
        <w:rPr>
          <w:rFonts w:cs="Arial"/>
        </w:rPr>
        <w:t>,</w:t>
      </w:r>
      <w:r w:rsidR="002276F8">
        <w:rPr>
          <w:rFonts w:cs="Arial"/>
        </w:rPr>
        <w:t xml:space="preserve"> bis spätestens 18:00 Uhr</w:t>
      </w:r>
      <w:r w:rsidR="00F0656B">
        <w:rPr>
          <w:rFonts w:cs="Arial"/>
        </w:rPr>
        <w:t>,</w:t>
      </w:r>
      <w:r w:rsidR="002276F8">
        <w:rPr>
          <w:rFonts w:cs="Arial"/>
        </w:rPr>
        <w:t xml:space="preserve"> </w:t>
      </w:r>
      <w:r w:rsidR="00C919BC" w:rsidRPr="00C919BC">
        <w:rPr>
          <w:rFonts w:cs="Arial"/>
        </w:rPr>
        <w:t>die stündliche</w:t>
      </w:r>
      <w:r w:rsidR="00173749">
        <w:rPr>
          <w:rFonts w:cs="Arial"/>
        </w:rPr>
        <w:t xml:space="preserve"> und ggf. korrigierte</w:t>
      </w:r>
      <w:r w:rsidR="00C919BC" w:rsidRPr="00C919BC">
        <w:rPr>
          <w:rFonts w:cs="Arial"/>
        </w:rPr>
        <w:t xml:space="preserve"> Summenzeitreihe</w:t>
      </w:r>
      <w:r w:rsidR="002276F8">
        <w:rPr>
          <w:rFonts w:cs="Arial"/>
        </w:rPr>
        <w:t xml:space="preserve"> des Tages D</w:t>
      </w:r>
      <w:r w:rsidR="00F0656B">
        <w:rPr>
          <w:rFonts w:cs="Arial"/>
        </w:rPr>
        <w:t>,</w:t>
      </w:r>
      <w:r w:rsidR="002276F8">
        <w:rPr>
          <w:rFonts w:cs="Arial"/>
        </w:rPr>
        <w:t xml:space="preserve"> von </w:t>
      </w:r>
      <w:r w:rsidR="005C7400">
        <w:rPr>
          <w:rFonts w:cs="Arial"/>
        </w:rPr>
        <w:t>0</w:t>
      </w:r>
      <w:r w:rsidR="002276F8">
        <w:rPr>
          <w:rFonts w:cs="Arial"/>
        </w:rPr>
        <w:t>6:00 Uhr bis 15</w:t>
      </w:r>
      <w:r w:rsidR="002276F8" w:rsidRPr="00892932">
        <w:rPr>
          <w:rFonts w:cs="Arial"/>
        </w:rPr>
        <w:t>:00 Uhr</w:t>
      </w:r>
      <w:r w:rsidR="00F0656B">
        <w:rPr>
          <w:rFonts w:cs="Arial"/>
        </w:rPr>
        <w:t>,</w:t>
      </w:r>
      <w:r w:rsidR="002276F8" w:rsidRPr="00892932">
        <w:rPr>
          <w:rFonts w:cs="Arial"/>
        </w:rPr>
        <w:t xml:space="preserve"> </w:t>
      </w:r>
      <w:r w:rsidR="00BD665E">
        <w:rPr>
          <w:rFonts w:cs="Arial"/>
        </w:rPr>
        <w:t>umgewertet</w:t>
      </w:r>
      <w:r w:rsidR="002276F8" w:rsidRPr="00892932">
        <w:rPr>
          <w:rFonts w:cs="Arial"/>
        </w:rPr>
        <w:t xml:space="preserve"> mit Bilanzierungsbrennwert</w:t>
      </w:r>
      <w:r w:rsidR="002276F8">
        <w:rPr>
          <w:rFonts w:cs="Arial"/>
        </w:rPr>
        <w:t xml:space="preserve"> vom NB an den MGV.</w:t>
      </w:r>
    </w:p>
    <w:p w14:paraId="690695D3" w14:textId="77777777" w:rsidR="0094358D" w:rsidRPr="00A16E71" w:rsidRDefault="00793BB6" w:rsidP="00FF7A06">
      <w:pPr>
        <w:pStyle w:val="Listenabsatz"/>
        <w:numPr>
          <w:ilvl w:val="0"/>
          <w:numId w:val="20"/>
        </w:numPr>
        <w:contextualSpacing w:val="0"/>
      </w:pPr>
      <w:r>
        <w:rPr>
          <w:rFonts w:cs="Arial"/>
        </w:rPr>
        <w:t>T</w:t>
      </w:r>
      <w:r w:rsidR="009C6C0A" w:rsidRPr="0099556F">
        <w:rPr>
          <w:rFonts w:cs="Arial"/>
        </w:rPr>
        <w:t>äglich am Tag D</w:t>
      </w:r>
      <w:r w:rsidR="00F0656B">
        <w:rPr>
          <w:rFonts w:cs="Arial"/>
        </w:rPr>
        <w:t>,</w:t>
      </w:r>
      <w:r w:rsidR="009C6C0A" w:rsidRPr="0099556F">
        <w:rPr>
          <w:rFonts w:cs="Arial"/>
        </w:rPr>
        <w:t xml:space="preserve"> bis spätestens </w:t>
      </w:r>
      <w:r w:rsidR="009C6C0A" w:rsidRPr="00B37816">
        <w:rPr>
          <w:rFonts w:cs="Arial"/>
        </w:rPr>
        <w:t>19:00 Uhr</w:t>
      </w:r>
      <w:r w:rsidR="00F0656B">
        <w:rPr>
          <w:rFonts w:cs="Arial"/>
        </w:rPr>
        <w:t>,</w:t>
      </w:r>
      <w:r w:rsidR="009C6C0A" w:rsidRPr="00B37816">
        <w:rPr>
          <w:rFonts w:cs="Arial"/>
        </w:rPr>
        <w:t xml:space="preserve"> </w:t>
      </w:r>
      <w:r w:rsidR="00000A9B">
        <w:rPr>
          <w:rFonts w:cs="Arial"/>
        </w:rPr>
        <w:t xml:space="preserve">die stündliche und ggf. korrigierte Summenzeitreihe </w:t>
      </w:r>
      <w:r w:rsidR="009C6C0A" w:rsidRPr="00B37816">
        <w:rPr>
          <w:rFonts w:cs="Arial"/>
        </w:rPr>
        <w:t>des Tages D</w:t>
      </w:r>
      <w:r w:rsidR="00F0656B">
        <w:rPr>
          <w:rFonts w:cs="Arial"/>
        </w:rPr>
        <w:t>,</w:t>
      </w:r>
      <w:r w:rsidR="009C6C0A" w:rsidRPr="00B37816">
        <w:rPr>
          <w:rFonts w:cs="Arial"/>
        </w:rPr>
        <w:t xml:space="preserve"> von </w:t>
      </w:r>
      <w:r w:rsidR="005C7400">
        <w:rPr>
          <w:rFonts w:cs="Arial"/>
        </w:rPr>
        <w:t>0</w:t>
      </w:r>
      <w:r w:rsidR="009C6C0A">
        <w:rPr>
          <w:rFonts w:cs="Arial"/>
        </w:rPr>
        <w:t>6</w:t>
      </w:r>
      <w:r w:rsidR="009C6C0A" w:rsidRPr="00B37816">
        <w:rPr>
          <w:rFonts w:cs="Arial"/>
        </w:rPr>
        <w:t>:00 Uhr bis 15:00 Uhr</w:t>
      </w:r>
      <w:r w:rsidR="00F0656B">
        <w:rPr>
          <w:rFonts w:cs="Arial"/>
        </w:rPr>
        <w:t>,</w:t>
      </w:r>
      <w:r w:rsidR="009C6C0A" w:rsidRPr="00B37816">
        <w:rPr>
          <w:rFonts w:cs="Arial"/>
        </w:rPr>
        <w:t xml:space="preserve"> </w:t>
      </w:r>
      <w:r w:rsidR="00BD665E">
        <w:rPr>
          <w:rFonts w:cs="Arial"/>
        </w:rPr>
        <w:t>umgewertet</w:t>
      </w:r>
      <w:r w:rsidR="009C6C0A" w:rsidRPr="00B37816">
        <w:rPr>
          <w:rFonts w:cs="Arial"/>
        </w:rPr>
        <w:t xml:space="preserve"> mit Bilanzierungsbrennwert vom MGV an den BKV.</w:t>
      </w:r>
    </w:p>
    <w:p w14:paraId="3CAEBB5C" w14:textId="77777777" w:rsidR="00A16E71" w:rsidRPr="00F853F1" w:rsidRDefault="00A16E71" w:rsidP="00A16E71">
      <w:pPr>
        <w:pStyle w:val="Listenabsatz"/>
        <w:spacing w:before="120"/>
        <w:ind w:left="294"/>
      </w:pPr>
    </w:p>
    <w:p w14:paraId="16568DFE" w14:textId="77777777" w:rsidR="009C6C0A" w:rsidRPr="00892932" w:rsidRDefault="00A04239" w:rsidP="003C2438">
      <w:pPr>
        <w:spacing w:before="120"/>
      </w:pPr>
      <w:r>
        <w:t>F</w:t>
      </w:r>
      <w:r w:rsidR="00C61A04">
        <w:t>ür tägliche und monatliche Allokationsprozesse</w:t>
      </w:r>
      <w:r>
        <w:t xml:space="preserve"> gilt</w:t>
      </w:r>
      <w:r w:rsidR="00C61A04">
        <w:t>:</w:t>
      </w:r>
    </w:p>
    <w:p w14:paraId="11920D63" w14:textId="77777777" w:rsidR="00340283" w:rsidRPr="00892932" w:rsidRDefault="00892932" w:rsidP="00215CF9">
      <w:pPr>
        <w:pStyle w:val="Listenabsatz"/>
        <w:numPr>
          <w:ilvl w:val="0"/>
          <w:numId w:val="20"/>
        </w:numPr>
        <w:contextualSpacing w:val="0"/>
      </w:pPr>
      <w:r>
        <w:rPr>
          <w:rFonts w:cs="Arial"/>
        </w:rPr>
        <w:t>T</w:t>
      </w:r>
      <w:r w:rsidR="00340283" w:rsidRPr="004628C2">
        <w:rPr>
          <w:rFonts w:cs="Arial"/>
        </w:rPr>
        <w:t>äglich</w:t>
      </w:r>
      <w:r>
        <w:rPr>
          <w:rFonts w:cs="Arial"/>
        </w:rPr>
        <w:t xml:space="preserve"> am Tag </w:t>
      </w:r>
      <w:r w:rsidR="00340283" w:rsidRPr="004628C2">
        <w:rPr>
          <w:rFonts w:cs="Arial"/>
        </w:rPr>
        <w:t>D+1</w:t>
      </w:r>
      <w:r w:rsidR="00F0656B">
        <w:rPr>
          <w:rFonts w:cs="Arial"/>
        </w:rPr>
        <w:t>,</w:t>
      </w:r>
      <w:r w:rsidR="00340283" w:rsidRPr="004628C2">
        <w:rPr>
          <w:rFonts w:cs="Arial"/>
        </w:rPr>
        <w:t xml:space="preserve"> bis </w:t>
      </w:r>
      <w:r w:rsidR="00340283">
        <w:rPr>
          <w:rFonts w:cs="Arial"/>
        </w:rPr>
        <w:t xml:space="preserve">spätestens </w:t>
      </w:r>
      <w:r w:rsidR="00340283" w:rsidRPr="004628C2">
        <w:rPr>
          <w:rFonts w:cs="Arial"/>
        </w:rPr>
        <w:t>12</w:t>
      </w:r>
      <w:r w:rsidR="00340283">
        <w:rPr>
          <w:rFonts w:cs="Arial"/>
        </w:rPr>
        <w:t>:</w:t>
      </w:r>
      <w:r w:rsidR="00340283" w:rsidRPr="004628C2">
        <w:rPr>
          <w:rFonts w:cs="Arial"/>
        </w:rPr>
        <w:t>00 Uhr</w:t>
      </w:r>
      <w:r w:rsidR="00F0656B">
        <w:rPr>
          <w:rFonts w:cs="Arial"/>
        </w:rPr>
        <w:t>,</w:t>
      </w:r>
      <w:r w:rsidR="00340283" w:rsidRPr="004628C2">
        <w:rPr>
          <w:rFonts w:cs="Arial"/>
        </w:rPr>
        <w:t xml:space="preserve"> </w:t>
      </w:r>
      <w:r w:rsidR="00000A9B" w:rsidRPr="00C919BC">
        <w:rPr>
          <w:rFonts w:cs="Arial"/>
        </w:rPr>
        <w:t>die stündliche Summenzeitreihe</w:t>
      </w:r>
      <w:r w:rsidRPr="00892932">
        <w:rPr>
          <w:rFonts w:cs="Arial"/>
        </w:rPr>
        <w:t xml:space="preserve"> des Gas</w:t>
      </w:r>
      <w:r w:rsidR="005A4356">
        <w:rPr>
          <w:rFonts w:cs="Arial"/>
        </w:rPr>
        <w:t>-</w:t>
      </w:r>
      <w:r w:rsidRPr="00892932">
        <w:rPr>
          <w:rFonts w:cs="Arial"/>
        </w:rPr>
        <w:t xml:space="preserve">tages D </w:t>
      </w:r>
      <w:r w:rsidR="00BD665E">
        <w:rPr>
          <w:rFonts w:cs="Arial"/>
        </w:rPr>
        <w:t>umgewertet</w:t>
      </w:r>
      <w:r w:rsidRPr="00892932">
        <w:rPr>
          <w:rFonts w:cs="Arial"/>
        </w:rPr>
        <w:t xml:space="preserve"> mit Bilanzierungsbrennwert </w:t>
      </w:r>
      <w:r>
        <w:rPr>
          <w:rFonts w:cs="Arial"/>
        </w:rPr>
        <w:t>vom NB an den MGV.</w:t>
      </w:r>
    </w:p>
    <w:p w14:paraId="2B1846B7" w14:textId="77777777" w:rsidR="00892932" w:rsidRPr="00892932" w:rsidRDefault="00892932" w:rsidP="00215CF9">
      <w:pPr>
        <w:pStyle w:val="Listenabsatz"/>
        <w:numPr>
          <w:ilvl w:val="0"/>
          <w:numId w:val="20"/>
        </w:numPr>
        <w:contextualSpacing w:val="0"/>
      </w:pPr>
      <w:r>
        <w:rPr>
          <w:rFonts w:cs="Arial"/>
        </w:rPr>
        <w:t>T</w:t>
      </w:r>
      <w:r w:rsidRPr="004628C2">
        <w:rPr>
          <w:rFonts w:cs="Arial"/>
        </w:rPr>
        <w:t>äglich</w:t>
      </w:r>
      <w:r>
        <w:rPr>
          <w:rFonts w:cs="Arial"/>
        </w:rPr>
        <w:t xml:space="preserve"> am Tag </w:t>
      </w:r>
      <w:r w:rsidRPr="004628C2">
        <w:rPr>
          <w:rFonts w:cs="Arial"/>
        </w:rPr>
        <w:t>D+1</w:t>
      </w:r>
      <w:r w:rsidR="00D33C04">
        <w:rPr>
          <w:rFonts w:cs="Arial"/>
        </w:rPr>
        <w:t>,</w:t>
      </w:r>
      <w:r w:rsidRPr="004628C2">
        <w:rPr>
          <w:rFonts w:cs="Arial"/>
        </w:rPr>
        <w:t xml:space="preserve"> bis </w:t>
      </w:r>
      <w:r>
        <w:rPr>
          <w:rFonts w:cs="Arial"/>
        </w:rPr>
        <w:t xml:space="preserve">spätestens </w:t>
      </w:r>
      <w:r w:rsidRPr="004628C2">
        <w:rPr>
          <w:rFonts w:cs="Arial"/>
        </w:rPr>
        <w:t>1</w:t>
      </w:r>
      <w:r>
        <w:rPr>
          <w:rFonts w:cs="Arial"/>
        </w:rPr>
        <w:t>3:</w:t>
      </w:r>
      <w:r w:rsidRPr="004628C2">
        <w:rPr>
          <w:rFonts w:cs="Arial"/>
        </w:rPr>
        <w:t>00 Uhr</w:t>
      </w:r>
      <w:r w:rsidR="00D33C04">
        <w:rPr>
          <w:rFonts w:cs="Arial"/>
        </w:rPr>
        <w:t>,</w:t>
      </w:r>
      <w:r w:rsidRPr="004628C2">
        <w:rPr>
          <w:rFonts w:cs="Arial"/>
        </w:rPr>
        <w:t xml:space="preserve"> </w:t>
      </w:r>
      <w:r w:rsidR="00000A9B" w:rsidRPr="00C919BC">
        <w:rPr>
          <w:rFonts w:cs="Arial"/>
        </w:rPr>
        <w:t>die stündliche Summenzeitreihe</w:t>
      </w:r>
      <w:r w:rsidR="00000A9B">
        <w:rPr>
          <w:rFonts w:cs="Arial"/>
        </w:rPr>
        <w:t xml:space="preserve"> </w:t>
      </w:r>
      <w:r w:rsidRPr="00892932">
        <w:rPr>
          <w:rFonts w:cs="Arial"/>
        </w:rPr>
        <w:t>des Gas</w:t>
      </w:r>
      <w:r w:rsidR="005A4356">
        <w:rPr>
          <w:rFonts w:cs="Arial"/>
        </w:rPr>
        <w:t>-</w:t>
      </w:r>
      <w:r w:rsidRPr="00892932">
        <w:rPr>
          <w:rFonts w:cs="Arial"/>
        </w:rPr>
        <w:t xml:space="preserve">tages D </w:t>
      </w:r>
      <w:r w:rsidR="00BD665E">
        <w:rPr>
          <w:rFonts w:cs="Arial"/>
        </w:rPr>
        <w:t>umgewertet</w:t>
      </w:r>
      <w:r w:rsidRPr="00892932">
        <w:rPr>
          <w:rFonts w:cs="Arial"/>
        </w:rPr>
        <w:t xml:space="preserve"> mit Bilanzierungsbrennwert </w:t>
      </w:r>
      <w:r>
        <w:rPr>
          <w:rFonts w:cs="Arial"/>
        </w:rPr>
        <w:t>vom MGV an den BKV.</w:t>
      </w:r>
    </w:p>
    <w:p w14:paraId="5D5D9359" w14:textId="77777777" w:rsidR="00892932" w:rsidRPr="007E0FAC" w:rsidRDefault="00892932" w:rsidP="00215CF9">
      <w:pPr>
        <w:pStyle w:val="Listenabsatz"/>
        <w:numPr>
          <w:ilvl w:val="0"/>
          <w:numId w:val="20"/>
        </w:numPr>
        <w:contextualSpacing w:val="0"/>
      </w:pPr>
      <w:r>
        <w:rPr>
          <w:rFonts w:cs="Arial"/>
        </w:rPr>
        <w:t>T</w:t>
      </w:r>
      <w:r w:rsidRPr="004628C2">
        <w:rPr>
          <w:rFonts w:cs="Arial"/>
        </w:rPr>
        <w:t>äglich</w:t>
      </w:r>
      <w:r>
        <w:rPr>
          <w:rFonts w:cs="Arial"/>
        </w:rPr>
        <w:t xml:space="preserve"> am Tag </w:t>
      </w:r>
      <w:r w:rsidRPr="004628C2">
        <w:rPr>
          <w:rFonts w:cs="Arial"/>
        </w:rPr>
        <w:t>D+1</w:t>
      </w:r>
      <w:r w:rsidR="00D33C04">
        <w:rPr>
          <w:rFonts w:cs="Arial"/>
        </w:rPr>
        <w:t>,</w:t>
      </w:r>
      <w:r w:rsidRPr="004628C2">
        <w:rPr>
          <w:rFonts w:cs="Arial"/>
        </w:rPr>
        <w:t xml:space="preserve"> bis </w:t>
      </w:r>
      <w:r>
        <w:rPr>
          <w:rFonts w:cs="Arial"/>
        </w:rPr>
        <w:t>spätestens 19:</w:t>
      </w:r>
      <w:r w:rsidRPr="004628C2">
        <w:rPr>
          <w:rFonts w:cs="Arial"/>
        </w:rPr>
        <w:t>00 Uhr</w:t>
      </w:r>
      <w:r w:rsidR="00D33C04">
        <w:rPr>
          <w:rFonts w:cs="Arial"/>
        </w:rPr>
        <w:t>,</w:t>
      </w:r>
      <w:r w:rsidRPr="004628C2">
        <w:rPr>
          <w:rFonts w:cs="Arial"/>
        </w:rPr>
        <w:t xml:space="preserve"> </w:t>
      </w:r>
      <w:r>
        <w:rPr>
          <w:rFonts w:cs="Arial"/>
        </w:rPr>
        <w:t>a</w:t>
      </w:r>
      <w:r w:rsidRPr="00892932">
        <w:rPr>
          <w:rFonts w:cs="Arial"/>
        </w:rPr>
        <w:t xml:space="preserve">lle auf Tagesband umgerechneten </w:t>
      </w:r>
      <w:r w:rsidR="00000A9B">
        <w:rPr>
          <w:rFonts w:cs="Arial"/>
        </w:rPr>
        <w:t>stündlichen Summenzeitreihen</w:t>
      </w:r>
      <w:r w:rsidRPr="00892932">
        <w:rPr>
          <w:rFonts w:cs="Arial"/>
        </w:rPr>
        <w:t xml:space="preserve"> des Tages D </w:t>
      </w:r>
      <w:r w:rsidR="00BD665E">
        <w:rPr>
          <w:rFonts w:cs="Arial"/>
        </w:rPr>
        <w:t>umgewertet</w:t>
      </w:r>
      <w:r w:rsidRPr="00892932">
        <w:rPr>
          <w:rFonts w:cs="Arial"/>
        </w:rPr>
        <w:t xml:space="preserve"> mit Bilanzierungsbrennwert </w:t>
      </w:r>
      <w:r>
        <w:rPr>
          <w:rFonts w:cs="Arial"/>
        </w:rPr>
        <w:t xml:space="preserve">vom MGV an den BKV (nur </w:t>
      </w:r>
      <w:proofErr w:type="spellStart"/>
      <w:r>
        <w:rPr>
          <w:rFonts w:cs="Arial"/>
        </w:rPr>
        <w:t>RLMmT</w:t>
      </w:r>
      <w:proofErr w:type="spellEnd"/>
      <w:r>
        <w:rPr>
          <w:rFonts w:cs="Arial"/>
        </w:rPr>
        <w:t>).</w:t>
      </w:r>
    </w:p>
    <w:p w14:paraId="69EAB85D" w14:textId="3FB47B7D" w:rsidR="001B4DEF" w:rsidRDefault="007E0FAC" w:rsidP="007F76BC">
      <w:pPr>
        <w:pStyle w:val="Listenabsatz"/>
        <w:numPr>
          <w:ilvl w:val="0"/>
          <w:numId w:val="67"/>
        </w:numPr>
        <w:ind w:left="284" w:hanging="284"/>
        <w:contextualSpacing w:val="0"/>
      </w:pPr>
      <w:r w:rsidRPr="00F853F1">
        <w:t xml:space="preserve">Für den Zeitreihentyp </w:t>
      </w:r>
      <w:proofErr w:type="spellStart"/>
      <w:r w:rsidRPr="00F853F1">
        <w:t>RLMmT</w:t>
      </w:r>
      <w:proofErr w:type="spellEnd"/>
      <w:r w:rsidRPr="00F853F1">
        <w:t xml:space="preserve"> erfolgt die Tagesbandbildung durch den MGV auch für den Fall einer untertägigen Kapazitätsbuchung des </w:t>
      </w:r>
      <w:r w:rsidR="003C116E">
        <w:t>KN</w:t>
      </w:r>
      <w:r>
        <w:t xml:space="preserve"> beim FNB</w:t>
      </w:r>
      <w:r w:rsidRPr="00F853F1">
        <w:t xml:space="preserve"> für den gesamten </w:t>
      </w:r>
      <w:proofErr w:type="spellStart"/>
      <w:r w:rsidRPr="00F853F1">
        <w:t>Gastag</w:t>
      </w:r>
      <w:proofErr w:type="spellEnd"/>
      <w:r w:rsidRPr="00F853F1">
        <w:t>.</w:t>
      </w:r>
    </w:p>
    <w:p w14:paraId="6CAFAB5D" w14:textId="3613922D" w:rsidR="00340283" w:rsidRDefault="00396FC7" w:rsidP="00215CF9">
      <w:pPr>
        <w:pStyle w:val="Listenabsatz"/>
        <w:numPr>
          <w:ilvl w:val="0"/>
          <w:numId w:val="20"/>
        </w:numPr>
        <w:contextualSpacing w:val="0"/>
      </w:pPr>
      <w:r>
        <w:t xml:space="preserve">Spätestens M+12WT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Bilanzierungsbrennwert</w:t>
      </w:r>
      <w:r>
        <w:t xml:space="preserve"> vom NB an den MGV</w:t>
      </w:r>
      <w:r w:rsidRPr="00396FC7">
        <w:t>. Ersatzwertkorrekturen nach DVGW</w:t>
      </w:r>
      <w:r w:rsidR="008D1927">
        <w:t>-Arbeitsblatt</w:t>
      </w:r>
      <w:r w:rsidRPr="00396FC7">
        <w:t xml:space="preserve"> G 685 werden berücksichtigt.</w:t>
      </w:r>
    </w:p>
    <w:p w14:paraId="2A4DF7FC" w14:textId="75D5903D" w:rsidR="00396FC7" w:rsidRDefault="00396FC7" w:rsidP="00215CF9">
      <w:pPr>
        <w:pStyle w:val="Listenabsatz"/>
        <w:numPr>
          <w:ilvl w:val="0"/>
          <w:numId w:val="20"/>
        </w:numPr>
        <w:contextualSpacing w:val="0"/>
      </w:pPr>
      <w:r>
        <w:t xml:space="preserve">Spätestens M+12WT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w:t>
      </w:r>
      <w:r>
        <w:t>Abrechnungsb</w:t>
      </w:r>
      <w:r w:rsidRPr="00396FC7">
        <w:t>rennwert</w:t>
      </w:r>
      <w:r>
        <w:t xml:space="preserve"> vom NB an den MGV</w:t>
      </w:r>
      <w:r w:rsidRPr="00396FC7">
        <w:t>. Ersatzwertkorrekturen nach DVGW</w:t>
      </w:r>
      <w:r w:rsidR="008D1927">
        <w:t>-Arbeitsblatt</w:t>
      </w:r>
      <w:r w:rsidRPr="00396FC7">
        <w:t xml:space="preserve"> G 685 werden berücksichtigt.</w:t>
      </w:r>
    </w:p>
    <w:p w14:paraId="0C2F594A" w14:textId="32818099" w:rsidR="00396FC7" w:rsidRDefault="00396FC7" w:rsidP="00215CF9">
      <w:pPr>
        <w:pStyle w:val="Listenabsatz"/>
        <w:numPr>
          <w:ilvl w:val="0"/>
          <w:numId w:val="20"/>
        </w:numPr>
        <w:contextualSpacing w:val="0"/>
      </w:pPr>
      <w:r>
        <w:t xml:space="preserve">Spätestens M+14WT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Bilanzierungsbrennwert</w:t>
      </w:r>
      <w:r>
        <w:t xml:space="preserve"> vom MGV an den BKV</w:t>
      </w:r>
      <w:r w:rsidRPr="00396FC7">
        <w:t>. Ersatzwertkorrekturen nach DVGW</w:t>
      </w:r>
      <w:r w:rsidR="008D1927">
        <w:t>-Arbeitsblatt</w:t>
      </w:r>
      <w:r w:rsidRPr="00396FC7">
        <w:t xml:space="preserve"> G 685 werden berücksichtigt</w:t>
      </w:r>
      <w:r>
        <w:t>.</w:t>
      </w:r>
    </w:p>
    <w:p w14:paraId="0F811E17" w14:textId="6CBBE3E6" w:rsidR="00396FC7" w:rsidRDefault="00396FC7" w:rsidP="00215CF9">
      <w:pPr>
        <w:pStyle w:val="Listenabsatz"/>
        <w:numPr>
          <w:ilvl w:val="0"/>
          <w:numId w:val="20"/>
        </w:numPr>
        <w:contextualSpacing w:val="0"/>
      </w:pPr>
      <w:r>
        <w:t xml:space="preserve">Spätestens M+14WT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w:t>
      </w:r>
      <w:r>
        <w:t>Abrechnungsbrennwert vom MGV an den BKV</w:t>
      </w:r>
      <w:r w:rsidRPr="00396FC7">
        <w:t>. Ersatzwertkorrekturen nach DVGW</w:t>
      </w:r>
      <w:r w:rsidR="008D1927">
        <w:t>-Arbeitsblatt</w:t>
      </w:r>
      <w:r w:rsidRPr="00396FC7">
        <w:t xml:space="preserve"> G 685 werden berücksichtigt</w:t>
      </w:r>
      <w:r>
        <w:t>.</w:t>
      </w:r>
    </w:p>
    <w:p w14:paraId="676C004A" w14:textId="7E8C2AF5" w:rsidR="00396FC7" w:rsidRPr="00340283" w:rsidRDefault="00396FC7" w:rsidP="00215CF9">
      <w:pPr>
        <w:pStyle w:val="Listenabsatz"/>
        <w:numPr>
          <w:ilvl w:val="0"/>
          <w:numId w:val="20"/>
        </w:numPr>
        <w:contextualSpacing w:val="0"/>
      </w:pPr>
      <w:r>
        <w:lastRenderedPageBreak/>
        <w:t>Spätestens M+14WT a</w:t>
      </w:r>
      <w:r w:rsidRPr="00396FC7">
        <w:t xml:space="preserve">lle auf Tagesband umgerechneten </w:t>
      </w:r>
      <w:r w:rsidR="00000A9B">
        <w:t>stündlichen Summenzeitreihen</w:t>
      </w:r>
      <w:r w:rsidRPr="00396FC7">
        <w:t xml:space="preserve"> des Liefermonats M </w:t>
      </w:r>
      <w:r w:rsidR="00BD665E">
        <w:rPr>
          <w:rFonts w:cs="Arial"/>
        </w:rPr>
        <w:t>umgewertet</w:t>
      </w:r>
      <w:r w:rsidRPr="00396FC7">
        <w:t xml:space="preserve"> mit Bilanzierungsbrennwert</w:t>
      </w:r>
      <w:r>
        <w:t xml:space="preserve"> vom MGV an den BKV </w:t>
      </w:r>
      <w:r>
        <w:rPr>
          <w:rFonts w:cs="Arial"/>
        </w:rPr>
        <w:t xml:space="preserve">(nur </w:t>
      </w:r>
      <w:proofErr w:type="spellStart"/>
      <w:r>
        <w:rPr>
          <w:rFonts w:cs="Arial"/>
        </w:rPr>
        <w:t>RLMmT</w:t>
      </w:r>
      <w:proofErr w:type="spellEnd"/>
      <w:r>
        <w:rPr>
          <w:rFonts w:cs="Arial"/>
        </w:rPr>
        <w:t>)</w:t>
      </w:r>
      <w:r w:rsidRPr="00396FC7">
        <w:t>. Ersatzwertkorrekturen nach DVGW</w:t>
      </w:r>
      <w:r w:rsidR="008D1927">
        <w:t>-Arbeitsblatt</w:t>
      </w:r>
      <w:r w:rsidRPr="00396FC7">
        <w:t xml:space="preserve"> G 685 werden berücksichtigt</w:t>
      </w:r>
      <w:r w:rsidR="005A4356">
        <w:t>.</w:t>
      </w:r>
    </w:p>
    <w:p w14:paraId="35540FF8" w14:textId="50FABD52" w:rsidR="0094358D" w:rsidRDefault="00396FC7" w:rsidP="00215CF9">
      <w:pPr>
        <w:pStyle w:val="Listenabsatz"/>
        <w:numPr>
          <w:ilvl w:val="0"/>
          <w:numId w:val="20"/>
        </w:numPr>
        <w:contextualSpacing w:val="0"/>
      </w:pPr>
      <w:r>
        <w:t>Spätestens M+14WT a</w:t>
      </w:r>
      <w:r w:rsidRPr="00396FC7">
        <w:t xml:space="preserve">lle auf Tagesband umgerechneten </w:t>
      </w:r>
      <w:r w:rsidR="00000A9B">
        <w:t>stündlichen Summenzeitreihen</w:t>
      </w:r>
      <w:r w:rsidRPr="00396FC7">
        <w:t xml:space="preserve"> des Liefermonats M </w:t>
      </w:r>
      <w:r w:rsidR="00BD665E">
        <w:rPr>
          <w:rFonts w:cs="Arial"/>
        </w:rPr>
        <w:t>umgewertet</w:t>
      </w:r>
      <w:r w:rsidRPr="00396FC7">
        <w:t xml:space="preserve"> mit </w:t>
      </w:r>
      <w:r>
        <w:t xml:space="preserve">Abrechnungsbrennwert vom MGV an den BKV </w:t>
      </w:r>
      <w:r>
        <w:rPr>
          <w:rFonts w:cs="Arial"/>
        </w:rPr>
        <w:t xml:space="preserve">(nur </w:t>
      </w:r>
      <w:proofErr w:type="spellStart"/>
      <w:r>
        <w:rPr>
          <w:rFonts w:cs="Arial"/>
        </w:rPr>
        <w:t>RLMmT</w:t>
      </w:r>
      <w:proofErr w:type="spellEnd"/>
      <w:r>
        <w:rPr>
          <w:rFonts w:cs="Arial"/>
        </w:rPr>
        <w:t>)</w:t>
      </w:r>
      <w:r w:rsidRPr="00396FC7">
        <w:t>. Ersatzwertkorrekturen nach DVGW</w:t>
      </w:r>
      <w:r w:rsidR="008D1927">
        <w:t>-Arbeitsblatt</w:t>
      </w:r>
      <w:r w:rsidRPr="00396FC7">
        <w:t xml:space="preserve"> G 685 werden berücksichtigt</w:t>
      </w:r>
      <w:r w:rsidR="00511C42">
        <w:t>.</w:t>
      </w:r>
    </w:p>
    <w:p w14:paraId="74F564F2" w14:textId="09F246CD" w:rsidR="0094358D" w:rsidRDefault="006A752C" w:rsidP="0078749C">
      <w:pPr>
        <w:spacing w:before="120"/>
      </w:pPr>
      <w:r>
        <w:t xml:space="preserve">Bei der Allokation von </w:t>
      </w:r>
      <w:r w:rsidR="00EE5FB8">
        <w:t xml:space="preserve">ausspeisenden </w:t>
      </w:r>
      <w:r>
        <w:t>RLM-</w:t>
      </w:r>
      <w:r w:rsidR="00EE5FB8">
        <w:t>Marktlokationen</w:t>
      </w:r>
      <w:r>
        <w:t xml:space="preserve"> für Leistungszeiträume vor dem 01.10.2021 müssen die jeweiligen Bilanzkreisnummern der Marktgebiete GASPOOL und NCG verwendet werden.</w:t>
      </w:r>
    </w:p>
    <w:p w14:paraId="052E9F8A" w14:textId="52897368" w:rsidR="000A2C58" w:rsidRPr="00340283" w:rsidRDefault="000A2C58" w:rsidP="003C2438">
      <w:pPr>
        <w:spacing w:before="120"/>
      </w:pPr>
      <w:r>
        <w:t xml:space="preserve">Darüber hinaus sendet der NB noch Messwerte an den </w:t>
      </w:r>
      <w:r w:rsidR="00EE5FB8">
        <w:t>LF</w:t>
      </w:r>
      <w:r>
        <w:t xml:space="preserve"> nach </w:t>
      </w:r>
      <w:proofErr w:type="spellStart"/>
      <w:r>
        <w:t>Ge</w:t>
      </w:r>
      <w:r w:rsidR="00EE5FB8">
        <w:t>L</w:t>
      </w:r>
      <w:r>
        <w:t>i</w:t>
      </w:r>
      <w:proofErr w:type="spellEnd"/>
      <w:r>
        <w:t xml:space="preserve"> Gas, die hier der </w:t>
      </w:r>
      <w:r w:rsidR="00D33C04">
        <w:t>V</w:t>
      </w:r>
      <w:r>
        <w:t>ollständigkeit halber ergänzend dargestellt werden:</w:t>
      </w:r>
    </w:p>
    <w:p w14:paraId="68AB1BEA" w14:textId="7E1D37BE" w:rsidR="00F012C4" w:rsidRDefault="00F012C4" w:rsidP="00215CF9">
      <w:pPr>
        <w:pStyle w:val="Listenabsatz"/>
        <w:numPr>
          <w:ilvl w:val="0"/>
          <w:numId w:val="20"/>
        </w:numPr>
        <w:contextualSpacing w:val="0"/>
      </w:pPr>
      <w:r>
        <w:rPr>
          <w:rFonts w:cs="Arial"/>
        </w:rPr>
        <w:t xml:space="preserve">D+1 sendet der NB an den </w:t>
      </w:r>
      <w:r w:rsidR="00EE5FB8">
        <w:rPr>
          <w:rFonts w:cs="Arial"/>
        </w:rPr>
        <w:t>LF</w:t>
      </w:r>
      <w:r>
        <w:rPr>
          <w:rFonts w:cs="Arial"/>
        </w:rPr>
        <w:t xml:space="preserve"> eine MSCONS gemäß </w:t>
      </w:r>
      <w:proofErr w:type="spellStart"/>
      <w:r>
        <w:rPr>
          <w:rFonts w:cs="Arial"/>
        </w:rPr>
        <w:t>GeLi</w:t>
      </w:r>
      <w:proofErr w:type="spellEnd"/>
      <w:r>
        <w:rPr>
          <w:rFonts w:cs="Arial"/>
        </w:rPr>
        <w:t xml:space="preserve"> Gas. Die gemessenen Volumina sind mit dem </w:t>
      </w:r>
      <w:r w:rsidRPr="00D06C83">
        <w:rPr>
          <w:rFonts w:cs="Arial"/>
        </w:rPr>
        <w:t xml:space="preserve">Bilanzierungsbrennwert </w:t>
      </w:r>
      <w:r>
        <w:rPr>
          <w:rFonts w:cs="Arial"/>
        </w:rPr>
        <w:t xml:space="preserve">umzurechnen. Die Nachricht wird mit der </w:t>
      </w:r>
      <w:r w:rsidRPr="00D06C83">
        <w:rPr>
          <w:rFonts w:cs="Arial"/>
        </w:rPr>
        <w:t>OBIS Kennzahl 7-10:99.33.17 „vorläufig</w:t>
      </w:r>
      <w:r>
        <w:rPr>
          <w:rFonts w:cs="Arial"/>
        </w:rPr>
        <w:t>“ versendet.</w:t>
      </w:r>
    </w:p>
    <w:p w14:paraId="075AD559" w14:textId="41F0617E" w:rsidR="00E157A6" w:rsidRDefault="00F012C4" w:rsidP="00215CF9">
      <w:pPr>
        <w:pStyle w:val="Listenabsatz"/>
        <w:numPr>
          <w:ilvl w:val="0"/>
          <w:numId w:val="20"/>
        </w:numPr>
        <w:contextualSpacing w:val="0"/>
      </w:pPr>
      <w:r w:rsidRPr="00646DB7">
        <w:rPr>
          <w:rFonts w:cs="Arial"/>
        </w:rPr>
        <w:t xml:space="preserve">M+10 WT sendet der NB an den </w:t>
      </w:r>
      <w:r w:rsidR="00EE5FB8">
        <w:rPr>
          <w:rFonts w:cs="Arial"/>
        </w:rPr>
        <w:t>LF</w:t>
      </w:r>
      <w:r w:rsidRPr="00646DB7">
        <w:rPr>
          <w:rFonts w:cs="Arial"/>
        </w:rPr>
        <w:t xml:space="preserve"> eine MSCONS gemäß </w:t>
      </w:r>
      <w:proofErr w:type="spellStart"/>
      <w:r w:rsidRPr="00646DB7">
        <w:rPr>
          <w:rFonts w:cs="Arial"/>
        </w:rPr>
        <w:t>GeLi</w:t>
      </w:r>
      <w:proofErr w:type="spellEnd"/>
      <w:r w:rsidRPr="00646DB7">
        <w:rPr>
          <w:rFonts w:cs="Arial"/>
        </w:rPr>
        <w:t xml:space="preserve"> Gas. Ersatzwertkorrekturen gemäß DVGW</w:t>
      </w:r>
      <w:r w:rsidR="008D1927">
        <w:rPr>
          <w:rFonts w:cs="Arial"/>
        </w:rPr>
        <w:t>-Arbeitsblatt</w:t>
      </w:r>
      <w:r w:rsidRPr="00646DB7">
        <w:rPr>
          <w:rFonts w:cs="Arial"/>
        </w:rPr>
        <w:t xml:space="preserve"> G 685 seitens des NB sind zulässig und </w:t>
      </w:r>
      <w:r>
        <w:rPr>
          <w:rFonts w:cs="Arial"/>
        </w:rPr>
        <w:t>zu kennzeichnen. Die gemessenen Volumina sind mit dem Abrechnungs</w:t>
      </w:r>
      <w:r w:rsidRPr="00D06C83">
        <w:rPr>
          <w:rFonts w:cs="Arial"/>
        </w:rPr>
        <w:t xml:space="preserve">brennwert </w:t>
      </w:r>
      <w:r>
        <w:rPr>
          <w:rFonts w:cs="Arial"/>
        </w:rPr>
        <w:t xml:space="preserve">umzurechnen bzw. bei vorhandenem </w:t>
      </w:r>
      <w:proofErr w:type="spellStart"/>
      <w:r w:rsidRPr="00834A78">
        <w:rPr>
          <w:rFonts w:cs="Arial"/>
        </w:rPr>
        <w:t>Brennwertmengenumwerter</w:t>
      </w:r>
      <w:proofErr w:type="spellEnd"/>
      <w:r w:rsidRPr="00834A78">
        <w:rPr>
          <w:rFonts w:cs="Arial"/>
        </w:rPr>
        <w:t xml:space="preserve"> </w:t>
      </w:r>
      <w:r>
        <w:rPr>
          <w:rFonts w:cs="Arial"/>
        </w:rPr>
        <w:t>wird die gemessene</w:t>
      </w:r>
      <w:r w:rsidRPr="00834A78">
        <w:rPr>
          <w:rFonts w:cs="Arial"/>
        </w:rPr>
        <w:t xml:space="preserve"> Energie </w:t>
      </w:r>
      <w:r>
        <w:rPr>
          <w:rFonts w:cs="Arial"/>
        </w:rPr>
        <w:t xml:space="preserve">verwendet. Die Nachricht wird mit der OBIS Kennzahl 7-20:99.33.17 „endgültig“ versendet. Sofern Ersatzwertkorrekturen vorgenommen </w:t>
      </w:r>
      <w:proofErr w:type="gramStart"/>
      <w:r>
        <w:rPr>
          <w:rFonts w:cs="Arial"/>
        </w:rPr>
        <w:t>wurden</w:t>
      </w:r>
      <w:proofErr w:type="gramEnd"/>
      <w:r>
        <w:rPr>
          <w:rFonts w:cs="Arial"/>
        </w:rPr>
        <w:t xml:space="preserve"> erhält der TK an M+10 WT zusätzlich den ersatzwertkorrigierten Lastgang. Die gemessenen Volumina sind mit dem Bilanzierungsbrennwert</w:t>
      </w:r>
      <w:r w:rsidRPr="00D06C83">
        <w:rPr>
          <w:rFonts w:cs="Arial"/>
        </w:rPr>
        <w:t xml:space="preserve"> </w:t>
      </w:r>
      <w:r>
        <w:rPr>
          <w:rFonts w:cs="Arial"/>
        </w:rPr>
        <w:t>umzurechnen. Die Nachricht wird mit der OBIS Kennzahl 7-10:99.33.17 „vorläufig“ versendet.</w:t>
      </w:r>
    </w:p>
    <w:p w14:paraId="42B77C0B" w14:textId="77777777" w:rsidR="00E157A6" w:rsidRDefault="008F0645" w:rsidP="003C2438">
      <w:pPr>
        <w:pStyle w:val="Listenabsatz"/>
        <w:spacing w:before="120"/>
        <w:contextualSpacing w:val="0"/>
      </w:pPr>
      <w:r>
        <w:t xml:space="preserve">Dient ein Grenzübergangspunkt </w:t>
      </w:r>
      <w:r w:rsidR="00C61A04">
        <w:t xml:space="preserve">ausschließlich der </w:t>
      </w:r>
      <w:r w:rsidR="00DB5FF6">
        <w:t>Versorgung</w:t>
      </w:r>
      <w:r w:rsidR="00C61A04">
        <w:t xml:space="preserve"> von Letztverbrauchern</w:t>
      </w:r>
      <w:r w:rsidR="00D33C04">
        <w:t>,</w:t>
      </w:r>
      <w:r w:rsidR="00DB5FF6">
        <w:t xml:space="preserve"> so </w:t>
      </w:r>
      <w:r w:rsidR="00C70CD2">
        <w:t xml:space="preserve">kann </w:t>
      </w:r>
      <w:r w:rsidR="00DB5FF6">
        <w:t xml:space="preserve">dieser Punkt nach der Regel „Allokiert wie gemessen“ behandelt </w:t>
      </w:r>
      <w:r w:rsidR="00C70CD2">
        <w:t>werden. In diesem Fall wird der Punkt initial der</w:t>
      </w:r>
      <w:r w:rsidR="00DB5FF6">
        <w:t xml:space="preserve"> Fallgruppe </w:t>
      </w:r>
      <w:proofErr w:type="spellStart"/>
      <w:r w:rsidR="00DB5FF6">
        <w:t>RLMmT</w:t>
      </w:r>
      <w:proofErr w:type="spellEnd"/>
      <w:r w:rsidR="00DB5FF6">
        <w:t xml:space="preserve"> zugeordnet.</w:t>
      </w:r>
    </w:p>
    <w:p w14:paraId="141E7B21" w14:textId="3DD90726" w:rsidR="00F012C4" w:rsidRPr="003B3E2A" w:rsidRDefault="00F012C4" w:rsidP="008C6E25">
      <w:pPr>
        <w:pStyle w:val="berschrift4"/>
        <w:tabs>
          <w:tab w:val="num" w:pos="1106"/>
        </w:tabs>
        <w:spacing w:line="300" w:lineRule="atLeast"/>
        <w:ind w:left="1134" w:hanging="1106"/>
      </w:pPr>
      <w:bookmarkStart w:id="526" w:name="_Toc391540171"/>
      <w:bookmarkStart w:id="527" w:name="_Toc412661334"/>
      <w:bookmarkStart w:id="528" w:name="_Toc111118487"/>
      <w:r w:rsidRPr="006E7F5D">
        <w:t xml:space="preserve">Stündliche </w:t>
      </w:r>
      <w:r>
        <w:t xml:space="preserve">Energiedatenübermittlung </w:t>
      </w:r>
      <w:r w:rsidRPr="006E7F5D">
        <w:t xml:space="preserve">NB an </w:t>
      </w:r>
      <w:r w:rsidR="00EE5FB8">
        <w:t>LF</w:t>
      </w:r>
      <w:bookmarkEnd w:id="526"/>
      <w:bookmarkEnd w:id="527"/>
      <w:bookmarkEnd w:id="528"/>
    </w:p>
    <w:p w14:paraId="70665F40" w14:textId="343AE7EF" w:rsidR="008F322B" w:rsidRDefault="008F322B" w:rsidP="008F322B">
      <w:pPr>
        <w:spacing w:before="120"/>
      </w:pPr>
      <w:r>
        <w:t xml:space="preserve">Auf Anfrage des </w:t>
      </w:r>
      <w:r w:rsidR="00EE5FB8">
        <w:t>LF</w:t>
      </w:r>
      <w:r>
        <w:t xml:space="preserve"> werden gemäß Nr. 2 in Prozess D.1, </w:t>
      </w:r>
      <w:r w:rsidRPr="00085E02">
        <w:t>1.2.5.1.1 Turnusmäßige/Regelmäßige Messwertübermittlung</w:t>
      </w:r>
      <w:r>
        <w:t xml:space="preserve"> der Festlegung </w:t>
      </w:r>
      <w:proofErr w:type="spellStart"/>
      <w:r>
        <w:t>GeLi</w:t>
      </w:r>
      <w:proofErr w:type="spellEnd"/>
      <w:r>
        <w:t xml:space="preserve"> Gas Messwerte u</w:t>
      </w:r>
      <w:r w:rsidRPr="00085E02">
        <w:t>nverzüglich nach der stündlichen Erhebung im Stundentakt</w:t>
      </w:r>
      <w:r>
        <w:t xml:space="preserve"> vom NB an den TK übermittelt. Dazu versendet der NB stündlich unverzüglich eine MSCONS an den </w:t>
      </w:r>
      <w:r w:rsidR="00EE5FB8">
        <w:t>LF</w:t>
      </w:r>
      <w:r>
        <w:t>. Die Berechnung der Energie in kWh erfolgt mittels des Bilanzierungsbrennwertes durch den NB. Für den NB besteht keine Verpflichtung zur Plausibilisierung / Ersatzwertbildung. Die Qualität der Daten wird durch den Messwertstatus ausgedrückt, der im MSCONS AHB beschrieben ist.</w:t>
      </w:r>
    </w:p>
    <w:p w14:paraId="22611848" w14:textId="6381E6A1" w:rsidR="00A16E71" w:rsidRDefault="008F322B" w:rsidP="008F322B">
      <w:pPr>
        <w:spacing w:before="120"/>
      </w:pPr>
      <w:r>
        <w:t xml:space="preserve">Die Datenübermittlung für die erste Stunde des </w:t>
      </w:r>
      <w:proofErr w:type="spellStart"/>
      <w:r>
        <w:t>Gastags</w:t>
      </w:r>
      <w:proofErr w:type="spellEnd"/>
      <w:r>
        <w:t xml:space="preserve"> startet mit der Energie der ersten Lieferstunde. Mit jeder weiteren Stunde werden neben der letzten Lieferstunde auch </w:t>
      </w:r>
      <w:r w:rsidR="00853B5B">
        <w:t>die bisherige Energie</w:t>
      </w:r>
      <w:r>
        <w:t xml:space="preserve"> des Liefertages übersendet.</w:t>
      </w:r>
    </w:p>
    <w:p w14:paraId="01ED49B8" w14:textId="04AA75DF" w:rsidR="008F322B" w:rsidRDefault="008F322B" w:rsidP="008F322B">
      <w:pPr>
        <w:spacing w:before="120"/>
      </w:pPr>
      <w:r>
        <w:lastRenderedPageBreak/>
        <w:t xml:space="preserve">Wenn der Energiedatenversand aus den </w:t>
      </w:r>
      <w:r w:rsidR="00FA2D8E">
        <w:t>IT-Systemen</w:t>
      </w:r>
      <w:r>
        <w:t xml:space="preserve"> des NB im Fehlerfall nicht stündlich erfolgen kann, erfolgt zum nächstmöglichen Zeitpunkt der Versand des Lastgangs mit den bis dahin vorhandenen Lieferstunden.</w:t>
      </w:r>
    </w:p>
    <w:p w14:paraId="0731B6DE" w14:textId="77777777" w:rsidR="00D8339B" w:rsidRDefault="00F012C4" w:rsidP="003C2438">
      <w:pPr>
        <w:spacing w:before="120"/>
      </w:pPr>
      <w:r>
        <w:t>Der D+1 Versand der MSCONS bleibt davon unberührt.</w:t>
      </w:r>
    </w:p>
    <w:p w14:paraId="19411DC6" w14:textId="0979ABFF" w:rsidR="00AC7F31" w:rsidRDefault="00F012C4" w:rsidP="003C2438">
      <w:pPr>
        <w:spacing w:before="120"/>
      </w:pPr>
      <w:r w:rsidRPr="00980DDC">
        <w:t xml:space="preserve">Die Übermittlung von Zustandszahl und Bilanzierungsbrennwert in der stündlichen MSCONS ist </w:t>
      </w:r>
      <w:r w:rsidR="00D8339B">
        <w:t xml:space="preserve">für </w:t>
      </w:r>
      <w:r w:rsidR="0071541D">
        <w:t>NB</w:t>
      </w:r>
      <w:r w:rsidR="00804412">
        <w:t>,</w:t>
      </w:r>
      <w:r w:rsidR="00D8339B">
        <w:t xml:space="preserve"> die eine stündliche Gasbeschaffenheitsrekonstruktion betreiben</w:t>
      </w:r>
      <w:r w:rsidR="00804412">
        <w:t>,</w:t>
      </w:r>
      <w:r w:rsidR="00D8339B">
        <w:t xml:space="preserve"> </w:t>
      </w:r>
      <w:r w:rsidRPr="00980DDC">
        <w:t xml:space="preserve">nicht </w:t>
      </w:r>
      <w:r w:rsidR="00D8339B">
        <w:t>möglich.</w:t>
      </w:r>
    </w:p>
    <w:p w14:paraId="721FE519" w14:textId="77777777" w:rsidR="002B4E3B" w:rsidRDefault="002B4E3B" w:rsidP="003814B2">
      <w:pPr>
        <w:pStyle w:val="berschrift3"/>
        <w:spacing w:before="480"/>
        <w:ind w:left="1066" w:hanging="1026"/>
      </w:pPr>
      <w:bookmarkStart w:id="529" w:name="_Toc412661335"/>
      <w:bookmarkStart w:id="530" w:name="_Toc111118488"/>
      <w:bookmarkStart w:id="531" w:name="_Toc391540173"/>
      <w:r>
        <w:t>Allokation von Nominierungen</w:t>
      </w:r>
      <w:bookmarkEnd w:id="529"/>
      <w:bookmarkEnd w:id="530"/>
    </w:p>
    <w:p w14:paraId="4CA4D92B" w14:textId="1BC812A2" w:rsidR="00761177" w:rsidRDefault="002B4E3B" w:rsidP="004D75C1">
      <w:pPr>
        <w:pStyle w:val="berschrift4"/>
        <w:tabs>
          <w:tab w:val="num" w:pos="1106"/>
        </w:tabs>
        <w:spacing w:line="300" w:lineRule="atLeast"/>
        <w:ind w:left="1134" w:hanging="1106"/>
      </w:pPr>
      <w:bookmarkStart w:id="532" w:name="_Toc391540174"/>
      <w:bookmarkStart w:id="533" w:name="_Toc412661336"/>
      <w:bookmarkStart w:id="534" w:name="_Toc111118489"/>
      <w:r>
        <w:t xml:space="preserve">Allokation von Nominierungen gegenüber dem </w:t>
      </w:r>
      <w:bookmarkEnd w:id="532"/>
      <w:r>
        <w:t>NB</w:t>
      </w:r>
      <w:bookmarkEnd w:id="533"/>
      <w:bookmarkEnd w:id="534"/>
    </w:p>
    <w:p w14:paraId="6B2C2A33" w14:textId="33134E52" w:rsidR="002B4E3B" w:rsidRDefault="002B4E3B" w:rsidP="003C2438">
      <w:r w:rsidRPr="00B71C7F">
        <w:t xml:space="preserve">Für die Allokation </w:t>
      </w:r>
      <w:r>
        <w:t xml:space="preserve">der Zeitreihentypen </w:t>
      </w:r>
      <w:proofErr w:type="spellStart"/>
      <w:r>
        <w:t>Entryso</w:t>
      </w:r>
      <w:proofErr w:type="spellEnd"/>
      <w:r w:rsidR="00F107A6">
        <w:t>,</w:t>
      </w:r>
      <w:r>
        <w:t xml:space="preserve"> </w:t>
      </w:r>
      <w:proofErr w:type="spellStart"/>
      <w:r>
        <w:t>Exitso</w:t>
      </w:r>
      <w:proofErr w:type="spellEnd"/>
      <w:r>
        <w:t xml:space="preserve"> </w:t>
      </w:r>
      <w:r w:rsidR="00F107A6">
        <w:t xml:space="preserve">und </w:t>
      </w:r>
      <w:proofErr w:type="spellStart"/>
      <w:r w:rsidR="00F107A6">
        <w:t>ExitSP</w:t>
      </w:r>
      <w:proofErr w:type="spellEnd"/>
      <w:r w:rsidR="00F107A6">
        <w:t xml:space="preserve"> (ab </w:t>
      </w:r>
      <w:r w:rsidR="00FA6825">
        <w:t xml:space="preserve">dem </w:t>
      </w:r>
      <w:r w:rsidR="00F107A6">
        <w:t xml:space="preserve">Zeitpunkt der Anwendbarkeit) </w:t>
      </w:r>
      <w:r>
        <w:t xml:space="preserve">nach dem Verfahren „Allokiert wie Nominiert“ </w:t>
      </w:r>
      <w:r w:rsidRPr="00B71C7F">
        <w:t xml:space="preserve">wird der stündlich nominierte </w:t>
      </w:r>
      <w:r>
        <w:t xml:space="preserve">und vom NB bestätigte </w:t>
      </w:r>
      <w:r w:rsidR="002B16CF">
        <w:t>Nominierungsl</w:t>
      </w:r>
      <w:r w:rsidRPr="00B71C7F">
        <w:t xml:space="preserve">astgang </w:t>
      </w:r>
      <w:r>
        <w:t xml:space="preserve">zur Allokation </w:t>
      </w:r>
      <w:r w:rsidRPr="00B71C7F">
        <w:t>herangezogen.</w:t>
      </w:r>
    </w:p>
    <w:p w14:paraId="185BCFBB" w14:textId="77777777" w:rsidR="002B4E3B" w:rsidRDefault="002B4E3B" w:rsidP="003C2438">
      <w:r w:rsidRPr="004628C2">
        <w:t xml:space="preserve">Der </w:t>
      </w:r>
      <w:r>
        <w:t>NB</w:t>
      </w:r>
      <w:r w:rsidRPr="004628C2">
        <w:t xml:space="preserve"> aggregiert die stündlichen </w:t>
      </w:r>
      <w:r w:rsidR="002B16CF">
        <w:t xml:space="preserve">Nominierungslastgänge </w:t>
      </w:r>
      <w:r w:rsidRPr="004628C2">
        <w:t>je BK/SBK und versendet sie am</w:t>
      </w:r>
      <w:r>
        <w:t xml:space="preserve"> Tag</w:t>
      </w:r>
      <w:r w:rsidRPr="004628C2">
        <w:t xml:space="preserve"> D+1</w:t>
      </w:r>
      <w:r w:rsidR="0065115A">
        <w:t>,</w:t>
      </w:r>
      <w:r w:rsidRPr="004628C2">
        <w:t xml:space="preserve"> bis </w:t>
      </w:r>
      <w:r>
        <w:t>spätestens 1</w:t>
      </w:r>
      <w:r w:rsidRPr="004628C2">
        <w:t>2</w:t>
      </w:r>
      <w:r>
        <w:t>:</w:t>
      </w:r>
      <w:r w:rsidRPr="004628C2">
        <w:t>00 Uhr</w:t>
      </w:r>
      <w:r w:rsidR="0065115A">
        <w:t>,</w:t>
      </w:r>
      <w:r w:rsidRPr="004628C2">
        <w:t xml:space="preserve"> an den </w:t>
      </w:r>
      <w:r>
        <w:t xml:space="preserve">MGV im Format </w:t>
      </w:r>
      <w:r w:rsidRPr="0057770D">
        <w:t>ALOCAT</w:t>
      </w:r>
      <w:r w:rsidRPr="004628C2">
        <w:t xml:space="preserve">. Der </w:t>
      </w:r>
      <w:r>
        <w:t>MGV</w:t>
      </w:r>
      <w:r w:rsidRPr="004628C2">
        <w:t xml:space="preserve"> übernimmt die stündlichen </w:t>
      </w:r>
      <w:r w:rsidR="002B16CF">
        <w:t xml:space="preserve">Nominierungslastgänge </w:t>
      </w:r>
      <w:r w:rsidRPr="004628C2">
        <w:t xml:space="preserve">aller </w:t>
      </w:r>
      <w:r>
        <w:t>NB</w:t>
      </w:r>
      <w:r w:rsidRPr="004628C2">
        <w:t xml:space="preserve"> je BK/SBK und leitet sie NB-scharf an den </w:t>
      </w:r>
      <w:r>
        <w:t>BKV</w:t>
      </w:r>
      <w:r w:rsidRPr="004628C2">
        <w:t xml:space="preserve"> am Tag D+1</w:t>
      </w:r>
      <w:r w:rsidR="0065115A">
        <w:t>,</w:t>
      </w:r>
      <w:r w:rsidRPr="004628C2">
        <w:t xml:space="preserve"> bis </w:t>
      </w:r>
      <w:r>
        <w:t xml:space="preserve">spätestens </w:t>
      </w:r>
      <w:r w:rsidRPr="000D7FBB">
        <w:t>13</w:t>
      </w:r>
      <w:r>
        <w:t>:</w:t>
      </w:r>
      <w:r w:rsidRPr="000D7FBB">
        <w:t xml:space="preserve">00 </w:t>
      </w:r>
      <w:r w:rsidRPr="00D27E03">
        <w:t>Uhr</w:t>
      </w:r>
      <w:r w:rsidR="0065115A">
        <w:t>,</w:t>
      </w:r>
      <w:r w:rsidRPr="004628C2">
        <w:t xml:space="preserve"> weiter</w:t>
      </w:r>
      <w:r>
        <w:t xml:space="preserve"> im </w:t>
      </w:r>
      <w:r w:rsidRPr="00C331E7">
        <w:t xml:space="preserve">Format </w:t>
      </w:r>
      <w:r w:rsidRPr="0057770D">
        <w:t>ALOCAT</w:t>
      </w:r>
      <w:r w:rsidRPr="004628C2">
        <w:t xml:space="preserve">. Falls </w:t>
      </w:r>
      <w:proofErr w:type="spellStart"/>
      <w:r w:rsidRPr="004628C2">
        <w:t>Renominie</w:t>
      </w:r>
      <w:proofErr w:type="spellEnd"/>
      <w:r w:rsidR="0065115A">
        <w:t>-</w:t>
      </w:r>
      <w:r w:rsidRPr="004628C2">
        <w:t xml:space="preserve">rungen durchgeführt wurden, </w:t>
      </w:r>
      <w:r>
        <w:t xml:space="preserve">wird </w:t>
      </w:r>
      <w:r w:rsidRPr="004628C2">
        <w:t xml:space="preserve">die letzte gültige und vom </w:t>
      </w:r>
      <w:r>
        <w:t>NB</w:t>
      </w:r>
      <w:r w:rsidRPr="004628C2">
        <w:t xml:space="preserve"> bestätigte </w:t>
      </w:r>
      <w:proofErr w:type="spellStart"/>
      <w:r w:rsidRPr="004628C2">
        <w:t>Renominierung</w:t>
      </w:r>
      <w:proofErr w:type="spellEnd"/>
      <w:r w:rsidRPr="004628C2">
        <w:t xml:space="preserve"> </w:t>
      </w:r>
      <w:r>
        <w:t>als</w:t>
      </w:r>
      <w:r w:rsidRPr="004628C2">
        <w:t xml:space="preserve"> Allokation</w:t>
      </w:r>
      <w:r>
        <w:t xml:space="preserve"> verwendet</w:t>
      </w:r>
      <w:r w:rsidRPr="004628C2">
        <w:t>.</w:t>
      </w:r>
    </w:p>
    <w:p w14:paraId="153CED50" w14:textId="672FA5C1" w:rsidR="002B4E3B" w:rsidRPr="002B4E3B" w:rsidRDefault="002B4E3B" w:rsidP="004D75C1">
      <w:pPr>
        <w:pStyle w:val="berschrift4"/>
        <w:tabs>
          <w:tab w:val="num" w:pos="1106"/>
        </w:tabs>
        <w:spacing w:line="300" w:lineRule="atLeast"/>
        <w:ind w:left="1134" w:hanging="1106"/>
      </w:pPr>
      <w:bookmarkStart w:id="535" w:name="_Toc412661337"/>
      <w:bookmarkStart w:id="536" w:name="_Toc111118490"/>
      <w:r>
        <w:t>Allokation von Nominierungen gegenüber dem MGV</w:t>
      </w:r>
      <w:bookmarkEnd w:id="535"/>
      <w:bookmarkEnd w:id="536"/>
    </w:p>
    <w:p w14:paraId="5D68C843" w14:textId="77777777" w:rsidR="002B4E3B" w:rsidRDefault="002B4E3B" w:rsidP="003C2438">
      <w:r w:rsidRPr="00B71C7F">
        <w:t xml:space="preserve">Für die </w:t>
      </w:r>
      <w:bookmarkStart w:id="537" w:name="_Toc391540175"/>
      <w:r w:rsidRPr="00B71C7F">
        <w:t xml:space="preserve">Allokation </w:t>
      </w:r>
      <w:r>
        <w:t xml:space="preserve">der Zeitreihentypen Entry VHP und Exit VHP </w:t>
      </w:r>
      <w:r w:rsidRPr="00B71C7F">
        <w:t xml:space="preserve">wird der stündlich nominierte </w:t>
      </w:r>
      <w:r>
        <w:t xml:space="preserve">und vom MGV bestätigte </w:t>
      </w:r>
      <w:r w:rsidRPr="00B71C7F">
        <w:t xml:space="preserve">Lastgang </w:t>
      </w:r>
      <w:r>
        <w:t xml:space="preserve">zur Allokation </w:t>
      </w:r>
      <w:r w:rsidRPr="00B71C7F">
        <w:t>herangezogen.</w:t>
      </w:r>
    </w:p>
    <w:p w14:paraId="17D7A702" w14:textId="77777777" w:rsidR="002B4E3B" w:rsidRDefault="002B4E3B" w:rsidP="003C2438">
      <w:r w:rsidRPr="004628C2">
        <w:t xml:space="preserve">Der </w:t>
      </w:r>
      <w:r>
        <w:t>MGV</w:t>
      </w:r>
      <w:r w:rsidRPr="004628C2">
        <w:t xml:space="preserve"> aggregiert die stündlichen </w:t>
      </w:r>
      <w:r w:rsidR="002B16CF">
        <w:t xml:space="preserve">Nominierungslastgänge </w:t>
      </w:r>
      <w:r w:rsidRPr="004628C2">
        <w:t>je BK/SBK und versendet sie am</w:t>
      </w:r>
      <w:r>
        <w:t xml:space="preserve"> Tag</w:t>
      </w:r>
      <w:r w:rsidRPr="004628C2">
        <w:t xml:space="preserve"> D+1</w:t>
      </w:r>
      <w:r w:rsidR="0065115A">
        <w:t>,</w:t>
      </w:r>
      <w:r w:rsidRPr="004628C2">
        <w:t xml:space="preserve"> bis </w:t>
      </w:r>
      <w:r>
        <w:t>spätestens 1</w:t>
      </w:r>
      <w:r w:rsidR="002B16CF">
        <w:t>4</w:t>
      </w:r>
      <w:r>
        <w:t>:</w:t>
      </w:r>
      <w:r w:rsidRPr="004628C2">
        <w:t>00 Uhr</w:t>
      </w:r>
      <w:r w:rsidR="0065115A">
        <w:t>,</w:t>
      </w:r>
      <w:r w:rsidRPr="004628C2">
        <w:t xml:space="preserve"> an den </w:t>
      </w:r>
      <w:r w:rsidR="002B16CF">
        <w:t>BKV</w:t>
      </w:r>
      <w:r>
        <w:t xml:space="preserve"> im Format </w:t>
      </w:r>
      <w:r w:rsidRPr="0057770D">
        <w:t>ALOCAT</w:t>
      </w:r>
      <w:r w:rsidRPr="004628C2">
        <w:t xml:space="preserve">. </w:t>
      </w:r>
      <w:r w:rsidR="002B16CF">
        <w:rPr>
          <w:rFonts w:cs="Arial"/>
        </w:rPr>
        <w:t xml:space="preserve">In technisch bedingten Sonderfällen – die trilateral zwischen dem MGV und den beteiligten BKV abgestimmt werden – kann es zu einer Korrektur der Allokationsdaten kommen, diese werden spätestens am </w:t>
      </w:r>
      <w:r w:rsidR="002B16CF" w:rsidRPr="00DC62CF">
        <w:rPr>
          <w:rFonts w:cs="Arial"/>
        </w:rPr>
        <w:t>Tag D+3 WT</w:t>
      </w:r>
      <w:r w:rsidR="002B16CF">
        <w:rPr>
          <w:rFonts w:cs="Arial"/>
        </w:rPr>
        <w:t xml:space="preserve"> vom MGV an die BKV versandt. Die Nominierungsdaten am VHP bleiben unberührt und werden nicht geändert.</w:t>
      </w:r>
    </w:p>
    <w:p w14:paraId="472EA416" w14:textId="77777777" w:rsidR="002B4E3B" w:rsidRDefault="002B4E3B" w:rsidP="004D75C1">
      <w:pPr>
        <w:pStyle w:val="berschrift3"/>
        <w:tabs>
          <w:tab w:val="num" w:pos="1106"/>
        </w:tabs>
        <w:spacing w:before="480"/>
        <w:ind w:left="1134" w:hanging="1094"/>
      </w:pPr>
      <w:bookmarkStart w:id="538" w:name="_Toc412661338"/>
      <w:bookmarkStart w:id="539" w:name="_Toc111118491"/>
      <w:r>
        <w:t>Allokation von sonstigen Messungen</w:t>
      </w:r>
      <w:bookmarkEnd w:id="538"/>
      <w:bookmarkEnd w:id="539"/>
    </w:p>
    <w:p w14:paraId="6359A7D9" w14:textId="77777777" w:rsidR="00BB026A" w:rsidRDefault="00BB026A" w:rsidP="003C2438">
      <w:r>
        <w:t xml:space="preserve">Nach diesem Verfahren werden die </w:t>
      </w:r>
      <w:r w:rsidRPr="00B71C7F">
        <w:t>Allokation</w:t>
      </w:r>
      <w:r>
        <w:t>en</w:t>
      </w:r>
      <w:r w:rsidRPr="00B71C7F">
        <w:t xml:space="preserve"> </w:t>
      </w:r>
      <w:r>
        <w:t>de</w:t>
      </w:r>
      <w:r w:rsidR="00D13386">
        <w:t>s</w:t>
      </w:r>
      <w:r>
        <w:t xml:space="preserve"> Zeitreihentyp </w:t>
      </w:r>
      <w:proofErr w:type="spellStart"/>
      <w:r>
        <w:t>Entryso</w:t>
      </w:r>
      <w:proofErr w:type="spellEnd"/>
      <w:r w:rsidR="00C61A04">
        <w:t xml:space="preserve"> </w:t>
      </w:r>
      <w:r>
        <w:t>nach dem Verfahren „Allokiert wie Gemessen</w:t>
      </w:r>
      <w:bookmarkEnd w:id="537"/>
      <w:r>
        <w:t xml:space="preserve">“ sowie der Zeitreihentypen </w:t>
      </w:r>
      <w:r w:rsidR="00780040">
        <w:t>„</w:t>
      </w:r>
      <w:r w:rsidRPr="00BB026A">
        <w:t>Entry Biogas</w:t>
      </w:r>
      <w:r w:rsidR="00780040">
        <w:t>“</w:t>
      </w:r>
      <w:r w:rsidRPr="00BB026A">
        <w:t xml:space="preserve"> </w:t>
      </w:r>
      <w:r>
        <w:t xml:space="preserve">und </w:t>
      </w:r>
      <w:r w:rsidR="00780040">
        <w:t>„</w:t>
      </w:r>
      <w:r w:rsidRPr="001528A1">
        <w:t xml:space="preserve">Entry </w:t>
      </w:r>
      <w:r>
        <w:t>Wasserstoff</w:t>
      </w:r>
      <w:r w:rsidR="00780040">
        <w:t>“</w:t>
      </w:r>
      <w:r>
        <w:t xml:space="preserve"> abgewickelt.</w:t>
      </w:r>
      <w:r w:rsidR="00E510D7">
        <w:t xml:space="preserve"> Das Datenformat ist ALOCAT.</w:t>
      </w:r>
      <w:r w:rsidR="00E510D7" w:rsidRPr="00E510D7">
        <w:t xml:space="preserve"> </w:t>
      </w:r>
      <w:r w:rsidR="00E510D7">
        <w:t xml:space="preserve">Der Bilanzierungsbrennwert ist bei den Zeitreihentypen </w:t>
      </w:r>
      <w:r w:rsidR="00780040">
        <w:t>„</w:t>
      </w:r>
      <w:r w:rsidR="00E510D7" w:rsidRPr="00BB026A">
        <w:t>Entry Biogas</w:t>
      </w:r>
      <w:r w:rsidR="00780040">
        <w:t>“</w:t>
      </w:r>
      <w:r w:rsidR="00E510D7" w:rsidRPr="00BB026A">
        <w:t xml:space="preserve"> </w:t>
      </w:r>
      <w:r w:rsidR="00E510D7">
        <w:t xml:space="preserve">und </w:t>
      </w:r>
      <w:r w:rsidR="00780040">
        <w:t>„</w:t>
      </w:r>
      <w:r w:rsidR="00E510D7" w:rsidRPr="001528A1">
        <w:t xml:space="preserve">Entry </w:t>
      </w:r>
      <w:r w:rsidR="00E510D7">
        <w:t>Wasserstoff</w:t>
      </w:r>
      <w:r w:rsidR="00780040">
        <w:t>“</w:t>
      </w:r>
      <w:r w:rsidR="00E510D7">
        <w:t xml:space="preserve"> der am </w:t>
      </w:r>
      <w:r w:rsidR="006B1E20">
        <w:t>Einspeis</w:t>
      </w:r>
      <w:r w:rsidR="00902AE8">
        <w:t>e</w:t>
      </w:r>
      <w:r w:rsidR="006B1E20">
        <w:t>punkt</w:t>
      </w:r>
      <w:r w:rsidR="00E510D7">
        <w:t xml:space="preserve"> gemessene Brennwert; bei </w:t>
      </w:r>
      <w:proofErr w:type="spellStart"/>
      <w:r w:rsidR="00E510D7">
        <w:t>Entryso</w:t>
      </w:r>
      <w:proofErr w:type="spellEnd"/>
      <w:r w:rsidR="00E510D7">
        <w:t xml:space="preserve"> kann es ein vor Ort gemessener Brennwert sein.</w:t>
      </w:r>
    </w:p>
    <w:p w14:paraId="01891118" w14:textId="77777777" w:rsidR="006E3950" w:rsidRDefault="00BB026A" w:rsidP="007F76BC">
      <w:pPr>
        <w:pStyle w:val="Listenabsatz"/>
        <w:numPr>
          <w:ilvl w:val="0"/>
          <w:numId w:val="48"/>
        </w:numPr>
        <w:ind w:left="284" w:hanging="284"/>
        <w:contextualSpacing w:val="0"/>
      </w:pPr>
      <w:r>
        <w:lastRenderedPageBreak/>
        <w:t>Täglich am Tag D+1</w:t>
      </w:r>
      <w:r w:rsidR="0065115A">
        <w:t>,</w:t>
      </w:r>
      <w:r>
        <w:t xml:space="preserve"> bis spätestens 12:00 Uhr</w:t>
      </w:r>
      <w:r w:rsidR="0065115A">
        <w:t>,</w:t>
      </w:r>
      <w:r>
        <w:t xml:space="preserve"> alle gemessenen Stundenwerte des </w:t>
      </w:r>
      <w:proofErr w:type="spellStart"/>
      <w:r>
        <w:t>Gastages</w:t>
      </w:r>
      <w:proofErr w:type="spellEnd"/>
      <w:r>
        <w:t xml:space="preserve"> D </w:t>
      </w:r>
      <w:r w:rsidR="00BD665E">
        <w:rPr>
          <w:rFonts w:cs="Arial"/>
        </w:rPr>
        <w:t>umgewertet</w:t>
      </w:r>
      <w:r>
        <w:t xml:space="preserve"> mit Bilanzier</w:t>
      </w:r>
      <w:r w:rsidR="00E510D7">
        <w:t>ungsbrennwert vom NB an den MGV</w:t>
      </w:r>
      <w:r>
        <w:t>.</w:t>
      </w:r>
    </w:p>
    <w:p w14:paraId="0261705B" w14:textId="77777777" w:rsidR="006E3950" w:rsidRDefault="00BB026A" w:rsidP="007F76BC">
      <w:pPr>
        <w:pStyle w:val="Listenabsatz"/>
        <w:numPr>
          <w:ilvl w:val="0"/>
          <w:numId w:val="48"/>
        </w:numPr>
        <w:ind w:left="284" w:hanging="284"/>
        <w:contextualSpacing w:val="0"/>
      </w:pPr>
      <w:r>
        <w:t>Täglich am Tag D+1</w:t>
      </w:r>
      <w:r w:rsidR="0065115A">
        <w:t>,</w:t>
      </w:r>
      <w:r>
        <w:t xml:space="preserve"> bis spätestens 13:00 Uhr</w:t>
      </w:r>
      <w:r w:rsidR="0065115A">
        <w:t>,</w:t>
      </w:r>
      <w:r>
        <w:t xml:space="preserve"> alle gemessenen Stundenwerte des </w:t>
      </w:r>
      <w:proofErr w:type="spellStart"/>
      <w:r>
        <w:t>Gastages</w:t>
      </w:r>
      <w:proofErr w:type="spellEnd"/>
      <w:r>
        <w:t xml:space="preserve"> D </w:t>
      </w:r>
      <w:r w:rsidR="00BD665E">
        <w:rPr>
          <w:rFonts w:cs="Arial"/>
        </w:rPr>
        <w:t>umgewertet</w:t>
      </w:r>
      <w:r>
        <w:t xml:space="preserve"> mit Bilanzierungsbrennwert vom MGV an den BKV.</w:t>
      </w:r>
    </w:p>
    <w:p w14:paraId="6F201418" w14:textId="150CA95C" w:rsidR="006E3950" w:rsidRDefault="00BB026A" w:rsidP="007F76BC">
      <w:pPr>
        <w:pStyle w:val="Listenabsatz"/>
        <w:numPr>
          <w:ilvl w:val="0"/>
          <w:numId w:val="48"/>
        </w:numPr>
        <w:ind w:left="284" w:hanging="284"/>
        <w:contextualSpacing w:val="0"/>
      </w:pPr>
      <w:r>
        <w:t xml:space="preserve">Spätestens M+12WT alle gemessenen Stundenwerte des Liefermonats M </w:t>
      </w:r>
      <w:r w:rsidR="00BD665E">
        <w:rPr>
          <w:rFonts w:cs="Arial"/>
        </w:rPr>
        <w:t>umgewertet</w:t>
      </w:r>
      <w:r>
        <w:t xml:space="preserve"> mit </w:t>
      </w:r>
      <w:r w:rsidR="00E510D7">
        <w:t>Abrechnungsbrennwert vom NB an den MGV</w:t>
      </w:r>
      <w:r>
        <w:t>. Ersatzwertkorrekturen nach DVGW</w:t>
      </w:r>
      <w:r w:rsidR="008D1927">
        <w:t>-Arbeitsblatt</w:t>
      </w:r>
      <w:r>
        <w:t xml:space="preserve"> G 685 werden berücksichtigt.</w:t>
      </w:r>
    </w:p>
    <w:p w14:paraId="3CAFDB88" w14:textId="7363DE71" w:rsidR="006E3950" w:rsidRDefault="00BB026A" w:rsidP="007F76BC">
      <w:pPr>
        <w:pStyle w:val="Listenabsatz"/>
        <w:numPr>
          <w:ilvl w:val="0"/>
          <w:numId w:val="48"/>
        </w:numPr>
        <w:ind w:left="284" w:hanging="284"/>
        <w:contextualSpacing w:val="0"/>
      </w:pPr>
      <w:r>
        <w:t xml:space="preserve">Spätestens M+14WT alle gemessenen Stundenwerte des Liefermonats M mit </w:t>
      </w:r>
      <w:r w:rsidR="00E510D7">
        <w:t>Abrechnungsbrennwert</w:t>
      </w:r>
      <w:r w:rsidR="008D55D4">
        <w:t xml:space="preserve"> vom MGV an den BKV. Ersatzwert</w:t>
      </w:r>
      <w:r>
        <w:t>korrekturen nach DVGW</w:t>
      </w:r>
      <w:r w:rsidR="008D1927">
        <w:t>-Arbeitsblatt</w:t>
      </w:r>
      <w:r>
        <w:t xml:space="preserve"> G 685 werden berücksichtigt.</w:t>
      </w:r>
    </w:p>
    <w:p w14:paraId="1A5282AA" w14:textId="52E08601" w:rsidR="006A752C" w:rsidRDefault="006A752C" w:rsidP="006A752C">
      <w:pPr>
        <w:spacing w:before="120"/>
      </w:pPr>
      <w:r>
        <w:t>Bei der Allokation von RLM-</w:t>
      </w:r>
      <w:r w:rsidR="00EE5FB8">
        <w:t>Marktlokationen</w:t>
      </w:r>
      <w:r>
        <w:t xml:space="preserve"> für Leistungszeiträume vor dem 01.10.2021 müssen die jeweiligen Bilanzkreisnummern der Marktgebiete GASPOOL und NCG verwendet werden.</w:t>
      </w:r>
    </w:p>
    <w:p w14:paraId="6826247B" w14:textId="77777777" w:rsidR="006A752C" w:rsidRDefault="006A752C" w:rsidP="003C2438"/>
    <w:p w14:paraId="4185D6D5" w14:textId="4807A3DD" w:rsidR="00C00425" w:rsidRDefault="00D90FCB" w:rsidP="003C2438">
      <w:r>
        <w:t xml:space="preserve">Bei der </w:t>
      </w:r>
      <w:bookmarkStart w:id="540" w:name="_Toc296694106"/>
      <w:bookmarkStart w:id="541" w:name="_Toc391540176"/>
      <w:bookmarkStart w:id="542" w:name="_Toc284323645"/>
      <w:bookmarkStart w:id="543" w:name="_Toc284334323"/>
      <w:bookmarkStart w:id="544" w:name="_Toc285005294"/>
      <w:r>
        <w:t>Allokation von Biogaseinspeisungen ist zu beachten, dass in den meisten Fällen die Einspeisemessung ungleich der zu allokierenden Zeitreihe „Entry Biogas</w:t>
      </w:r>
      <w:bookmarkEnd w:id="540"/>
      <w:bookmarkEnd w:id="541"/>
      <w:bookmarkEnd w:id="542"/>
      <w:bookmarkEnd w:id="543"/>
      <w:bookmarkEnd w:id="544"/>
      <w:r>
        <w:t>“ ist und diese Zeitreihe deshalb vom NB berechnet werden muss.</w:t>
      </w:r>
    </w:p>
    <w:p w14:paraId="468F8ED5" w14:textId="77777777" w:rsidR="00D90FCB" w:rsidRDefault="00D90FCB" w:rsidP="003C2438"/>
    <w:p w14:paraId="0C6758F9" w14:textId="77777777" w:rsidR="00980729" w:rsidRDefault="005C552B" w:rsidP="003C2438">
      <w:pPr>
        <w:pStyle w:val="Listenabsatz"/>
        <w:keepNext/>
        <w:spacing w:after="0"/>
        <w:ind w:left="720"/>
        <w:contextualSpacing w:val="0"/>
      </w:pPr>
      <w:r>
        <w:rPr>
          <w:noProof/>
        </w:rPr>
        <w:lastRenderedPageBreak/>
        <w:drawing>
          <wp:inline distT="0" distB="0" distL="0" distR="0" wp14:anchorId="563BC282" wp14:editId="4DA1D4AF">
            <wp:extent cx="5759450" cy="3795131"/>
            <wp:effectExtent l="19050" t="0" r="0"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srcRect/>
                    <a:stretch>
                      <a:fillRect/>
                    </a:stretch>
                  </pic:blipFill>
                  <pic:spPr bwMode="auto">
                    <a:xfrm>
                      <a:off x="0" y="0"/>
                      <a:ext cx="5759450" cy="3795131"/>
                    </a:xfrm>
                    <a:prstGeom prst="rect">
                      <a:avLst/>
                    </a:prstGeom>
                    <a:noFill/>
                    <a:ln w="9525">
                      <a:noFill/>
                      <a:miter lim="800000"/>
                      <a:headEnd/>
                      <a:tailEnd/>
                    </a:ln>
                  </pic:spPr>
                </pic:pic>
              </a:graphicData>
            </a:graphic>
          </wp:inline>
        </w:drawing>
      </w:r>
    </w:p>
    <w:p w14:paraId="73CD08E4" w14:textId="774374A0" w:rsidR="00980729" w:rsidRDefault="00B61F42" w:rsidP="003C2438">
      <w:pPr>
        <w:pStyle w:val="Abbildung"/>
        <w:spacing w:before="240" w:after="360"/>
        <w:rPr>
          <w:b/>
          <w:bCs/>
        </w:rPr>
      </w:pPr>
      <w:bookmarkStart w:id="545" w:name="_Toc412562638"/>
      <w:bookmarkStart w:id="546" w:name="_Toc437530323"/>
      <w:bookmarkStart w:id="547" w:name="_Toc111118596"/>
      <w:bookmarkStart w:id="548" w:name="_Toc111196142"/>
      <w:r w:rsidRPr="00922E3E">
        <w:rPr>
          <w:b/>
          <w:bCs/>
        </w:rPr>
        <w:t xml:space="preserve">Abbildung </w:t>
      </w:r>
      <w:r w:rsidR="00561FFA" w:rsidRPr="00922E3E">
        <w:rPr>
          <w:b/>
          <w:bCs/>
        </w:rPr>
        <w:fldChar w:fldCharType="begin"/>
      </w:r>
      <w:r w:rsidRPr="00922E3E">
        <w:rPr>
          <w:b/>
          <w:bCs/>
        </w:rPr>
        <w:instrText xml:space="preserve"> SEQ Abbildung \* ARABIC </w:instrText>
      </w:r>
      <w:r w:rsidR="00561FFA" w:rsidRPr="00922E3E">
        <w:rPr>
          <w:b/>
          <w:bCs/>
        </w:rPr>
        <w:fldChar w:fldCharType="separate"/>
      </w:r>
      <w:r w:rsidR="00D400FA">
        <w:rPr>
          <w:b/>
          <w:bCs/>
        </w:rPr>
        <w:t>13</w:t>
      </w:r>
      <w:r w:rsidR="00561FFA" w:rsidRPr="00922E3E">
        <w:rPr>
          <w:b/>
          <w:bCs/>
        </w:rPr>
        <w:fldChar w:fldCharType="end"/>
      </w:r>
      <w:r w:rsidRPr="00922E3E">
        <w:rPr>
          <w:b/>
          <w:bCs/>
        </w:rPr>
        <w:t>: Beispielhafte Darstellung verschiedener Messungen an einem Netzanschluss für Biogasaufbereitungsanlagen</w:t>
      </w:r>
      <w:bookmarkEnd w:id="502"/>
      <w:bookmarkEnd w:id="503"/>
      <w:bookmarkEnd w:id="504"/>
      <w:bookmarkEnd w:id="505"/>
      <w:bookmarkEnd w:id="506"/>
      <w:bookmarkEnd w:id="507"/>
      <w:bookmarkEnd w:id="531"/>
      <w:bookmarkEnd w:id="545"/>
      <w:bookmarkEnd w:id="546"/>
      <w:bookmarkEnd w:id="547"/>
      <w:bookmarkEnd w:id="548"/>
    </w:p>
    <w:p w14:paraId="1BDB1B20" w14:textId="77777777" w:rsidR="0099526D" w:rsidRDefault="00DF612D" w:rsidP="008C6E25">
      <w:pPr>
        <w:pStyle w:val="berschrift3"/>
        <w:tabs>
          <w:tab w:val="num" w:pos="-4962"/>
        </w:tabs>
        <w:spacing w:before="480"/>
        <w:ind w:left="993" w:hanging="953"/>
      </w:pPr>
      <w:bookmarkStart w:id="549" w:name="_Toc284323649"/>
      <w:bookmarkStart w:id="550" w:name="_Toc284334327"/>
      <w:bookmarkStart w:id="551" w:name="_Toc285005298"/>
      <w:bookmarkStart w:id="552" w:name="_Ref290414639"/>
      <w:bookmarkStart w:id="553" w:name="_Ref290845480"/>
      <w:bookmarkStart w:id="554" w:name="_Ref292982479"/>
      <w:bookmarkStart w:id="555" w:name="_Toc296694107"/>
      <w:bookmarkStart w:id="556" w:name="_Toc391540178"/>
      <w:bookmarkStart w:id="557" w:name="_Ref433965245"/>
      <w:bookmarkStart w:id="558" w:name="_Toc412661339"/>
      <w:bookmarkStart w:id="559" w:name="_Ref446347614"/>
      <w:bookmarkStart w:id="560" w:name="_Toc111118492"/>
      <w:r w:rsidRPr="009B0844">
        <w:t>Allokation von Netzkopplungspunkten (Zeitreihentyp „Entry NKP“)</w:t>
      </w:r>
      <w:bookmarkEnd w:id="549"/>
      <w:bookmarkEnd w:id="550"/>
      <w:bookmarkEnd w:id="551"/>
      <w:bookmarkEnd w:id="552"/>
      <w:bookmarkEnd w:id="553"/>
      <w:bookmarkEnd w:id="554"/>
      <w:bookmarkEnd w:id="555"/>
      <w:bookmarkEnd w:id="556"/>
      <w:bookmarkEnd w:id="557"/>
      <w:bookmarkEnd w:id="558"/>
      <w:bookmarkEnd w:id="559"/>
      <w:bookmarkEnd w:id="560"/>
    </w:p>
    <w:p w14:paraId="3FAC5DB0" w14:textId="3486DC78" w:rsidR="00FF6E08" w:rsidRDefault="00FF6E08" w:rsidP="003C2438">
      <w:pPr>
        <w:rPr>
          <w:rFonts w:cs="Arial"/>
        </w:rPr>
      </w:pPr>
      <w:r>
        <w:t>Der gemäß</w:t>
      </w:r>
      <w:r w:rsidDel="00815124">
        <w:t xml:space="preserve"> </w:t>
      </w:r>
      <w:r w:rsidR="00815124">
        <w:t>§ </w:t>
      </w:r>
      <w:r>
        <w:t xml:space="preserve">30 </w:t>
      </w:r>
      <w:proofErr w:type="spellStart"/>
      <w:r>
        <w:t>KoV</w:t>
      </w:r>
      <w:proofErr w:type="spellEnd"/>
      <w:r>
        <w:t xml:space="preserve"> für Netzkopplungspunktmeldungen verantwortliche </w:t>
      </w:r>
      <w:r w:rsidR="00DF612D">
        <w:t>NB sendet täglich am Tag D+</w:t>
      </w:r>
      <w:r w:rsidR="00DF612D" w:rsidRPr="009A0D46">
        <w:t>1</w:t>
      </w:r>
      <w:r w:rsidR="0065115A">
        <w:t>,</w:t>
      </w:r>
      <w:r w:rsidR="00DF612D" w:rsidRPr="009A0D46">
        <w:t xml:space="preserve"> bis spätestens </w:t>
      </w:r>
      <w:r w:rsidR="00DF612D" w:rsidRPr="009044FA">
        <w:t>17</w:t>
      </w:r>
      <w:r w:rsidR="00DF612D">
        <w:t>:00</w:t>
      </w:r>
      <w:r w:rsidR="00DF612D" w:rsidRPr="009A0D46">
        <w:t xml:space="preserve"> Uhr</w:t>
      </w:r>
      <w:r w:rsidR="0065115A">
        <w:t>,</w:t>
      </w:r>
      <w:r w:rsidR="00DF612D">
        <w:t xml:space="preserve"> </w:t>
      </w:r>
      <w:r w:rsidR="00DF612D" w:rsidRPr="004628C2">
        <w:t xml:space="preserve">an den </w:t>
      </w:r>
      <w:r w:rsidR="00DF612D">
        <w:t xml:space="preserve">MGV </w:t>
      </w:r>
      <w:r w:rsidR="00DF612D" w:rsidRPr="00AA49E8">
        <w:t xml:space="preserve">und an den/die </w:t>
      </w:r>
      <w:r>
        <w:t>angrenzenden</w:t>
      </w:r>
      <w:r w:rsidR="00DF612D" w:rsidRPr="009044FA">
        <w:t xml:space="preserve"> N</w:t>
      </w:r>
      <w:r w:rsidR="00DF612D">
        <w:t>B im Format ALOCAT den Lastgang für den Tag D als Summe aller Netzkopplungspunkte</w:t>
      </w:r>
      <w:r w:rsidR="006A752C">
        <w:t xml:space="preserve"> je Netzkonto</w:t>
      </w:r>
      <w:r w:rsidR="00DF612D" w:rsidRPr="00152556">
        <w:t>.</w:t>
      </w:r>
    </w:p>
    <w:p w14:paraId="4BD3823F" w14:textId="47791F39" w:rsidR="00091645" w:rsidRDefault="00FF6E08" w:rsidP="006A752C">
      <w:r>
        <w:rPr>
          <w:rFonts w:cs="Arial"/>
        </w:rPr>
        <w:t>Auch die gemäß</w:t>
      </w:r>
      <w:r w:rsidDel="00815124">
        <w:rPr>
          <w:rFonts w:cs="Arial"/>
        </w:rPr>
        <w:t xml:space="preserve"> </w:t>
      </w:r>
      <w:r w:rsidR="00815124">
        <w:rPr>
          <w:rFonts w:cs="Arial"/>
        </w:rPr>
        <w:t>§ </w:t>
      </w:r>
      <w:r>
        <w:rPr>
          <w:rFonts w:cs="Arial"/>
        </w:rPr>
        <w:t xml:space="preserve">30 </w:t>
      </w:r>
      <w:proofErr w:type="spellStart"/>
      <w:r>
        <w:rPr>
          <w:rFonts w:cs="Arial"/>
        </w:rPr>
        <w:t>KoV</w:t>
      </w:r>
      <w:proofErr w:type="spellEnd"/>
      <w:r>
        <w:rPr>
          <w:rFonts w:cs="Arial"/>
        </w:rPr>
        <w:t xml:space="preserve"> nicht-verantwortlichen </w:t>
      </w:r>
      <w:r w:rsidR="006D7DA3">
        <w:rPr>
          <w:rFonts w:cs="Arial"/>
        </w:rPr>
        <w:t>NB</w:t>
      </w:r>
      <w:r>
        <w:rPr>
          <w:rFonts w:cs="Arial"/>
        </w:rPr>
        <w:t xml:space="preserve"> sind berechtigt, die täglichen Netzkopplungspunkt-Zeitreihen an den </w:t>
      </w:r>
      <w:r w:rsidR="006D7DA3">
        <w:rPr>
          <w:rFonts w:cs="Arial"/>
        </w:rPr>
        <w:t>MGV</w:t>
      </w:r>
      <w:r>
        <w:rPr>
          <w:rFonts w:cs="Arial"/>
        </w:rPr>
        <w:t xml:space="preserve"> zu übersenden und verpflichtet, diese dem jeweils angrenzenden </w:t>
      </w:r>
      <w:r w:rsidR="006D7DA3">
        <w:rPr>
          <w:rFonts w:cs="Arial"/>
        </w:rPr>
        <w:t>NB</w:t>
      </w:r>
      <w:r>
        <w:rPr>
          <w:rFonts w:cs="Arial"/>
        </w:rPr>
        <w:t xml:space="preserve"> zur Verfügung zu stellen. </w:t>
      </w:r>
      <w:r>
        <w:t xml:space="preserve">Liegen aggregierte </w:t>
      </w:r>
      <w:r w:rsidRPr="0020041C">
        <w:rPr>
          <w:rFonts w:cs="Arial"/>
        </w:rPr>
        <w:t>Netzkopplungspunkt</w:t>
      </w:r>
      <w:r>
        <w:t xml:space="preserve">-Zeitreihen von beiden angrenzenden </w:t>
      </w:r>
      <w:r w:rsidR="006D7DA3">
        <w:t>NB</w:t>
      </w:r>
      <w:r>
        <w:t xml:space="preserve"> vor, gelten die von dem </w:t>
      </w:r>
      <w:r w:rsidRPr="00F85E25">
        <w:t xml:space="preserve">gemäß </w:t>
      </w:r>
      <w:r w:rsidR="00EB609F" w:rsidRPr="00EB609F" w:rsidDel="00815124">
        <w:t>§</w:t>
      </w:r>
      <w:r w:rsidR="00815124">
        <w:t> </w:t>
      </w:r>
      <w:r w:rsidR="00EB609F" w:rsidRPr="00EB609F">
        <w:t xml:space="preserve">30 Ziffer 1 </w:t>
      </w:r>
      <w:proofErr w:type="spellStart"/>
      <w:r w:rsidR="00EB609F" w:rsidRPr="00EB609F">
        <w:t>KoV</w:t>
      </w:r>
      <w:proofErr w:type="spellEnd"/>
      <w:r w:rsidR="00EB609F" w:rsidRPr="00EB609F">
        <w:t xml:space="preserve"> </w:t>
      </w:r>
      <w:r w:rsidRPr="00F85E25">
        <w:t>für die Netzkopplungspunktmeldungen verantwortliche</w:t>
      </w:r>
      <w:r>
        <w:t>n</w:t>
      </w:r>
      <w:r w:rsidRPr="00F85E25">
        <w:t xml:space="preserve"> </w:t>
      </w:r>
      <w:r w:rsidR="006D7DA3">
        <w:t>NB</w:t>
      </w:r>
      <w:r>
        <w:t xml:space="preserve"> allokierten Daten als Grundlage für den Netzkontostand. </w:t>
      </w:r>
      <w:r w:rsidR="00DF612D">
        <w:t>Die Meldungen erfolgen</w:t>
      </w:r>
      <w:r w:rsidR="00DF612D" w:rsidRPr="00B0797C">
        <w:t xml:space="preserve"> je </w:t>
      </w:r>
      <w:r w:rsidR="00DF612D">
        <w:t xml:space="preserve">Netzkonto </w:t>
      </w:r>
      <w:r w:rsidR="00DF612D" w:rsidRPr="00B0797C">
        <w:t xml:space="preserve">unter Angabe der Netzkontonummer des vorgelagerten </w:t>
      </w:r>
      <w:r w:rsidR="0071541D">
        <w:t>NB</w:t>
      </w:r>
      <w:r w:rsidR="0071541D" w:rsidRPr="00B0797C">
        <w:t xml:space="preserve"> </w:t>
      </w:r>
      <w:r w:rsidR="00DF612D">
        <w:t>als</w:t>
      </w:r>
      <w:r w:rsidR="00DF612D" w:rsidRPr="00B0797C">
        <w:t xml:space="preserve"> </w:t>
      </w:r>
      <w:r w:rsidR="0071541D">
        <w:t>ZRT</w:t>
      </w:r>
      <w:r w:rsidR="0071541D" w:rsidRPr="00B0797C">
        <w:t xml:space="preserve"> </w:t>
      </w:r>
      <w:r w:rsidR="00DF612D" w:rsidRPr="00B0797C">
        <w:t>„Entry</w:t>
      </w:r>
      <w:r w:rsidR="00DF612D">
        <w:t xml:space="preserve"> NKP“. Bei der Nachricht an den MGV und der Nachricht an den/die vorgelagerten NB sind je Empfänger die Adressierungsvorgaben der EDIFACT-Nachrichten zu berücksichtigen.</w:t>
      </w:r>
      <w:r w:rsidR="005E3557">
        <w:t xml:space="preserve"> </w:t>
      </w:r>
      <w:r w:rsidR="00DF612D">
        <w:t xml:space="preserve">Die Allokation am Tag D+1 erfolgt auf Basis eines vorläufigen Einspeisebrennwertes, der dem </w:t>
      </w:r>
      <w:r w:rsidR="00DF612D" w:rsidRPr="0067247D">
        <w:lastRenderedPageBreak/>
        <w:t xml:space="preserve">Bilanzierungsbrennwert </w:t>
      </w:r>
      <w:r w:rsidR="00150F2A" w:rsidRPr="0067247D">
        <w:t>gemäß Kap</w:t>
      </w:r>
      <w:r w:rsidR="00257CFE" w:rsidRPr="0067247D">
        <w:t>.</w:t>
      </w:r>
      <w:r w:rsidR="00150F2A" w:rsidRPr="0067247D">
        <w:t xml:space="preserve"> </w:t>
      </w:r>
      <w:r w:rsidR="0011373C">
        <w:fldChar w:fldCharType="begin"/>
      </w:r>
      <w:r w:rsidR="0011373C">
        <w:instrText xml:space="preserve"> REF _Ref412554401 \r \h  \* MERGEFORMAT </w:instrText>
      </w:r>
      <w:r w:rsidR="0011373C">
        <w:fldChar w:fldCharType="separate"/>
      </w:r>
      <w:r w:rsidR="00692E23">
        <w:t>5.2</w:t>
      </w:r>
      <w:r w:rsidR="0011373C">
        <w:fldChar w:fldCharType="end"/>
      </w:r>
      <w:r w:rsidR="0086329F" w:rsidRPr="0067247D">
        <w:t xml:space="preserve"> </w:t>
      </w:r>
      <w:r w:rsidR="00150F2A" w:rsidRPr="0067247D">
        <w:t>entspricht</w:t>
      </w:r>
      <w:r w:rsidR="00DF612D" w:rsidRPr="0067247D">
        <w:t>. Die dabei zu generierende Datenqualität entspricht der Qualität der RLM Allokation im D+1 Prozess.</w:t>
      </w:r>
    </w:p>
    <w:p w14:paraId="45345946" w14:textId="59F110B1" w:rsidR="000C6A9F" w:rsidRPr="001322F2" w:rsidRDefault="00DF612D" w:rsidP="001322F2">
      <w:pPr>
        <w:rPr>
          <w:rFonts w:cs="Arial"/>
        </w:rPr>
      </w:pPr>
      <w:r w:rsidRPr="001322F2">
        <w:rPr>
          <w:rFonts w:cs="Arial"/>
        </w:rPr>
        <w:t xml:space="preserve">Nach Ablauf des Liefermonats werden alle Einzellastgänge der NKP gemäß </w:t>
      </w:r>
      <w:r w:rsidR="00EE5FB8">
        <w:rPr>
          <w:rFonts w:cs="Arial"/>
        </w:rPr>
        <w:t>DVGW</w:t>
      </w:r>
      <w:r w:rsidR="008D1927">
        <w:rPr>
          <w:rFonts w:cs="Arial"/>
        </w:rPr>
        <w:t>-</w:t>
      </w:r>
      <w:r w:rsidR="00EE5FB8">
        <w:rPr>
          <w:rFonts w:cs="Arial"/>
        </w:rPr>
        <w:t xml:space="preserve">Arbeitsblatt </w:t>
      </w:r>
      <w:r w:rsidRPr="001322F2">
        <w:rPr>
          <w:rFonts w:cs="Arial"/>
        </w:rPr>
        <w:t xml:space="preserve">G 685 plausibilisiert und es werden ggf. Ersatzwerte gebildet. </w:t>
      </w:r>
      <w:r w:rsidR="008624B8" w:rsidRPr="001322F2">
        <w:rPr>
          <w:rFonts w:cs="Arial"/>
        </w:rPr>
        <w:t>Es werden immer (auch im Falle von</w:t>
      </w:r>
      <w:r w:rsidR="007531EA" w:rsidRPr="001322F2">
        <w:rPr>
          <w:rFonts w:cs="Arial"/>
        </w:rPr>
        <w:t xml:space="preserve"> Gemeinschaftsleitun</w:t>
      </w:r>
      <w:r w:rsidR="008624B8" w:rsidRPr="001322F2">
        <w:rPr>
          <w:rFonts w:cs="Arial"/>
        </w:rPr>
        <w:t xml:space="preserve">gen) </w:t>
      </w:r>
      <w:r w:rsidR="007531EA" w:rsidRPr="001322F2">
        <w:rPr>
          <w:rFonts w:cs="Arial"/>
        </w:rPr>
        <w:t>die physikalischen Lastgänge</w:t>
      </w:r>
      <w:r w:rsidR="008624B8" w:rsidRPr="001322F2">
        <w:rPr>
          <w:rFonts w:cs="Arial"/>
        </w:rPr>
        <w:t xml:space="preserve"> plausibilisiert.</w:t>
      </w:r>
      <w:r w:rsidR="007531EA" w:rsidRPr="001322F2">
        <w:rPr>
          <w:rFonts w:cs="Arial"/>
        </w:rPr>
        <w:t xml:space="preserve"> </w:t>
      </w:r>
      <w:r w:rsidRPr="001322F2">
        <w:rPr>
          <w:rFonts w:cs="Arial"/>
        </w:rPr>
        <w:t>Es erfolgt eine Neuermittlung der Energiemenge mit dem endgültigen Einspeisebrennwert für jeden NKP.</w:t>
      </w:r>
    </w:p>
    <w:p w14:paraId="1349E41E" w14:textId="5DD98017" w:rsidR="007B37DD" w:rsidRPr="001322F2" w:rsidRDefault="007B37DD" w:rsidP="001322F2">
      <w:pPr>
        <w:rPr>
          <w:rFonts w:cs="Arial"/>
        </w:rPr>
      </w:pPr>
      <w:r>
        <w:rPr>
          <w:rFonts w:cs="Arial"/>
        </w:rPr>
        <w:t xml:space="preserve">Durch Biogaseinspeisungen kann die Notwendigkeit von Rückspeisungen aus dem Netz des nachgelagerten NB in das Netz des vorgelagerten NB entstehen. </w:t>
      </w:r>
      <w:r w:rsidRPr="001322F2">
        <w:rPr>
          <w:rFonts w:cs="Arial"/>
        </w:rPr>
        <w:t>Eine Rückeinspeisung in das Netz des vorgelagerten NB wird als „Entry NKP“ beim vorgelagerten NB allokiert und vom nachgelagerten NB gemeldet</w:t>
      </w:r>
      <w:r w:rsidRPr="002D2944">
        <w:rPr>
          <w:rFonts w:cs="Arial"/>
        </w:rPr>
        <w:t xml:space="preserve">, außer es wurde </w:t>
      </w:r>
      <w:r w:rsidRPr="00CB133B">
        <w:rPr>
          <w:rFonts w:cs="Arial"/>
        </w:rPr>
        <w:t xml:space="preserve">nach </w:t>
      </w:r>
      <w:r w:rsidRPr="00CB133B" w:rsidDel="00815124">
        <w:rPr>
          <w:rFonts w:cs="Arial"/>
        </w:rPr>
        <w:t>§</w:t>
      </w:r>
      <w:r w:rsidR="00815124">
        <w:rPr>
          <w:rFonts w:cs="Arial"/>
        </w:rPr>
        <w:t> </w:t>
      </w:r>
      <w:r w:rsidRPr="00CB133B">
        <w:rPr>
          <w:rFonts w:cs="Arial"/>
        </w:rPr>
        <w:t>30</w:t>
      </w:r>
      <w:r w:rsidRPr="0011782F">
        <w:rPr>
          <w:rFonts w:cs="Arial"/>
        </w:rPr>
        <w:t xml:space="preserve"> der </w:t>
      </w:r>
      <w:proofErr w:type="spellStart"/>
      <w:r w:rsidRPr="0011782F">
        <w:rPr>
          <w:rFonts w:cs="Arial"/>
        </w:rPr>
        <w:t>KoV</w:t>
      </w:r>
      <w:proofErr w:type="spellEnd"/>
      <w:r w:rsidRPr="002D2944">
        <w:rPr>
          <w:rFonts w:cs="Arial"/>
        </w:rPr>
        <w:t xml:space="preserve"> geregelt, dass der vorgelagerte NB der Verantwortliche für die Datenmeldung ist.</w:t>
      </w:r>
    </w:p>
    <w:p w14:paraId="14C10900" w14:textId="77777777" w:rsidR="007B37DD" w:rsidRPr="001322F2" w:rsidRDefault="007B37DD" w:rsidP="003C2438">
      <w:pPr>
        <w:rPr>
          <w:rFonts w:cs="Arial"/>
        </w:rPr>
      </w:pPr>
      <w:r w:rsidRPr="001322F2">
        <w:rPr>
          <w:rFonts w:cs="Arial"/>
        </w:rPr>
        <w:t>Der nachgelagerte NB informiert den MGV einen Monat vor Beginn der Rückspeisung. Die Rückspeisung wird nicht gegen die reguläre Einspeisung saldiert. In den Stunden, in denen keine Rückspeisung erfolgt, wird eine „0“ gemeldet.</w:t>
      </w:r>
    </w:p>
    <w:p w14:paraId="4C82FE05" w14:textId="2B021E34" w:rsidR="00036019" w:rsidRDefault="00DF612D" w:rsidP="003C2438">
      <w:pPr>
        <w:rPr>
          <w:rFonts w:cs="Arial"/>
        </w:rPr>
      </w:pPr>
      <w:r>
        <w:rPr>
          <w:rFonts w:cs="Arial"/>
        </w:rPr>
        <w:t xml:space="preserve">Bis spätestens zum </w:t>
      </w:r>
      <w:r w:rsidRPr="00706EAB">
        <w:rPr>
          <w:rFonts w:cs="Arial"/>
        </w:rPr>
        <w:t>Zeitpunkt M+20 WT</w:t>
      </w:r>
      <w:r w:rsidRPr="004628C2">
        <w:rPr>
          <w:rFonts w:cs="Arial"/>
        </w:rPr>
        <w:t xml:space="preserve"> nach Ablauf des Liefermonats </w:t>
      </w:r>
      <w:r w:rsidRPr="009D321B">
        <w:rPr>
          <w:rFonts w:cs="Arial"/>
        </w:rPr>
        <w:t xml:space="preserve">findet </w:t>
      </w:r>
      <w:r w:rsidR="001F2CD0">
        <w:rPr>
          <w:rFonts w:cs="Arial"/>
        </w:rPr>
        <w:t>der gesamte Abstimmungsprozess der Netzübergangszeitreihen</w:t>
      </w:r>
      <w:r w:rsidRPr="009D321B">
        <w:rPr>
          <w:rFonts w:cs="Arial"/>
        </w:rPr>
        <w:t xml:space="preserve"> zwischen den beiden angrenzenden </w:t>
      </w:r>
      <w:r w:rsidR="0071541D">
        <w:rPr>
          <w:rFonts w:cs="Arial"/>
        </w:rPr>
        <w:t>NB</w:t>
      </w:r>
      <w:r w:rsidR="0071541D" w:rsidRPr="009D321B">
        <w:rPr>
          <w:rFonts w:cs="Arial"/>
        </w:rPr>
        <w:t xml:space="preserve"> </w:t>
      </w:r>
      <w:r w:rsidRPr="009D321B">
        <w:rPr>
          <w:rFonts w:cs="Arial"/>
        </w:rPr>
        <w:t>statt.</w:t>
      </w:r>
      <w:r>
        <w:rPr>
          <w:rFonts w:cs="Arial"/>
        </w:rPr>
        <w:t xml:space="preserve"> </w:t>
      </w:r>
      <w:r w:rsidR="00036019" w:rsidRPr="00036019">
        <w:rPr>
          <w:rFonts w:cs="Arial"/>
        </w:rPr>
        <w:t xml:space="preserve">Die Datenbereitstellung für den Abstimmungsprozess erfolgt grundsätzlich netzkopplungspunktscharf. Auf Verlangen eines beteiligten </w:t>
      </w:r>
      <w:r w:rsidR="0071541D">
        <w:rPr>
          <w:rFonts w:cs="Arial"/>
        </w:rPr>
        <w:t>NB</w:t>
      </w:r>
      <w:r w:rsidR="0071541D" w:rsidRPr="00036019">
        <w:rPr>
          <w:rFonts w:cs="Arial"/>
        </w:rPr>
        <w:t xml:space="preserve"> </w:t>
      </w:r>
      <w:r w:rsidR="00036019" w:rsidRPr="00036019">
        <w:rPr>
          <w:rFonts w:cs="Arial"/>
        </w:rPr>
        <w:t xml:space="preserve">findet die Abstimmung der vorgenannten Energiezeitreihen pro Messschiene statt. </w:t>
      </w:r>
      <w:r w:rsidR="00525FC7">
        <w:rPr>
          <w:rFonts w:cs="Arial"/>
        </w:rPr>
        <w:t>Die Ermittlung der Netzkopplungslastgänge erfolgt gemäß DVGW</w:t>
      </w:r>
      <w:r w:rsidR="008D1927">
        <w:rPr>
          <w:rFonts w:cs="Arial"/>
        </w:rPr>
        <w:t>-</w:t>
      </w:r>
      <w:r w:rsidR="00525FC7">
        <w:rPr>
          <w:rFonts w:cs="Arial"/>
        </w:rPr>
        <w:t>Arbeits</w:t>
      </w:r>
      <w:r w:rsidR="004D75C1">
        <w:rPr>
          <w:rFonts w:cs="Arial"/>
        </w:rPr>
        <w:t>bl</w:t>
      </w:r>
      <w:r w:rsidR="008D1927">
        <w:rPr>
          <w:rFonts w:cs="Arial"/>
        </w:rPr>
        <w:t>att</w:t>
      </w:r>
      <w:r w:rsidR="004D75C1">
        <w:rPr>
          <w:rFonts w:cs="Arial"/>
        </w:rPr>
        <w:t xml:space="preserve"> G 685</w:t>
      </w:r>
      <w:r w:rsidR="00525FC7">
        <w:rPr>
          <w:rFonts w:cs="Arial"/>
        </w:rPr>
        <w:t>.</w:t>
      </w:r>
    </w:p>
    <w:p w14:paraId="5857E86C" w14:textId="0B4D7D8C" w:rsidR="00F871B7" w:rsidRDefault="00036019" w:rsidP="003C2438">
      <w:pPr>
        <w:rPr>
          <w:rFonts w:cs="Arial"/>
        </w:rPr>
      </w:pPr>
      <w:r>
        <w:rPr>
          <w:rFonts w:cs="Arial"/>
        </w:rPr>
        <w:t xml:space="preserve">Der </w:t>
      </w:r>
      <w:r w:rsidR="00DF612D" w:rsidRPr="00F2560D">
        <w:rPr>
          <w:rFonts w:cs="Arial"/>
        </w:rPr>
        <w:t xml:space="preserve">zur Abstimmung verpflichtete </w:t>
      </w:r>
      <w:r w:rsidR="0071541D">
        <w:rPr>
          <w:rFonts w:cs="Arial"/>
        </w:rPr>
        <w:t>NB</w:t>
      </w:r>
      <w:r w:rsidR="00DF612D" w:rsidRPr="00F2560D">
        <w:rPr>
          <w:rFonts w:cs="Arial"/>
        </w:rPr>
        <w:t xml:space="preserve"> </w:t>
      </w:r>
      <w:r>
        <w:rPr>
          <w:rFonts w:cs="Arial"/>
        </w:rPr>
        <w:t xml:space="preserve">stellt </w:t>
      </w:r>
      <w:r w:rsidR="00EF4E50">
        <w:rPr>
          <w:rFonts w:cs="Arial"/>
        </w:rPr>
        <w:t xml:space="preserve">bis spätestens M+12 WT </w:t>
      </w:r>
      <w:r w:rsidR="00DF612D" w:rsidRPr="00F2560D">
        <w:rPr>
          <w:rFonts w:cs="Arial"/>
        </w:rPr>
        <w:t xml:space="preserve">dem angrenzenden </w:t>
      </w:r>
      <w:r w:rsidR="0071541D">
        <w:rPr>
          <w:rFonts w:cs="Arial"/>
        </w:rPr>
        <w:t>NB</w:t>
      </w:r>
      <w:r w:rsidR="00DF612D" w:rsidRPr="00F2560D">
        <w:rPr>
          <w:rFonts w:cs="Arial"/>
        </w:rPr>
        <w:t xml:space="preserve"> </w:t>
      </w:r>
      <w:r w:rsidR="009C4C26">
        <w:rPr>
          <w:rFonts w:cs="Arial"/>
        </w:rPr>
        <w:t>des</w:t>
      </w:r>
      <w:r w:rsidR="009C4C26" w:rsidRPr="00F2560D">
        <w:rPr>
          <w:rFonts w:cs="Arial"/>
        </w:rPr>
        <w:t xml:space="preserve"> </w:t>
      </w:r>
      <w:r w:rsidR="00DF612D" w:rsidRPr="00F2560D">
        <w:rPr>
          <w:rFonts w:cs="Arial"/>
        </w:rPr>
        <w:t>Netzkopplungspunkt</w:t>
      </w:r>
      <w:r w:rsidR="009C4C26">
        <w:rPr>
          <w:rFonts w:cs="Arial"/>
        </w:rPr>
        <w:t>es</w:t>
      </w:r>
      <w:r w:rsidR="00DF612D" w:rsidRPr="00F2560D">
        <w:rPr>
          <w:rFonts w:cs="Arial"/>
        </w:rPr>
        <w:t xml:space="preserve"> im Format MSCONS eine nach DVGW</w:t>
      </w:r>
      <w:r w:rsidR="008D1927">
        <w:rPr>
          <w:rFonts w:cs="Arial"/>
        </w:rPr>
        <w:t>-Arbeitsblatt</w:t>
      </w:r>
      <w:r w:rsidR="00DF612D" w:rsidRPr="00F2560D">
        <w:rPr>
          <w:rFonts w:cs="Arial"/>
        </w:rPr>
        <w:t xml:space="preserve"> G</w:t>
      </w:r>
      <w:r w:rsidR="009C4C26">
        <w:rPr>
          <w:rFonts w:cs="Arial"/>
        </w:rPr>
        <w:t xml:space="preserve"> </w:t>
      </w:r>
      <w:r w:rsidR="00DF612D" w:rsidRPr="00F2560D">
        <w:rPr>
          <w:rFonts w:cs="Arial"/>
        </w:rPr>
        <w:t>685 mit abrechnungsrelevanten Gasbeschaffenheits</w:t>
      </w:r>
      <w:r w:rsidR="00EE5FB8">
        <w:rPr>
          <w:rFonts w:cs="Arial"/>
        </w:rPr>
        <w:t>werten</w:t>
      </w:r>
      <w:r w:rsidR="00DF612D" w:rsidRPr="00F2560D">
        <w:rPr>
          <w:rFonts w:cs="Arial"/>
        </w:rPr>
        <w:t xml:space="preserve"> </w:t>
      </w:r>
      <w:r w:rsidR="00525FC7">
        <w:rPr>
          <w:rFonts w:cs="Arial"/>
        </w:rPr>
        <w:t>des jeweiligen Netzkopplungspunktes</w:t>
      </w:r>
      <w:r>
        <w:rPr>
          <w:rFonts w:cs="Arial"/>
        </w:rPr>
        <w:t>/der jeweiligen Messschiene</w:t>
      </w:r>
      <w:r w:rsidR="00525FC7" w:rsidRPr="00F2560D">
        <w:rPr>
          <w:rFonts w:cs="Arial"/>
        </w:rPr>
        <w:t xml:space="preserve"> </w:t>
      </w:r>
      <w:r w:rsidR="00DF612D" w:rsidRPr="00F2560D">
        <w:rPr>
          <w:rFonts w:cs="Arial"/>
        </w:rPr>
        <w:t xml:space="preserve">berechnete Zeitreihe zur Verfügung. </w:t>
      </w:r>
      <w:r w:rsidR="00EF4E50">
        <w:t xml:space="preserve">Legt der angrenzende </w:t>
      </w:r>
      <w:r w:rsidR="0071541D">
        <w:t>NB</w:t>
      </w:r>
      <w:r w:rsidR="00EF4E50">
        <w:t xml:space="preserve"> nach erfolgter Plausibilisierung nicht bis M+16</w:t>
      </w:r>
      <w:r w:rsidR="00B103B2">
        <w:t xml:space="preserve"> </w:t>
      </w:r>
      <w:r w:rsidR="00EF4E50">
        <w:t>WT begründeten Widerspruch ein, gilt der übersandte Last</w:t>
      </w:r>
      <w:r w:rsidR="00AB7505">
        <w:t>-</w:t>
      </w:r>
      <w:r w:rsidR="00EF4E50">
        <w:t>gang als vereinbart. Bei begründetem Wid</w:t>
      </w:r>
      <w:r w:rsidR="001C2660">
        <w:t xml:space="preserve">erspruch verständigen sich die </w:t>
      </w:r>
      <w:r w:rsidR="00EF4E50">
        <w:t xml:space="preserve">beteiligten </w:t>
      </w:r>
      <w:r w:rsidR="0071541D">
        <w:t>NB</w:t>
      </w:r>
      <w:r w:rsidR="00EF4E50">
        <w:t xml:space="preserve"> auf den abrechnungsrelevanten Lastgang.</w:t>
      </w:r>
      <w:r w:rsidR="00F871B7">
        <w:t xml:space="preserve"> </w:t>
      </w:r>
      <w:r w:rsidR="00525FC7">
        <w:t xml:space="preserve">Der abgestimmte Lastgang ist von allen beteiligten </w:t>
      </w:r>
      <w:r w:rsidR="0071541D">
        <w:t xml:space="preserve">NB </w:t>
      </w:r>
      <w:r w:rsidR="00525FC7">
        <w:t>für die nachgelagerten Prozesse zwingend zu verwenden.</w:t>
      </w:r>
    </w:p>
    <w:p w14:paraId="3F7C5293" w14:textId="77777777" w:rsidR="00F871B7" w:rsidRDefault="00F871B7" w:rsidP="003C2438">
      <w:pPr>
        <w:rPr>
          <w:rFonts w:cs="Arial"/>
        </w:rPr>
      </w:pPr>
      <w:r>
        <w:t xml:space="preserve">Der für die Datenlieferung an den MGV verantwortliche </w:t>
      </w:r>
      <w:r w:rsidR="0071541D">
        <w:t>NB</w:t>
      </w:r>
      <w:r>
        <w:t xml:space="preserve"> sendet bis spätestens M+18 WT dem beteiligten </w:t>
      </w:r>
      <w:r w:rsidR="0071541D">
        <w:t>NB</w:t>
      </w:r>
      <w:r>
        <w:t xml:space="preserve"> den für das jeweilige Netzkonto abrechnungsrelevanten Lastgang im </w:t>
      </w:r>
      <w:proofErr w:type="spellStart"/>
      <w:r>
        <w:t>For</w:t>
      </w:r>
      <w:r w:rsidR="00AB7505">
        <w:t>-</w:t>
      </w:r>
      <w:r>
        <w:t>mat</w:t>
      </w:r>
      <w:proofErr w:type="spellEnd"/>
      <w:r>
        <w:t xml:space="preserve"> ALOCAT zur Vorabprüfung</w:t>
      </w:r>
      <w:r w:rsidR="005E195C">
        <w:t>.</w:t>
      </w:r>
      <w:r w:rsidR="00D20472" w:rsidRPr="00D20472">
        <w:rPr>
          <w:rStyle w:val="KopfzeileZchn"/>
          <w:rFonts w:asciiTheme="minorHAnsi" w:hAnsiTheme="minorHAnsi" w:cstheme="minorBidi"/>
        </w:rPr>
        <w:t xml:space="preserve"> </w:t>
      </w:r>
      <w:r>
        <w:t xml:space="preserve">Legt der beteiligte </w:t>
      </w:r>
      <w:r w:rsidR="0071541D">
        <w:t>NB</w:t>
      </w:r>
      <w:r>
        <w:t xml:space="preserve"> nach erfolgter Plausibilisierung nicht bis M+20 WT begründeten Widerspruch ein, gilt der übersandte abrechnungsrelevante Last</w:t>
      </w:r>
      <w:r w:rsidR="00AB7505">
        <w:t>-</w:t>
      </w:r>
      <w:r>
        <w:t xml:space="preserve">gang </w:t>
      </w:r>
      <w:r w:rsidR="00D20472">
        <w:t xml:space="preserve">für das jeweilige Netzkonto </w:t>
      </w:r>
      <w:r>
        <w:t xml:space="preserve">als vereinbart. Bei begründetem Widerspruch verständigen sich die beteiligten </w:t>
      </w:r>
      <w:r w:rsidR="0071541D">
        <w:t>NB</w:t>
      </w:r>
      <w:r>
        <w:t xml:space="preserve"> auf den abrechnungsrelevanten Lastgang</w:t>
      </w:r>
      <w:r w:rsidR="00D20472">
        <w:t xml:space="preserve"> für das jeweilige Netzkonto</w:t>
      </w:r>
      <w:r>
        <w:t>.</w:t>
      </w:r>
    </w:p>
    <w:p w14:paraId="1F7894FD" w14:textId="4C7288F7" w:rsidR="00505809" w:rsidRDefault="00DF612D" w:rsidP="003C2438">
      <w:pPr>
        <w:rPr>
          <w:rFonts w:cs="Arial"/>
        </w:rPr>
      </w:pPr>
      <w:r w:rsidRPr="004628C2">
        <w:rPr>
          <w:rFonts w:cs="Arial"/>
        </w:rPr>
        <w:t xml:space="preserve">Spätestens </w:t>
      </w:r>
      <w:r>
        <w:rPr>
          <w:rFonts w:cs="Arial"/>
        </w:rPr>
        <w:t>M+</w:t>
      </w:r>
      <w:r w:rsidRPr="008343F6">
        <w:rPr>
          <w:rFonts w:cs="Arial"/>
        </w:rPr>
        <w:t>21 WT</w:t>
      </w:r>
      <w:r w:rsidRPr="004628C2">
        <w:rPr>
          <w:rFonts w:cs="Arial"/>
        </w:rPr>
        <w:t xml:space="preserve"> werden die über die NKP </w:t>
      </w:r>
      <w:r>
        <w:rPr>
          <w:rFonts w:cs="Arial"/>
        </w:rPr>
        <w:t xml:space="preserve">je Netzkonto </w:t>
      </w:r>
      <w:r w:rsidRPr="004628C2">
        <w:rPr>
          <w:rFonts w:cs="Arial"/>
        </w:rPr>
        <w:t xml:space="preserve">aggregierten abgestimmten Zeitreihen </w:t>
      </w:r>
      <w:r>
        <w:rPr>
          <w:rFonts w:cs="Arial"/>
        </w:rPr>
        <w:t xml:space="preserve">im Regelfall </w:t>
      </w:r>
      <w:r w:rsidRPr="004628C2">
        <w:rPr>
          <w:rFonts w:cs="Arial"/>
        </w:rPr>
        <w:t>vom jeweilig nachgelagerten N</w:t>
      </w:r>
      <w:r>
        <w:rPr>
          <w:rFonts w:cs="Arial"/>
        </w:rPr>
        <w:t xml:space="preserve">B </w:t>
      </w:r>
      <w:r w:rsidRPr="004628C2">
        <w:rPr>
          <w:rFonts w:cs="Arial"/>
        </w:rPr>
        <w:t xml:space="preserve">an den </w:t>
      </w:r>
      <w:r>
        <w:rPr>
          <w:rFonts w:cs="Arial"/>
        </w:rPr>
        <w:t xml:space="preserve">MGV </w:t>
      </w:r>
      <w:r w:rsidRPr="004628C2">
        <w:rPr>
          <w:rFonts w:cs="Arial"/>
        </w:rPr>
        <w:t>und an den vorgelagerten N</w:t>
      </w:r>
      <w:r>
        <w:rPr>
          <w:rFonts w:cs="Arial"/>
        </w:rPr>
        <w:t xml:space="preserve">B </w:t>
      </w:r>
      <w:r w:rsidRPr="004628C2">
        <w:rPr>
          <w:rFonts w:cs="Arial"/>
        </w:rPr>
        <w:t>versendet.</w:t>
      </w:r>
    </w:p>
    <w:p w14:paraId="6FF8819A" w14:textId="77777777" w:rsidR="00FD4532" w:rsidRDefault="00FD4532" w:rsidP="003C2438">
      <w:pPr>
        <w:rPr>
          <w:rFonts w:cs="Arial"/>
        </w:rPr>
      </w:pPr>
      <w:r>
        <w:rPr>
          <w:rFonts w:cs="Arial"/>
        </w:rPr>
        <w:lastRenderedPageBreak/>
        <w:t>Die Datenlieferung</w:t>
      </w:r>
      <w:r w:rsidR="00505809">
        <w:rPr>
          <w:rFonts w:cs="Arial"/>
        </w:rPr>
        <w:t xml:space="preserve"> im Format ALOCAT nach Ablauf des Liefermonats</w:t>
      </w:r>
      <w:r>
        <w:rPr>
          <w:rFonts w:cs="Arial"/>
        </w:rPr>
        <w:t xml:space="preserve"> umfasst eine vollständige Monatszeitreihe</w:t>
      </w:r>
      <w:r w:rsidR="00505809">
        <w:rPr>
          <w:rFonts w:cs="Arial"/>
        </w:rPr>
        <w:t>.</w:t>
      </w:r>
      <w:r w:rsidR="00570700">
        <w:rPr>
          <w:rFonts w:cs="Arial"/>
        </w:rPr>
        <w:t xml:space="preserve"> Damit kann eine Korrektur der D+1 NKP-Allokation nur im Rahmen der gesamtheitlichen monatlichen Datenlieferung erfolgen.</w:t>
      </w:r>
    </w:p>
    <w:p w14:paraId="210DEDC1" w14:textId="78092EF3" w:rsidR="005A5DE5" w:rsidRDefault="00DF612D" w:rsidP="003C2438">
      <w:r>
        <w:t>Der MGV informiert täglich bis 20</w:t>
      </w:r>
      <w:r w:rsidR="0065115A">
        <w:t>:00 Uhr und monatlich bis zum M+</w:t>
      </w:r>
      <w:r>
        <w:t>2</w:t>
      </w:r>
      <w:r w:rsidR="005A5DE5">
        <w:t>3</w:t>
      </w:r>
      <w:r>
        <w:t xml:space="preserve"> WT beide NB über fehlende Datenlieferungen. </w:t>
      </w:r>
      <w:r w:rsidR="001073DB">
        <w:t>Beide</w:t>
      </w:r>
      <w:r>
        <w:t xml:space="preserve"> NB </w:t>
      </w:r>
      <w:r w:rsidR="001073DB">
        <w:t xml:space="preserve">sind </w:t>
      </w:r>
      <w:r>
        <w:t xml:space="preserve">berechtigt, nach Information durch den MGV eine Ausspeisemeldung für </w:t>
      </w:r>
      <w:r w:rsidR="001073DB">
        <w:t xml:space="preserve">ihr </w:t>
      </w:r>
      <w:r>
        <w:t xml:space="preserve">Netzkonto an </w:t>
      </w:r>
      <w:r w:rsidR="001073DB">
        <w:t xml:space="preserve">ihrem </w:t>
      </w:r>
      <w:r>
        <w:t>NKP zu tätigen. Sofern der vorgelagerte NB nicht der für die Netzkopplungspunktmeldungen verantwortliche NB ist, ist der nachgelagerte NB verpflichtet, diese Daten einschließlich ggf. zusätzlicher Informationen zur marktgebietsscharfen Allokation dem vorgelagerten NB zur Verfügung zu stellen.</w:t>
      </w:r>
    </w:p>
    <w:p w14:paraId="745ED848" w14:textId="77777777" w:rsidR="005A5DE5" w:rsidRDefault="005A5DE5" w:rsidP="005A5DE5">
      <w:r>
        <w:t>Bei der Allokation von Netzkopplungspunkten für Leistungszeiträume vor dem 01.10.2021 müssen die jeweiligen Netzkontonummern der Marktgebiete GASPOOL und NCG verwendet werden.</w:t>
      </w:r>
    </w:p>
    <w:p w14:paraId="71E1F796" w14:textId="68BCF2CE" w:rsidR="00C70335" w:rsidRPr="006F748C" w:rsidRDefault="00C70335" w:rsidP="003C2438"/>
    <w:p w14:paraId="04E431BA" w14:textId="59F9D9AC" w:rsidR="006C2F89" w:rsidRDefault="003749D8" w:rsidP="004D75C1">
      <w:pPr>
        <w:pStyle w:val="berschrift4"/>
        <w:tabs>
          <w:tab w:val="num" w:pos="1092"/>
        </w:tabs>
        <w:spacing w:line="300" w:lineRule="atLeast"/>
        <w:ind w:left="1106" w:hanging="1066"/>
      </w:pPr>
      <w:bookmarkStart w:id="561" w:name="_Toc284323654"/>
      <w:bookmarkStart w:id="562" w:name="_Toc284334332"/>
      <w:bookmarkStart w:id="563" w:name="_Toc285005303"/>
      <w:bookmarkStart w:id="564" w:name="_Toc296694114"/>
      <w:bookmarkStart w:id="565" w:name="_Toc391540179"/>
      <w:bookmarkStart w:id="566" w:name="_Toc391540180"/>
      <w:bookmarkStart w:id="567" w:name="_Toc412661340"/>
      <w:bookmarkStart w:id="568" w:name="_Toc111118493"/>
      <w:bookmarkStart w:id="569" w:name="Allokation_BK"/>
      <w:r w:rsidRPr="003749D8">
        <w:t>Allokation</w:t>
      </w:r>
      <w:r w:rsidR="00020244">
        <w:t xml:space="preserve"> von </w:t>
      </w:r>
      <w:bookmarkEnd w:id="561"/>
      <w:bookmarkEnd w:id="562"/>
      <w:bookmarkEnd w:id="563"/>
      <w:bookmarkEnd w:id="564"/>
      <w:bookmarkEnd w:id="565"/>
      <w:r w:rsidR="00020244">
        <w:t>Netzkopplungspunkten</w:t>
      </w:r>
      <w:r w:rsidRPr="003749D8">
        <w:t xml:space="preserve"> bei Instandhaltungsmaßnahmen nach </w:t>
      </w:r>
      <w:r w:rsidRPr="003749D8" w:rsidDel="00815124">
        <w:t>§</w:t>
      </w:r>
      <w:r w:rsidR="00815124">
        <w:t> </w:t>
      </w:r>
      <w:r w:rsidRPr="003749D8">
        <w:t xml:space="preserve">24 </w:t>
      </w:r>
      <w:proofErr w:type="spellStart"/>
      <w:r w:rsidRPr="003749D8">
        <w:t>KoV</w:t>
      </w:r>
      <w:bookmarkEnd w:id="566"/>
      <w:bookmarkEnd w:id="567"/>
      <w:bookmarkEnd w:id="568"/>
      <w:proofErr w:type="spellEnd"/>
    </w:p>
    <w:p w14:paraId="41546657" w14:textId="3D12D168" w:rsidR="003749D8" w:rsidRPr="003749D8" w:rsidRDefault="003749D8" w:rsidP="003C2438">
      <w:pPr>
        <w:rPr>
          <w:rFonts w:cs="Arial"/>
        </w:rPr>
      </w:pPr>
      <w:r w:rsidRPr="003749D8">
        <w:rPr>
          <w:rFonts w:cs="Arial"/>
        </w:rPr>
        <w:t xml:space="preserve">Mit Kenntnis über eine Maßnahme nach </w:t>
      </w:r>
      <w:r w:rsidRPr="003749D8" w:rsidDel="00815124">
        <w:rPr>
          <w:rFonts w:cs="Arial"/>
        </w:rPr>
        <w:t>§</w:t>
      </w:r>
      <w:r w:rsidR="00815124">
        <w:rPr>
          <w:rFonts w:cs="Arial"/>
        </w:rPr>
        <w:t> </w:t>
      </w:r>
      <w:r w:rsidRPr="003749D8">
        <w:rPr>
          <w:rFonts w:cs="Arial"/>
        </w:rPr>
        <w:t xml:space="preserve">24 </w:t>
      </w:r>
      <w:proofErr w:type="spellStart"/>
      <w:r w:rsidRPr="003749D8">
        <w:rPr>
          <w:rFonts w:cs="Arial"/>
        </w:rPr>
        <w:t>KoV</w:t>
      </w:r>
      <w:proofErr w:type="spellEnd"/>
      <w:r w:rsidRPr="003749D8">
        <w:rPr>
          <w:rFonts w:cs="Arial"/>
        </w:rPr>
        <w:t xml:space="preserve"> (Instandhaltung sowie Neubau-, Änderungs- und Erweiterungsmaßnahmen) übermittelt </w:t>
      </w:r>
      <w:proofErr w:type="gramStart"/>
      <w:r w:rsidRPr="003749D8">
        <w:rPr>
          <w:rFonts w:cs="Arial"/>
        </w:rPr>
        <w:t xml:space="preserve">der vorgelagerte </w:t>
      </w:r>
      <w:r w:rsidR="0071541D">
        <w:rPr>
          <w:rFonts w:cs="Arial"/>
        </w:rPr>
        <w:t>NB</w:t>
      </w:r>
      <w:r w:rsidRPr="003749D8">
        <w:rPr>
          <w:rFonts w:cs="Arial"/>
        </w:rPr>
        <w:t xml:space="preserve"> folgende Informationen</w:t>
      </w:r>
      <w:proofErr w:type="gramEnd"/>
      <w:r w:rsidRPr="003749D8">
        <w:rPr>
          <w:rFonts w:cs="Arial"/>
        </w:rPr>
        <w:t xml:space="preserve"> in Textform an den nachgelagerten </w:t>
      </w:r>
      <w:r w:rsidR="0071541D">
        <w:rPr>
          <w:rFonts w:cs="Arial"/>
        </w:rPr>
        <w:t>NB</w:t>
      </w:r>
      <w:r w:rsidR="00B32320">
        <w:rPr>
          <w:rFonts w:cs="Arial"/>
        </w:rPr>
        <w:t xml:space="preserve"> sowie </w:t>
      </w:r>
      <w:r w:rsidR="00E92151">
        <w:rPr>
          <w:rFonts w:cs="Arial"/>
        </w:rPr>
        <w:t>im Fall einer Ersatzversorgung</w:t>
      </w:r>
      <w:r w:rsidR="00853B5B">
        <w:rPr>
          <w:rFonts w:cs="Arial"/>
        </w:rPr>
        <w:t xml:space="preserve"> </w:t>
      </w:r>
      <w:r w:rsidRPr="003749D8">
        <w:rPr>
          <w:rFonts w:cs="Arial"/>
        </w:rPr>
        <w:t>an den MGV.</w:t>
      </w:r>
    </w:p>
    <w:p w14:paraId="5DE6F32B" w14:textId="77777777" w:rsidR="00BD078D" w:rsidRPr="00BD078D" w:rsidRDefault="003749D8" w:rsidP="007F76BC">
      <w:pPr>
        <w:pStyle w:val="Listenabsatz"/>
        <w:numPr>
          <w:ilvl w:val="0"/>
          <w:numId w:val="35"/>
        </w:numPr>
        <w:ind w:left="357" w:hanging="357"/>
        <w:contextualSpacing w:val="0"/>
        <w:rPr>
          <w:rFonts w:cs="Arial"/>
        </w:rPr>
      </w:pPr>
      <w:r w:rsidRPr="00BD078D">
        <w:rPr>
          <w:rFonts w:cs="Arial"/>
        </w:rPr>
        <w:t xml:space="preserve">Informationen des vorgelagerten an den nachgelagerten </w:t>
      </w:r>
      <w:r w:rsidR="0071541D">
        <w:rPr>
          <w:rFonts w:cs="Arial"/>
        </w:rPr>
        <w:t>NB</w:t>
      </w:r>
      <w:r w:rsidRPr="00BD078D">
        <w:rPr>
          <w:rFonts w:cs="Arial"/>
        </w:rPr>
        <w:t>:</w:t>
      </w:r>
    </w:p>
    <w:p w14:paraId="000B911E" w14:textId="77777777" w:rsidR="00BD078D" w:rsidRPr="00983657" w:rsidRDefault="003749D8" w:rsidP="007F76BC">
      <w:pPr>
        <w:pStyle w:val="Listenabsatz"/>
        <w:numPr>
          <w:ilvl w:val="0"/>
          <w:numId w:val="43"/>
        </w:numPr>
        <w:ind w:left="714" w:hanging="357"/>
        <w:contextualSpacing w:val="0"/>
        <w:rPr>
          <w:rFonts w:cs="Arial"/>
        </w:rPr>
      </w:pPr>
      <w:r w:rsidRPr="00983657">
        <w:rPr>
          <w:rFonts w:cs="Arial"/>
        </w:rPr>
        <w:t>betroffene Netzkopplungspunkte,</w:t>
      </w:r>
    </w:p>
    <w:p w14:paraId="56CACCDE" w14:textId="77777777" w:rsidR="00BD078D" w:rsidRPr="00983657" w:rsidRDefault="003749D8" w:rsidP="007F76BC">
      <w:pPr>
        <w:pStyle w:val="Listenabsatz"/>
        <w:numPr>
          <w:ilvl w:val="0"/>
          <w:numId w:val="43"/>
        </w:numPr>
        <w:ind w:left="714" w:hanging="357"/>
        <w:contextualSpacing w:val="0"/>
        <w:rPr>
          <w:rFonts w:cs="Arial"/>
        </w:rPr>
      </w:pPr>
      <w:r w:rsidRPr="00983657">
        <w:rPr>
          <w:rFonts w:cs="Arial"/>
        </w:rPr>
        <w:t>Höhe der vertraglich nicht einzuhaltenden Kapazität,</w:t>
      </w:r>
    </w:p>
    <w:p w14:paraId="3D22377E" w14:textId="77777777" w:rsidR="00BD078D" w:rsidRPr="00983657" w:rsidRDefault="003749D8" w:rsidP="007F76BC">
      <w:pPr>
        <w:pStyle w:val="Listenabsatz"/>
        <w:numPr>
          <w:ilvl w:val="0"/>
          <w:numId w:val="43"/>
        </w:numPr>
        <w:ind w:left="714" w:hanging="357"/>
        <w:contextualSpacing w:val="0"/>
        <w:rPr>
          <w:rFonts w:cs="Arial"/>
        </w:rPr>
      </w:pPr>
      <w:r w:rsidRPr="00983657">
        <w:rPr>
          <w:rFonts w:cs="Arial"/>
        </w:rPr>
        <w:t>Beginn und voraussichtliche Dauer der Maßnahme</w:t>
      </w:r>
      <w:r w:rsidR="00E143BB">
        <w:rPr>
          <w:rFonts w:cs="Arial"/>
        </w:rPr>
        <w:t>,</w:t>
      </w:r>
    </w:p>
    <w:p w14:paraId="64B7B1E4" w14:textId="77777777" w:rsidR="00BD078D" w:rsidRDefault="003749D8" w:rsidP="007F76BC">
      <w:pPr>
        <w:pStyle w:val="Listenabsatz"/>
        <w:numPr>
          <w:ilvl w:val="0"/>
          <w:numId w:val="43"/>
        </w:numPr>
        <w:ind w:left="714" w:hanging="357"/>
        <w:contextualSpacing w:val="0"/>
        <w:rPr>
          <w:rFonts w:cs="Arial"/>
        </w:rPr>
      </w:pPr>
      <w:r w:rsidRPr="00983657">
        <w:rPr>
          <w:rFonts w:cs="Arial"/>
        </w:rPr>
        <w:t>bei Maßnahme, die zu veränderten Allokationen im Netzkonto führt und bei Ersatzversorgung ggf. Info</w:t>
      </w:r>
      <w:r w:rsidR="00101472">
        <w:rPr>
          <w:rFonts w:cs="Arial"/>
        </w:rPr>
        <w:t>,</w:t>
      </w:r>
      <w:r w:rsidRPr="00983657">
        <w:rPr>
          <w:rFonts w:cs="Arial"/>
        </w:rPr>
        <w:t xml:space="preserve"> dass der MGV informiert wurde</w:t>
      </w:r>
      <w:r w:rsidR="00E143BB">
        <w:rPr>
          <w:rFonts w:cs="Arial"/>
        </w:rPr>
        <w:t>.</w:t>
      </w:r>
    </w:p>
    <w:p w14:paraId="76305EDA" w14:textId="77777777" w:rsidR="00983657" w:rsidRPr="00983657" w:rsidRDefault="00983657" w:rsidP="003C2438">
      <w:pPr>
        <w:pStyle w:val="Listenabsatz"/>
        <w:ind w:left="720"/>
        <w:rPr>
          <w:rFonts w:cs="Arial"/>
        </w:rPr>
      </w:pPr>
    </w:p>
    <w:p w14:paraId="38B3C808" w14:textId="77777777" w:rsidR="00BD078D" w:rsidRDefault="003749D8" w:rsidP="007F76BC">
      <w:pPr>
        <w:pStyle w:val="Listenabsatz"/>
        <w:numPr>
          <w:ilvl w:val="0"/>
          <w:numId w:val="35"/>
        </w:numPr>
        <w:ind w:left="357" w:hanging="357"/>
        <w:contextualSpacing w:val="0"/>
        <w:rPr>
          <w:rFonts w:cs="Arial"/>
        </w:rPr>
      </w:pPr>
      <w:r w:rsidRPr="003749D8">
        <w:rPr>
          <w:rFonts w:cs="Arial"/>
        </w:rPr>
        <w:t xml:space="preserve">Informationen des vorgelagerten </w:t>
      </w:r>
      <w:r w:rsidR="0071541D">
        <w:rPr>
          <w:rFonts w:cs="Arial"/>
        </w:rPr>
        <w:t>NB</w:t>
      </w:r>
      <w:r w:rsidR="0071541D" w:rsidRPr="003749D8">
        <w:rPr>
          <w:rFonts w:cs="Arial"/>
        </w:rPr>
        <w:t xml:space="preserve"> </w:t>
      </w:r>
      <w:r w:rsidRPr="003749D8">
        <w:rPr>
          <w:rFonts w:cs="Arial"/>
        </w:rPr>
        <w:t>an den MGV</w:t>
      </w:r>
      <w:r>
        <w:rPr>
          <w:rFonts w:cs="Arial"/>
        </w:rPr>
        <w:t>:</w:t>
      </w:r>
    </w:p>
    <w:p w14:paraId="640DB80A" w14:textId="77777777" w:rsidR="00BD078D" w:rsidRPr="00983657" w:rsidRDefault="003749D8" w:rsidP="007F76BC">
      <w:pPr>
        <w:pStyle w:val="Listenabsatz"/>
        <w:numPr>
          <w:ilvl w:val="0"/>
          <w:numId w:val="44"/>
        </w:numPr>
        <w:ind w:left="720"/>
        <w:contextualSpacing w:val="0"/>
        <w:rPr>
          <w:rFonts w:cs="Arial"/>
        </w:rPr>
      </w:pPr>
      <w:r w:rsidRPr="00983657">
        <w:rPr>
          <w:rFonts w:cs="Arial"/>
        </w:rPr>
        <w:t>Beginn und voraussichtliche Dauer der Maßnahme bzw. Ersatzversorgung</w:t>
      </w:r>
      <w:r w:rsidR="00E143BB">
        <w:rPr>
          <w:rFonts w:cs="Arial"/>
        </w:rPr>
        <w:t>,</w:t>
      </w:r>
    </w:p>
    <w:p w14:paraId="7D5A4F5D" w14:textId="77777777" w:rsidR="00BD078D" w:rsidRDefault="003749D8" w:rsidP="007F76BC">
      <w:pPr>
        <w:pStyle w:val="Listenabsatz"/>
        <w:numPr>
          <w:ilvl w:val="0"/>
          <w:numId w:val="44"/>
        </w:numPr>
        <w:ind w:left="714" w:hanging="357"/>
        <w:contextualSpacing w:val="0"/>
        <w:rPr>
          <w:rFonts w:cs="Arial"/>
        </w:rPr>
      </w:pPr>
      <w:r w:rsidRPr="00983657">
        <w:rPr>
          <w:rFonts w:cs="Arial"/>
        </w:rPr>
        <w:t>Nummer des betroffenen Netzkontos</w:t>
      </w:r>
      <w:r w:rsidR="00E143BB">
        <w:rPr>
          <w:rFonts w:cs="Arial"/>
        </w:rPr>
        <w:t>.</w:t>
      </w:r>
    </w:p>
    <w:p w14:paraId="0CA3AD08" w14:textId="36D6105E" w:rsidR="003749D8" w:rsidRDefault="003749D8" w:rsidP="003C2438">
      <w:pPr>
        <w:rPr>
          <w:rFonts w:cs="Arial"/>
        </w:rPr>
      </w:pPr>
      <w:r w:rsidRPr="003749D8">
        <w:rPr>
          <w:rFonts w:cs="Arial"/>
        </w:rPr>
        <w:t>Dies ist Voraussetzung</w:t>
      </w:r>
      <w:r w:rsidR="00B32320">
        <w:rPr>
          <w:rFonts w:cs="Arial"/>
        </w:rPr>
        <w:t xml:space="preserve"> damit</w:t>
      </w:r>
      <w:r w:rsidRPr="003749D8">
        <w:rPr>
          <w:rFonts w:cs="Arial"/>
        </w:rPr>
        <w:t xml:space="preserve"> </w:t>
      </w:r>
      <w:r w:rsidR="00E92151">
        <w:rPr>
          <w:rFonts w:cs="Arial"/>
        </w:rPr>
        <w:t xml:space="preserve">der nachgelagerte </w:t>
      </w:r>
      <w:r w:rsidR="0071541D">
        <w:rPr>
          <w:rFonts w:cs="Arial"/>
        </w:rPr>
        <w:t>NB</w:t>
      </w:r>
      <w:r w:rsidR="00E92151" w:rsidRPr="003749D8">
        <w:rPr>
          <w:rFonts w:cs="Arial"/>
        </w:rPr>
        <w:t xml:space="preserve"> </w:t>
      </w:r>
      <w:r w:rsidRPr="003749D8">
        <w:rPr>
          <w:rFonts w:cs="Arial"/>
        </w:rPr>
        <w:t>alle</w:t>
      </w:r>
      <w:r w:rsidR="003D17B0">
        <w:rPr>
          <w:rFonts w:cs="Arial"/>
        </w:rPr>
        <w:t xml:space="preserve"> notwendigen Anpassungen wie z. </w:t>
      </w:r>
      <w:r w:rsidRPr="003749D8">
        <w:rPr>
          <w:rFonts w:cs="Arial"/>
        </w:rPr>
        <w:t xml:space="preserve">B. eine temporäre Netzabschaltung, den Bau bzw. die Aktivierung von Stationsumgängen, die Anpassung von Allokationsregeln, die Abstimmungen mit den Anschlusskunden, den </w:t>
      </w:r>
      <w:r w:rsidR="00EE5FB8">
        <w:rPr>
          <w:rFonts w:cs="Arial"/>
        </w:rPr>
        <w:t>LF</w:t>
      </w:r>
      <w:r w:rsidR="000E634C" w:rsidRPr="003749D8">
        <w:rPr>
          <w:rFonts w:cs="Arial"/>
        </w:rPr>
        <w:t xml:space="preserve"> </w:t>
      </w:r>
      <w:r w:rsidRPr="003749D8">
        <w:rPr>
          <w:rFonts w:cs="Arial"/>
        </w:rPr>
        <w:t xml:space="preserve">oder weiteren nachgelagerten </w:t>
      </w:r>
      <w:r w:rsidR="0071541D">
        <w:rPr>
          <w:rFonts w:cs="Arial"/>
        </w:rPr>
        <w:t>NB</w:t>
      </w:r>
      <w:r w:rsidR="0071541D" w:rsidRPr="003749D8">
        <w:rPr>
          <w:rFonts w:cs="Arial"/>
        </w:rPr>
        <w:t xml:space="preserve"> </w:t>
      </w:r>
      <w:r w:rsidRPr="003749D8">
        <w:rPr>
          <w:rFonts w:cs="Arial"/>
        </w:rPr>
        <w:t>vornehmen kann.</w:t>
      </w:r>
    </w:p>
    <w:p w14:paraId="7E31C453" w14:textId="60C519BE" w:rsidR="00804412" w:rsidRPr="00804412" w:rsidRDefault="00020244" w:rsidP="003C2438">
      <w:pPr>
        <w:rPr>
          <w:rFonts w:cs="Arial"/>
        </w:rPr>
      </w:pPr>
      <w:bookmarkStart w:id="570" w:name="_Toc391540182"/>
      <w:r w:rsidRPr="00804412">
        <w:rPr>
          <w:rFonts w:cs="Arial"/>
        </w:rPr>
        <w:lastRenderedPageBreak/>
        <w:t xml:space="preserve">Im Falle von Maßnahmen nach </w:t>
      </w:r>
      <w:r w:rsidRPr="00804412" w:rsidDel="00815124">
        <w:rPr>
          <w:rFonts w:cs="Arial"/>
        </w:rPr>
        <w:t>§</w:t>
      </w:r>
      <w:r w:rsidR="00815124">
        <w:rPr>
          <w:rFonts w:cs="Arial"/>
        </w:rPr>
        <w:t> </w:t>
      </w:r>
      <w:r w:rsidRPr="00804412">
        <w:rPr>
          <w:rFonts w:cs="Arial"/>
        </w:rPr>
        <w:t xml:space="preserve">24 </w:t>
      </w:r>
      <w:proofErr w:type="spellStart"/>
      <w:r w:rsidRPr="00804412">
        <w:rPr>
          <w:rFonts w:cs="Arial"/>
        </w:rPr>
        <w:t>KoV</w:t>
      </w:r>
      <w:bookmarkEnd w:id="570"/>
      <w:proofErr w:type="spellEnd"/>
      <w:r w:rsidRPr="00804412">
        <w:rPr>
          <w:rFonts w:cs="Arial"/>
        </w:rPr>
        <w:t xml:space="preserve"> müssen die bilanzierungsrelevanten Netzkopplungspunktmengen erfasst werden. Dabei unterscheidet man </w:t>
      </w:r>
      <w:r w:rsidR="00006DBF">
        <w:rPr>
          <w:rFonts w:cs="Arial"/>
        </w:rPr>
        <w:t>zwei Fälle</w:t>
      </w:r>
      <w:r w:rsidRPr="00804412">
        <w:rPr>
          <w:rFonts w:cs="Arial"/>
        </w:rPr>
        <w:t>:</w:t>
      </w:r>
    </w:p>
    <w:p w14:paraId="56459BBD" w14:textId="77777777" w:rsidR="00BD078D" w:rsidRDefault="003749D8" w:rsidP="007F76BC">
      <w:pPr>
        <w:pStyle w:val="Listenabsatz"/>
        <w:numPr>
          <w:ilvl w:val="0"/>
          <w:numId w:val="36"/>
        </w:numPr>
        <w:rPr>
          <w:rFonts w:cs="Arial"/>
        </w:rPr>
      </w:pPr>
      <w:r w:rsidRPr="003749D8">
        <w:rPr>
          <w:rFonts w:cs="Arial"/>
        </w:rPr>
        <w:t>Erfassung der Entry-NKP-Allokationen bei Teil-/Versorgung über andere Netzkopplungspunkte</w:t>
      </w:r>
    </w:p>
    <w:p w14:paraId="2DA98210" w14:textId="03532CCF" w:rsidR="003749D8" w:rsidRPr="003749D8" w:rsidRDefault="003749D8" w:rsidP="000C63CB">
      <w:pPr>
        <w:rPr>
          <w:rFonts w:cs="Arial"/>
        </w:rPr>
      </w:pPr>
      <w:r w:rsidRPr="003749D8">
        <w:rPr>
          <w:rFonts w:cs="Arial"/>
        </w:rPr>
        <w:t xml:space="preserve">Durch die Versorgung über andere Netzkopplungspunkte entsteht bei einer Maßnahme nach </w:t>
      </w:r>
      <w:r w:rsidRPr="003749D8" w:rsidDel="00815124">
        <w:rPr>
          <w:rFonts w:cs="Arial"/>
        </w:rPr>
        <w:t>§</w:t>
      </w:r>
      <w:r w:rsidR="00815124">
        <w:rPr>
          <w:rFonts w:cs="Arial"/>
        </w:rPr>
        <w:t> </w:t>
      </w:r>
      <w:r w:rsidRPr="003749D8">
        <w:rPr>
          <w:rFonts w:cs="Arial"/>
        </w:rPr>
        <w:t xml:space="preserve">24 </w:t>
      </w:r>
      <w:proofErr w:type="spellStart"/>
      <w:r w:rsidRPr="003749D8">
        <w:rPr>
          <w:rFonts w:cs="Arial"/>
        </w:rPr>
        <w:t>KoV</w:t>
      </w:r>
      <w:proofErr w:type="spellEnd"/>
      <w:r w:rsidRPr="003749D8">
        <w:rPr>
          <w:rFonts w:cs="Arial"/>
        </w:rPr>
        <w:t xml:space="preserve"> keine Unter- oder Überversorgung bei den betroffenen Netzen. Die Maßnahme hat keine Auswirkung auf die Allokationsmeldungen für Bilanzkreise</w:t>
      </w:r>
      <w:r w:rsidR="005A5DE5" w:rsidRPr="005A5DE5">
        <w:rPr>
          <w:rFonts w:cs="Arial"/>
        </w:rPr>
        <w:t xml:space="preserve"> </w:t>
      </w:r>
      <w:r w:rsidR="005A5DE5">
        <w:rPr>
          <w:rFonts w:cs="Arial"/>
        </w:rPr>
        <w:t xml:space="preserve">und auf die </w:t>
      </w:r>
      <w:proofErr w:type="spellStart"/>
      <w:r w:rsidR="005A5DE5">
        <w:rPr>
          <w:rFonts w:cs="Arial"/>
        </w:rPr>
        <w:t>EntryNKP</w:t>
      </w:r>
      <w:proofErr w:type="spellEnd"/>
      <w:r w:rsidR="005A5DE5">
        <w:rPr>
          <w:rFonts w:cs="Arial"/>
        </w:rPr>
        <w:t>-Allokationen</w:t>
      </w:r>
      <w:r w:rsidRPr="003749D8">
        <w:rPr>
          <w:rFonts w:cs="Arial"/>
        </w:rPr>
        <w:t>. Ggf. können Auswirkungen auf ander</w:t>
      </w:r>
      <w:r w:rsidR="00897CD7">
        <w:rPr>
          <w:rFonts w:cs="Arial"/>
        </w:rPr>
        <w:t>e Prozesse und Berechnungen (z.</w:t>
      </w:r>
      <w:r w:rsidR="00C22517">
        <w:rPr>
          <w:rFonts w:cs="Arial"/>
        </w:rPr>
        <w:t> </w:t>
      </w:r>
      <w:r w:rsidRPr="003749D8">
        <w:rPr>
          <w:rFonts w:cs="Arial"/>
        </w:rPr>
        <w:t>B. Brennwertermittlung und Folgeprozesse) entstehen.</w:t>
      </w:r>
    </w:p>
    <w:p w14:paraId="5AEF5A8E" w14:textId="77777777" w:rsidR="003749D8" w:rsidRDefault="00950786" w:rsidP="003C2438">
      <w:pPr>
        <w:rPr>
          <w:rFonts w:cs="Arial"/>
        </w:rPr>
      </w:pPr>
      <w:r w:rsidRPr="00950786">
        <w:rPr>
          <w:noProof/>
        </w:rPr>
        <w:drawing>
          <wp:inline distT="0" distB="0" distL="0" distR="0" wp14:anchorId="54BCBDBA" wp14:editId="67C75C7D">
            <wp:extent cx="5322570" cy="340741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srcRect/>
                    <a:stretch>
                      <a:fillRect/>
                    </a:stretch>
                  </pic:blipFill>
                  <pic:spPr bwMode="auto">
                    <a:xfrm>
                      <a:off x="0" y="0"/>
                      <a:ext cx="5322570" cy="3407410"/>
                    </a:xfrm>
                    <a:prstGeom prst="rect">
                      <a:avLst/>
                    </a:prstGeom>
                    <a:noFill/>
                    <a:ln w="9525">
                      <a:noFill/>
                      <a:miter lim="800000"/>
                      <a:headEnd/>
                      <a:tailEnd/>
                    </a:ln>
                  </pic:spPr>
                </pic:pic>
              </a:graphicData>
            </a:graphic>
          </wp:inline>
        </w:drawing>
      </w:r>
    </w:p>
    <w:p w14:paraId="2B71E303" w14:textId="34348C39" w:rsidR="00E157A6" w:rsidRDefault="00384FCA" w:rsidP="003C2438">
      <w:pPr>
        <w:pStyle w:val="Abbildung"/>
        <w:rPr>
          <w:b/>
          <w:bCs/>
        </w:rPr>
      </w:pPr>
      <w:bookmarkStart w:id="571" w:name="_Toc390346570"/>
      <w:bookmarkStart w:id="572" w:name="_Toc412562641"/>
      <w:bookmarkStart w:id="573" w:name="_Toc437530326"/>
      <w:bookmarkStart w:id="574" w:name="_Toc111118597"/>
      <w:bookmarkStart w:id="575" w:name="_Toc111196143"/>
      <w:r w:rsidRPr="00384FCA">
        <w:rPr>
          <w:b/>
          <w:bCs/>
        </w:rPr>
        <w:t xml:space="preserve">Abbildung </w:t>
      </w:r>
      <w:r w:rsidR="00561FFA" w:rsidRPr="00384FCA">
        <w:rPr>
          <w:b/>
          <w:bCs/>
        </w:rPr>
        <w:fldChar w:fldCharType="begin"/>
      </w:r>
      <w:r w:rsidRPr="00384FCA">
        <w:rPr>
          <w:b/>
          <w:bCs/>
        </w:rPr>
        <w:instrText xml:space="preserve"> SEQ Abbildung \* ARABIC </w:instrText>
      </w:r>
      <w:r w:rsidR="00561FFA" w:rsidRPr="00384FCA">
        <w:rPr>
          <w:b/>
          <w:bCs/>
        </w:rPr>
        <w:fldChar w:fldCharType="separate"/>
      </w:r>
      <w:r w:rsidR="00D400FA">
        <w:rPr>
          <w:b/>
          <w:bCs/>
        </w:rPr>
        <w:t>14</w:t>
      </w:r>
      <w:r w:rsidR="00561FFA" w:rsidRPr="00384FCA">
        <w:rPr>
          <w:b/>
          <w:bCs/>
        </w:rPr>
        <w:fldChar w:fldCharType="end"/>
      </w:r>
      <w:r w:rsidRPr="00384FCA">
        <w:rPr>
          <w:b/>
          <w:bCs/>
        </w:rPr>
        <w:t>: Versorgung über andere NKP</w:t>
      </w:r>
      <w:bookmarkEnd w:id="571"/>
      <w:bookmarkEnd w:id="572"/>
      <w:bookmarkEnd w:id="573"/>
      <w:bookmarkEnd w:id="574"/>
      <w:bookmarkEnd w:id="575"/>
    </w:p>
    <w:p w14:paraId="75D1173D" w14:textId="77777777" w:rsidR="00542971" w:rsidRPr="006D3AE4" w:rsidRDefault="00542971">
      <w:pPr>
        <w:spacing w:after="240"/>
        <w:rPr>
          <w:rFonts w:cs="Arial"/>
        </w:rPr>
      </w:pPr>
    </w:p>
    <w:p w14:paraId="1A365E05" w14:textId="6C79D693" w:rsidR="00BD078D" w:rsidRDefault="003749D8" w:rsidP="007F76BC">
      <w:pPr>
        <w:pStyle w:val="Listenabsatz"/>
        <w:numPr>
          <w:ilvl w:val="0"/>
          <w:numId w:val="36"/>
        </w:numPr>
      </w:pPr>
      <w:r w:rsidRPr="003749D8">
        <w:t>Erfassung der Netzkopplungspunktmengen bei Ersatzversorgung</w:t>
      </w:r>
    </w:p>
    <w:p w14:paraId="32C1A85B" w14:textId="324BEBA1" w:rsidR="003749D8" w:rsidRPr="003749D8" w:rsidRDefault="003749D8" w:rsidP="003C2438">
      <w:pPr>
        <w:rPr>
          <w:rFonts w:cs="Arial"/>
        </w:rPr>
      </w:pPr>
      <w:r w:rsidRPr="003749D8">
        <w:rPr>
          <w:rFonts w:cs="Arial"/>
        </w:rPr>
        <w:t xml:space="preserve">Eine Ersatzversorgung während einer Maßnahme nach </w:t>
      </w:r>
      <w:r w:rsidRPr="003749D8" w:rsidDel="00815124">
        <w:rPr>
          <w:rFonts w:cs="Arial"/>
        </w:rPr>
        <w:t>§</w:t>
      </w:r>
      <w:r w:rsidR="00815124">
        <w:rPr>
          <w:rFonts w:cs="Arial"/>
        </w:rPr>
        <w:t> </w:t>
      </w:r>
      <w:r w:rsidRPr="003749D8">
        <w:rPr>
          <w:rFonts w:cs="Arial"/>
        </w:rPr>
        <w:t xml:space="preserve">24 </w:t>
      </w:r>
      <w:proofErr w:type="spellStart"/>
      <w:r w:rsidRPr="003749D8">
        <w:rPr>
          <w:rFonts w:cs="Arial"/>
        </w:rPr>
        <w:t>KoV</w:t>
      </w:r>
      <w:proofErr w:type="spellEnd"/>
      <w:r w:rsidRPr="003749D8">
        <w:rPr>
          <w:rFonts w:cs="Arial"/>
        </w:rPr>
        <w:t xml:space="preserve"> hat grundsätzlich keinen Einfluss auf die Nominierungen der Bilanzkreisverantwortlichen</w:t>
      </w:r>
      <w:r w:rsidR="005A5DE5">
        <w:rPr>
          <w:rFonts w:cs="Arial"/>
        </w:rPr>
        <w:t>. Es erfolgt</w:t>
      </w:r>
      <w:r w:rsidRPr="003749D8">
        <w:rPr>
          <w:rFonts w:cs="Arial"/>
        </w:rPr>
        <w:t xml:space="preserve"> keine Anpassung von Deklarationen</w:t>
      </w:r>
      <w:r w:rsidR="005A5DE5">
        <w:rPr>
          <w:rFonts w:cs="Arial"/>
        </w:rPr>
        <w:t>,</w:t>
      </w:r>
      <w:r w:rsidRPr="003749D8">
        <w:rPr>
          <w:rFonts w:cs="Arial"/>
        </w:rPr>
        <w:t xml:space="preserve"> </w:t>
      </w:r>
      <w:r w:rsidR="005A5DE5">
        <w:rPr>
          <w:rFonts w:cs="Arial"/>
        </w:rPr>
        <w:t xml:space="preserve">Allokationsmeldungen für Bilanzkreise an den MGV und der </w:t>
      </w:r>
      <w:r w:rsidRPr="003749D8">
        <w:rPr>
          <w:rFonts w:cs="Arial"/>
        </w:rPr>
        <w:t xml:space="preserve">Entry-NKP-Allokation (Meldung der gemessenen Werte; falls durch die Maßnahme kein Gas fließt, ergibt sich dort ein Null-Lastgang). Die Einspeisung aus Ersatzversorgung wird als Zeitreihentyp „Entry Flüssiggas“, auf das Netzkonto des </w:t>
      </w:r>
      <w:r w:rsidR="0071541D">
        <w:rPr>
          <w:rFonts w:cs="Arial"/>
        </w:rPr>
        <w:t>NB</w:t>
      </w:r>
      <w:r w:rsidRPr="003749D8">
        <w:rPr>
          <w:rFonts w:cs="Arial"/>
        </w:rPr>
        <w:t xml:space="preserve">, der mit der Ersatzversorgung </w:t>
      </w:r>
      <w:proofErr w:type="spellStart"/>
      <w:r w:rsidRPr="003749D8">
        <w:rPr>
          <w:rFonts w:cs="Arial"/>
        </w:rPr>
        <w:t>aufgespeist</w:t>
      </w:r>
      <w:proofErr w:type="spellEnd"/>
      <w:r w:rsidRPr="003749D8">
        <w:rPr>
          <w:rFonts w:cs="Arial"/>
        </w:rPr>
        <w:t xml:space="preserve"> wird, allokiert.</w:t>
      </w:r>
    </w:p>
    <w:p w14:paraId="4A6469EC" w14:textId="77777777" w:rsidR="003749D8" w:rsidRDefault="003749D8" w:rsidP="003C2438">
      <w:pPr>
        <w:rPr>
          <w:rFonts w:cs="Arial"/>
        </w:rPr>
      </w:pPr>
      <w:r w:rsidRPr="003749D8">
        <w:rPr>
          <w:rFonts w:cs="Arial"/>
        </w:rPr>
        <w:lastRenderedPageBreak/>
        <w:t xml:space="preserve">Damit werden Schiefstände in den Netzkonten des vor- und nachgelagerten </w:t>
      </w:r>
      <w:r w:rsidR="0071541D">
        <w:rPr>
          <w:rFonts w:cs="Arial"/>
        </w:rPr>
        <w:t>NB</w:t>
      </w:r>
      <w:r w:rsidR="0071541D" w:rsidRPr="003749D8">
        <w:rPr>
          <w:rFonts w:cs="Arial"/>
        </w:rPr>
        <w:t xml:space="preserve"> </w:t>
      </w:r>
      <w:r w:rsidRPr="003749D8">
        <w:rPr>
          <w:rFonts w:cs="Arial"/>
        </w:rPr>
        <w:t>aufgrund der Ersatzversorgung vermieden. Außerdem sind damit grundsätzlich alle Zeitreihen für die MMMA vorhanden.</w:t>
      </w:r>
    </w:p>
    <w:p w14:paraId="09406BCA" w14:textId="3DDDED7E" w:rsidR="007E05AB" w:rsidRPr="00463FB4" w:rsidRDefault="00D13B8E" w:rsidP="00463FB4">
      <w:pPr>
        <w:rPr>
          <w:rFonts w:cs="Arial"/>
        </w:rPr>
      </w:pPr>
      <w:r w:rsidRPr="00463FB4">
        <w:rPr>
          <w:rFonts w:cs="Arial"/>
        </w:rPr>
        <w:t>Erfolgt aufgrund von Maßnahmen gemäß</w:t>
      </w:r>
      <w:r w:rsidR="0090141F" w:rsidRPr="00463FB4" w:rsidDel="00815124">
        <w:rPr>
          <w:rFonts w:cs="Arial"/>
        </w:rPr>
        <w:t xml:space="preserve"> </w:t>
      </w:r>
      <w:r w:rsidR="00815124">
        <w:rPr>
          <w:rFonts w:cs="Arial"/>
        </w:rPr>
        <w:t>§ </w:t>
      </w:r>
      <w:r w:rsidR="00DF7004" w:rsidRPr="00463FB4">
        <w:rPr>
          <w:rFonts w:cs="Arial"/>
        </w:rPr>
        <w:t xml:space="preserve">24 </w:t>
      </w:r>
      <w:proofErr w:type="spellStart"/>
      <w:r w:rsidR="00DF7004" w:rsidRPr="00463FB4">
        <w:rPr>
          <w:rFonts w:cs="Arial"/>
        </w:rPr>
        <w:t>KoV</w:t>
      </w:r>
      <w:proofErr w:type="spellEnd"/>
      <w:r w:rsidRPr="00463FB4">
        <w:rPr>
          <w:rFonts w:cs="Arial"/>
        </w:rPr>
        <w:t xml:space="preserve"> Ziffer 1 eine </w:t>
      </w:r>
      <w:r w:rsidR="00AA22F5" w:rsidRPr="00463FB4">
        <w:rPr>
          <w:rFonts w:cs="Arial"/>
        </w:rPr>
        <w:t xml:space="preserve">nicht leitungsgebundene </w:t>
      </w:r>
      <w:r w:rsidRPr="00463FB4">
        <w:rPr>
          <w:rFonts w:cs="Arial"/>
        </w:rPr>
        <w:t xml:space="preserve">Ersatzversorgung, werden dem </w:t>
      </w:r>
      <w:r w:rsidR="00AA22F5" w:rsidRPr="00463FB4">
        <w:rPr>
          <w:rFonts w:cs="Arial"/>
        </w:rPr>
        <w:t xml:space="preserve">nachgelagerten </w:t>
      </w:r>
      <w:r w:rsidR="0071541D" w:rsidRPr="00463FB4">
        <w:rPr>
          <w:rFonts w:cs="Arial"/>
        </w:rPr>
        <w:t>NB</w:t>
      </w:r>
      <w:r w:rsidRPr="00463FB4">
        <w:rPr>
          <w:rFonts w:cs="Arial"/>
        </w:rPr>
        <w:t xml:space="preserve"> durch den </w:t>
      </w:r>
      <w:r w:rsidR="004F593C" w:rsidRPr="00463FB4">
        <w:rPr>
          <w:rFonts w:cs="Arial"/>
        </w:rPr>
        <w:t xml:space="preserve">MGV </w:t>
      </w:r>
      <w:r w:rsidRPr="00463FB4">
        <w:rPr>
          <w:rFonts w:cs="Arial"/>
        </w:rPr>
        <w:t xml:space="preserve">die Kosten für die eingespeiste Ersatzversorgungsmenge in Höhe </w:t>
      </w:r>
      <w:r w:rsidR="005E0E90" w:rsidRPr="00463FB4">
        <w:rPr>
          <w:rFonts w:cs="Arial"/>
        </w:rPr>
        <w:t xml:space="preserve">des </w:t>
      </w:r>
      <w:r w:rsidR="00233DCE" w:rsidRPr="00463FB4">
        <w:rPr>
          <w:rFonts w:cs="Arial"/>
        </w:rPr>
        <w:t xml:space="preserve">täglichen Differenzmengenpreises </w:t>
      </w:r>
      <w:r w:rsidRPr="00463FB4">
        <w:rPr>
          <w:rFonts w:cs="Arial"/>
        </w:rPr>
        <w:t xml:space="preserve">über den Zeitraum der Ersatzversorgung erstattet und entsprechend als externe Regelenergiekosten </w:t>
      </w:r>
      <w:r w:rsidR="00951453" w:rsidRPr="00463FB4">
        <w:rPr>
          <w:rFonts w:cs="Arial"/>
        </w:rPr>
        <w:t>durch Anwendung des jährlichen Verteilungsschlüssels anteilig auf das SLP- und das RLM-Bilanzierungskonto gebucht.</w:t>
      </w:r>
      <w:r w:rsidR="004B42C8" w:rsidRPr="00463FB4">
        <w:rPr>
          <w:rFonts w:cs="Arial"/>
        </w:rPr>
        <w:t xml:space="preserve"> </w:t>
      </w:r>
      <w:r w:rsidR="00E343A8" w:rsidRPr="00463FB4">
        <w:rPr>
          <w:rFonts w:cs="Arial"/>
        </w:rPr>
        <w:t xml:space="preserve">Der Begriff "nicht leitungsgebundene Ersatzversorgung" aus </w:t>
      </w:r>
      <w:r w:rsidR="00E343A8" w:rsidRPr="00463FB4" w:rsidDel="00815124">
        <w:rPr>
          <w:rFonts w:cs="Arial"/>
        </w:rPr>
        <w:t>§</w:t>
      </w:r>
      <w:r w:rsidR="00815124">
        <w:rPr>
          <w:rFonts w:cs="Arial"/>
        </w:rPr>
        <w:t> </w:t>
      </w:r>
      <w:r w:rsidR="00E343A8" w:rsidRPr="00463FB4">
        <w:rPr>
          <w:rFonts w:cs="Arial"/>
        </w:rPr>
        <w:t xml:space="preserve">24 </w:t>
      </w:r>
      <w:proofErr w:type="spellStart"/>
      <w:r w:rsidR="00E343A8" w:rsidRPr="00463FB4">
        <w:rPr>
          <w:rFonts w:cs="Arial"/>
        </w:rPr>
        <w:t>KoV</w:t>
      </w:r>
      <w:proofErr w:type="spellEnd"/>
      <w:r w:rsidR="00E343A8" w:rsidRPr="00463FB4">
        <w:rPr>
          <w:rFonts w:cs="Arial"/>
        </w:rPr>
        <w:t xml:space="preserve"> ist hinsichtlich der netztopologischen Einbindung weit zu verstehen, d.h. es ist nicht erforderlich, dass die Ersatzversorgung lediglich im betroffenen nachgelagerten Netz angeschlossen wird; maßgeblich ist, dass es sich um Ersatzversorgung handelt.</w:t>
      </w:r>
    </w:p>
    <w:p w14:paraId="0773CAD3" w14:textId="77777777" w:rsidR="003749D8" w:rsidRDefault="00950786" w:rsidP="003C2438">
      <w:pPr>
        <w:rPr>
          <w:rFonts w:cs="Arial"/>
        </w:rPr>
      </w:pPr>
      <w:r w:rsidRPr="00950786">
        <w:rPr>
          <w:noProof/>
        </w:rPr>
        <w:drawing>
          <wp:inline distT="0" distB="0" distL="0" distR="0" wp14:anchorId="25F26FA2" wp14:editId="60B16F58">
            <wp:extent cx="5322570" cy="3476625"/>
            <wp:effectExtent l="19050" t="0" r="0" b="0"/>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srcRect/>
                    <a:stretch>
                      <a:fillRect/>
                    </a:stretch>
                  </pic:blipFill>
                  <pic:spPr bwMode="auto">
                    <a:xfrm>
                      <a:off x="0" y="0"/>
                      <a:ext cx="5322570" cy="3476625"/>
                    </a:xfrm>
                    <a:prstGeom prst="rect">
                      <a:avLst/>
                    </a:prstGeom>
                    <a:noFill/>
                    <a:ln w="9525">
                      <a:noFill/>
                      <a:miter lim="800000"/>
                      <a:headEnd/>
                      <a:tailEnd/>
                    </a:ln>
                  </pic:spPr>
                </pic:pic>
              </a:graphicData>
            </a:graphic>
          </wp:inline>
        </w:drawing>
      </w:r>
    </w:p>
    <w:p w14:paraId="0038BB1A" w14:textId="157663F6" w:rsidR="00E157A6" w:rsidRDefault="003749D8" w:rsidP="003C2438">
      <w:pPr>
        <w:pStyle w:val="Abbildung"/>
        <w:rPr>
          <w:b/>
          <w:bCs/>
        </w:rPr>
      </w:pPr>
      <w:bookmarkStart w:id="576" w:name="_Toc390346572"/>
      <w:bookmarkStart w:id="577" w:name="_Toc412562643"/>
      <w:bookmarkStart w:id="578" w:name="_Toc437530328"/>
      <w:bookmarkStart w:id="579" w:name="_Toc111118598"/>
      <w:bookmarkStart w:id="580" w:name="_Toc111196144"/>
      <w:r w:rsidRPr="00377FE6">
        <w:rPr>
          <w:b/>
          <w:bCs/>
        </w:rPr>
        <w:t xml:space="preserve">Abbildung </w:t>
      </w:r>
      <w:r w:rsidR="00561FFA" w:rsidRPr="00377FE6">
        <w:rPr>
          <w:b/>
          <w:bCs/>
        </w:rPr>
        <w:fldChar w:fldCharType="begin"/>
      </w:r>
      <w:r w:rsidR="00384FCA" w:rsidRPr="00384FCA">
        <w:rPr>
          <w:b/>
          <w:bCs/>
        </w:rPr>
        <w:instrText xml:space="preserve"> SEQ Abbildung \* ARABIC </w:instrText>
      </w:r>
      <w:r w:rsidR="00561FFA" w:rsidRPr="00377FE6">
        <w:rPr>
          <w:b/>
          <w:bCs/>
        </w:rPr>
        <w:fldChar w:fldCharType="separate"/>
      </w:r>
      <w:r w:rsidR="00D400FA">
        <w:rPr>
          <w:b/>
          <w:bCs/>
        </w:rPr>
        <w:t>15</w:t>
      </w:r>
      <w:r w:rsidR="00561FFA" w:rsidRPr="00377FE6">
        <w:rPr>
          <w:b/>
          <w:bCs/>
        </w:rPr>
        <w:fldChar w:fldCharType="end"/>
      </w:r>
      <w:r w:rsidRPr="00377FE6">
        <w:rPr>
          <w:b/>
          <w:bCs/>
        </w:rPr>
        <w:t>: Ersatzversorgung</w:t>
      </w:r>
      <w:bookmarkEnd w:id="576"/>
      <w:bookmarkEnd w:id="577"/>
      <w:bookmarkEnd w:id="578"/>
      <w:bookmarkEnd w:id="579"/>
      <w:bookmarkEnd w:id="580"/>
    </w:p>
    <w:p w14:paraId="218ADDB9" w14:textId="77777777" w:rsidR="00980729" w:rsidRDefault="007211B6" w:rsidP="00A34ABD">
      <w:pPr>
        <w:pStyle w:val="berschrift3"/>
        <w:tabs>
          <w:tab w:val="clear" w:pos="1276"/>
          <w:tab w:val="num" w:pos="1134"/>
        </w:tabs>
        <w:spacing w:before="480"/>
        <w:ind w:hanging="1276"/>
      </w:pPr>
      <w:bookmarkStart w:id="581" w:name="_Toc111118494"/>
      <w:bookmarkStart w:id="582" w:name="_Toc280808879"/>
      <w:bookmarkStart w:id="583" w:name="_Toc284323655"/>
      <w:bookmarkStart w:id="584" w:name="_Toc284334333"/>
      <w:bookmarkStart w:id="585" w:name="_Toc285005304"/>
      <w:bookmarkStart w:id="586" w:name="_Toc296694115"/>
      <w:r w:rsidRPr="007211B6">
        <w:t xml:space="preserve">Allokation im Falle </w:t>
      </w:r>
      <w:r w:rsidRPr="00922E3E">
        <w:t>einer</w:t>
      </w:r>
      <w:r w:rsidRPr="007211B6">
        <w:t xml:space="preserve"> L-/H-Gas-Marktraumumstellung</w:t>
      </w:r>
      <w:bookmarkEnd w:id="581"/>
    </w:p>
    <w:p w14:paraId="6768D719" w14:textId="2A11CE36" w:rsidR="00F673FC" w:rsidRPr="00220E37" w:rsidRDefault="00F673FC" w:rsidP="00F673FC">
      <w:pPr>
        <w:pStyle w:val="berschrift4"/>
        <w:tabs>
          <w:tab w:val="clear" w:pos="1844"/>
          <w:tab w:val="num" w:pos="1134"/>
        </w:tabs>
        <w:ind w:left="1134"/>
      </w:pPr>
      <w:bookmarkStart w:id="587" w:name="_Toc111118495"/>
      <w:r>
        <w:t>Termine und Allokationsbeispiel</w:t>
      </w:r>
      <w:bookmarkEnd w:id="587"/>
    </w:p>
    <w:p w14:paraId="3C10D291" w14:textId="77777777" w:rsidR="00F673FC" w:rsidRDefault="00F673FC" w:rsidP="00F673FC">
      <w:pPr>
        <w:autoSpaceDE w:val="0"/>
        <w:autoSpaceDN w:val="0"/>
        <w:adjustRightInd w:val="0"/>
        <w:rPr>
          <w:rFonts w:cs="Arial"/>
          <w:color w:val="000000"/>
        </w:rPr>
      </w:pPr>
      <w:r>
        <w:rPr>
          <w:rFonts w:cs="Arial"/>
          <w:color w:val="000000"/>
        </w:rPr>
        <w:t>Die Marktraumumstellung ist bei der Allokation zu berücksichtigen.</w:t>
      </w:r>
    </w:p>
    <w:p w14:paraId="6C6AE182" w14:textId="77777777" w:rsidR="00F673FC" w:rsidRDefault="00F673FC" w:rsidP="00F673FC">
      <w:pPr>
        <w:autoSpaceDE w:val="0"/>
        <w:autoSpaceDN w:val="0"/>
        <w:adjustRightInd w:val="0"/>
      </w:pPr>
      <w:r>
        <w:lastRenderedPageBreak/>
        <w:t>Maßgebliche Termine sind dabei:</w:t>
      </w:r>
    </w:p>
    <w:p w14:paraId="5B5A3A73" w14:textId="77777777" w:rsidR="00F673FC" w:rsidRPr="009E04EC" w:rsidRDefault="00F673FC" w:rsidP="007F76BC">
      <w:pPr>
        <w:pStyle w:val="Listenabsatz"/>
        <w:numPr>
          <w:ilvl w:val="0"/>
          <w:numId w:val="63"/>
        </w:numPr>
        <w:spacing w:after="0"/>
        <w:ind w:left="425" w:hanging="425"/>
        <w:rPr>
          <w:rFonts w:cs="Arial"/>
        </w:rPr>
      </w:pPr>
      <w:r w:rsidRPr="009E04EC">
        <w:rPr>
          <w:rFonts w:cs="Arial"/>
        </w:rPr>
        <w:t>Bilanzieller Umstellungstermin</w:t>
      </w:r>
      <w:r>
        <w:rPr>
          <w:rFonts w:cs="Arial"/>
        </w:rPr>
        <w:t>:</w:t>
      </w:r>
    </w:p>
    <w:p w14:paraId="2F81424B" w14:textId="13CCD134" w:rsidR="00F673FC" w:rsidRPr="009E04EC" w:rsidRDefault="00F673FC" w:rsidP="00B54695">
      <w:pPr>
        <w:ind w:left="425"/>
        <w:rPr>
          <w:rFonts w:cs="Arial"/>
        </w:rPr>
      </w:pPr>
      <w:r w:rsidRPr="009E04EC">
        <w:rPr>
          <w:rFonts w:cs="Arial"/>
        </w:rPr>
        <w:t xml:space="preserve">Der bilanzielle Umstellungstermin </w:t>
      </w:r>
      <w:r w:rsidR="00214DFA">
        <w:rPr>
          <w:rFonts w:cs="Arial"/>
        </w:rPr>
        <w:t xml:space="preserve">im Rahmen der Marktraumumstellung nach </w:t>
      </w:r>
      <w:r w:rsidR="00214DFA" w:rsidDel="00815124">
        <w:rPr>
          <w:rFonts w:cs="Arial"/>
        </w:rPr>
        <w:t>§</w:t>
      </w:r>
      <w:r w:rsidR="00815124">
        <w:rPr>
          <w:rFonts w:cs="Arial"/>
        </w:rPr>
        <w:t> </w:t>
      </w:r>
      <w:r w:rsidR="00214DFA">
        <w:rPr>
          <w:rFonts w:cs="Arial"/>
        </w:rPr>
        <w:t xml:space="preserve">4 </w:t>
      </w:r>
      <w:proofErr w:type="spellStart"/>
      <w:r w:rsidR="00214DFA">
        <w:rPr>
          <w:rFonts w:cs="Arial"/>
        </w:rPr>
        <w:t>KoV</w:t>
      </w:r>
      <w:proofErr w:type="spellEnd"/>
      <w:r w:rsidR="00214DFA">
        <w:rPr>
          <w:rFonts w:cs="Arial"/>
        </w:rPr>
        <w:t xml:space="preserve"> </w:t>
      </w:r>
      <w:r w:rsidRPr="009E04EC">
        <w:rPr>
          <w:rFonts w:cs="Arial"/>
        </w:rPr>
        <w:t>ist der Monatserste des Monats, ab</w:t>
      </w:r>
      <w:r w:rsidR="009B442C" w:rsidRPr="009B442C">
        <w:t xml:space="preserve"> dem </w:t>
      </w:r>
      <w:r w:rsidRPr="009E04EC">
        <w:rPr>
          <w:rFonts w:cs="Arial"/>
        </w:rPr>
        <w:t>Allokationswerte ausschließlich in H-Gas-Bilanzkreise gemeldet werden.</w:t>
      </w:r>
    </w:p>
    <w:p w14:paraId="0CD8FC09" w14:textId="77777777" w:rsidR="00F673FC" w:rsidRPr="009E04EC" w:rsidRDefault="00F673FC" w:rsidP="007F76BC">
      <w:pPr>
        <w:pStyle w:val="Listenabsatz"/>
        <w:numPr>
          <w:ilvl w:val="0"/>
          <w:numId w:val="63"/>
        </w:numPr>
        <w:spacing w:after="0"/>
        <w:ind w:left="425" w:hanging="425"/>
        <w:rPr>
          <w:rFonts w:cs="Arial"/>
        </w:rPr>
      </w:pPr>
      <w:r w:rsidRPr="009E04EC">
        <w:rPr>
          <w:rFonts w:cs="Arial"/>
        </w:rPr>
        <w:t>Abgrenzungsstichtag</w:t>
      </w:r>
      <w:r>
        <w:rPr>
          <w:rFonts w:cs="Arial"/>
        </w:rPr>
        <w:t>:</w:t>
      </w:r>
    </w:p>
    <w:p w14:paraId="7B498F00" w14:textId="23C8EAF2" w:rsidR="00F673FC" w:rsidRPr="00CE20DF" w:rsidRDefault="00F673FC" w:rsidP="00B54695">
      <w:pPr>
        <w:ind w:left="425"/>
        <w:rPr>
          <w:rFonts w:cs="Arial"/>
        </w:rPr>
      </w:pPr>
      <w:r w:rsidRPr="009E04EC">
        <w:rPr>
          <w:rFonts w:cs="Arial"/>
        </w:rPr>
        <w:t xml:space="preserve">Abgrenzungsstichtag </w:t>
      </w:r>
      <w:r w:rsidR="00214DFA">
        <w:rPr>
          <w:rFonts w:cs="Arial"/>
        </w:rPr>
        <w:t xml:space="preserve">im </w:t>
      </w:r>
      <w:r w:rsidR="001F1FC8">
        <w:rPr>
          <w:rFonts w:cs="Arial"/>
        </w:rPr>
        <w:t>Zusammenhang</w:t>
      </w:r>
      <w:r w:rsidR="00214DFA">
        <w:rPr>
          <w:rFonts w:cs="Arial"/>
        </w:rPr>
        <w:t xml:space="preserve"> der Marktraumumstellung </w:t>
      </w:r>
      <w:r w:rsidRPr="009E04EC">
        <w:rPr>
          <w:rFonts w:cs="Arial"/>
        </w:rPr>
        <w:t xml:space="preserve">ist der Zeitpunkt, ab dem das H-Gas tatsächlich beim Letztverbraucher ansteht. Dieser Termin wird vom </w:t>
      </w:r>
      <w:r w:rsidRPr="00CE20DF">
        <w:rPr>
          <w:rFonts w:cs="Arial"/>
        </w:rPr>
        <w:t xml:space="preserve">Netzbetreiber für interne Prozesse verwendet (z.B. </w:t>
      </w:r>
      <w:r w:rsidR="00B43665" w:rsidRPr="00CE20DF">
        <w:rPr>
          <w:rFonts w:cs="Arial"/>
        </w:rPr>
        <w:t xml:space="preserve">für die </w:t>
      </w:r>
      <w:r w:rsidRPr="00CE20DF">
        <w:rPr>
          <w:rFonts w:cs="Arial"/>
        </w:rPr>
        <w:t xml:space="preserve">Ablesesteuerung, </w:t>
      </w:r>
      <w:r w:rsidR="00B43665" w:rsidRPr="00CE20DF">
        <w:rPr>
          <w:rFonts w:cs="Arial"/>
        </w:rPr>
        <w:t xml:space="preserve">zur </w:t>
      </w:r>
      <w:r w:rsidRPr="00CE20DF">
        <w:rPr>
          <w:rFonts w:cs="Arial"/>
        </w:rPr>
        <w:t>Abgrenzung</w:t>
      </w:r>
      <w:r w:rsidR="00B43665" w:rsidRPr="00CE20DF">
        <w:rPr>
          <w:rFonts w:cs="Arial"/>
        </w:rPr>
        <w:t>,</w:t>
      </w:r>
      <w:r w:rsidRPr="00CE20DF">
        <w:rPr>
          <w:rFonts w:cs="Arial"/>
        </w:rPr>
        <w:t xml:space="preserve"> </w:t>
      </w:r>
      <w:r w:rsidR="00B43665" w:rsidRPr="00CE20DF">
        <w:rPr>
          <w:rFonts w:cs="Arial"/>
        </w:rPr>
        <w:t>zur (Zwischen-)</w:t>
      </w:r>
      <w:r w:rsidR="00B43665" w:rsidRPr="00CE20DF">
        <w:t xml:space="preserve">Abrechnung der Energiemengen aus </w:t>
      </w:r>
      <w:r w:rsidR="00DA1633" w:rsidRPr="00CE20DF">
        <w:t>Netznutzung.</w:t>
      </w:r>
    </w:p>
    <w:p w14:paraId="4FFFF9DF" w14:textId="533FC5C3" w:rsidR="00F673FC" w:rsidRPr="00CE20DF" w:rsidRDefault="00F673FC" w:rsidP="00B54695">
      <w:pPr>
        <w:ind w:left="425"/>
        <w:rPr>
          <w:rFonts w:cs="Arial"/>
        </w:rPr>
      </w:pPr>
      <w:r w:rsidRPr="00CE20DF">
        <w:rPr>
          <w:rFonts w:cs="Arial"/>
        </w:rPr>
        <w:t>Der Netzbetreiber bestimmt diesen Termin abhängig von dem Zeitpunkt, an dem durch den Fernleitungsnetzbetreiber am gemeinsamen Netzkopplungspunkt zum direkt dem Fernleitungsnetzbetreiber nachgelagerten Netzbetreiber H-Gas eingespeist wird. Zum Abgrenzungsstichtag bzw. im Zeitraum von 45 Tagen vor bis 31 Tage nach dem Abgrenzungsstichtag muss bei den umstellrelevanten SLP</w:t>
      </w:r>
      <w:r w:rsidR="006D79AD" w:rsidRPr="00CE20DF">
        <w:rPr>
          <w:rFonts w:cs="Arial"/>
        </w:rPr>
        <w:t xml:space="preserve"> </w:t>
      </w:r>
      <w:r w:rsidR="006B1E20" w:rsidRPr="00CE20DF">
        <w:rPr>
          <w:rFonts w:cs="Arial"/>
        </w:rPr>
        <w:t xml:space="preserve">Marktlokationen </w:t>
      </w:r>
      <w:r w:rsidRPr="00CE20DF">
        <w:rPr>
          <w:rFonts w:cs="Arial"/>
        </w:rPr>
        <w:t>die Erfassung des Zählerstandes erfolgen.</w:t>
      </w:r>
    </w:p>
    <w:p w14:paraId="2A21B80E" w14:textId="77777777" w:rsidR="00F673FC" w:rsidRPr="00CE20DF" w:rsidRDefault="00F673FC" w:rsidP="00F673FC">
      <w:pPr>
        <w:autoSpaceDE w:val="0"/>
        <w:autoSpaceDN w:val="0"/>
        <w:adjustRightInd w:val="0"/>
      </w:pPr>
    </w:p>
    <w:p w14:paraId="6A9EB4F8" w14:textId="1DB26A50" w:rsidR="00F673FC" w:rsidRPr="00CE20DF" w:rsidRDefault="00F673FC" w:rsidP="00F673FC">
      <w:pPr>
        <w:autoSpaceDE w:val="0"/>
        <w:autoSpaceDN w:val="0"/>
        <w:adjustRightInd w:val="0"/>
      </w:pPr>
      <w:r w:rsidRPr="00CE20DF">
        <w:t xml:space="preserve">Der qualitätsumstellende Netzbetreiber legt den </w:t>
      </w:r>
      <w:r w:rsidR="009B442C" w:rsidRPr="00CE20DF">
        <w:t xml:space="preserve">bilanziellen Umstellungstermin </w:t>
      </w:r>
      <w:r w:rsidRPr="00CE20DF">
        <w:t xml:space="preserve">in Abhängigkeit von der Terminierung gemäß der Umstellungsplanung </w:t>
      </w:r>
      <w:r w:rsidR="00B43665" w:rsidRPr="00CE20DF">
        <w:t xml:space="preserve">auf den ersten Kalendertag des Monats nach dem Abgrenzungsstichtag </w:t>
      </w:r>
      <w:r w:rsidRPr="00CE20DF">
        <w:t>fest.</w:t>
      </w:r>
      <w:r w:rsidR="00B43665" w:rsidRPr="00CE20DF">
        <w:t xml:space="preserve"> In dem Fall, dass der Abgrenzungsstichtag auf einen Monatsersten fällt, können Abgrenzungsstichtag und bilanzieller Umstellungstermin auch auf demselben Tag liegen.</w:t>
      </w:r>
      <w:r w:rsidRPr="00CE20DF">
        <w:t xml:space="preserve"> Die zeitliche Abweichung zwischen dem bilanziellen Umstellungstermin und dem Abgrenzungsstichtag sollte nicht mehr als 4 Wochen betragen. Dabei ist insbesondere folgendes zu beachten:</w:t>
      </w:r>
    </w:p>
    <w:p w14:paraId="65917DA9" w14:textId="77777777" w:rsidR="00F673FC" w:rsidRPr="006C7938" w:rsidRDefault="00F673FC" w:rsidP="001322F2">
      <w:pPr>
        <w:pStyle w:val="Aufzhlungszeichen"/>
      </w:pPr>
      <w:r w:rsidRPr="006C7938">
        <w:t xml:space="preserve">Die fristgerechte Beantragung und Einrichtung eines H-Gas-Netzkontos, sofern der qualitätsumstellende NB </w:t>
      </w:r>
      <w:r w:rsidR="00B43665" w:rsidRPr="006C7938">
        <w:t xml:space="preserve">bisher </w:t>
      </w:r>
      <w:r w:rsidRPr="006C7938">
        <w:t xml:space="preserve">noch keine </w:t>
      </w:r>
      <w:r w:rsidR="009B442C" w:rsidRPr="006C7938">
        <w:t xml:space="preserve">Allokationen </w:t>
      </w:r>
      <w:r w:rsidRPr="006C7938">
        <w:t>in H-Gas-BK/SBK vornimmt</w:t>
      </w:r>
      <w:r w:rsidR="00B43665" w:rsidRPr="006C7938">
        <w:t xml:space="preserve"> und der MGV noch kein H-Gas-Netzkonto für den NB führt</w:t>
      </w:r>
      <w:r w:rsidRPr="006C7938">
        <w:t>.</w:t>
      </w:r>
    </w:p>
    <w:p w14:paraId="198EA7FF" w14:textId="6ED02A4E" w:rsidR="00013CCE" w:rsidRPr="006C7938" w:rsidRDefault="00F673FC" w:rsidP="001322F2">
      <w:pPr>
        <w:pStyle w:val="Aufzhlungszeichen"/>
      </w:pPr>
      <w:r w:rsidRPr="006C7938">
        <w:t>Die Auswirkungen auf den Prozess und die Fristen bei der Zuordnung der</w:t>
      </w:r>
      <w:r w:rsidR="00B43665" w:rsidRPr="006C7938">
        <w:t xml:space="preserve"> bilanzkreisrelevanten</w:t>
      </w:r>
      <w:r w:rsidR="00200A10" w:rsidRPr="006C7938">
        <w:t xml:space="preserve"> </w:t>
      </w:r>
      <w:r w:rsidR="00323FFE" w:rsidRPr="006C7938">
        <w:t xml:space="preserve">Marktlokationen </w:t>
      </w:r>
      <w:r w:rsidRPr="006C7938">
        <w:t>zu</w:t>
      </w:r>
      <w:r w:rsidR="009B442C" w:rsidRPr="006C7938">
        <w:t xml:space="preserve"> H-Gas-</w:t>
      </w:r>
      <w:r w:rsidRPr="006C7938">
        <w:t>BK/SBK</w:t>
      </w:r>
      <w:r w:rsidR="00323FFE" w:rsidRPr="006C7938">
        <w:t xml:space="preserve"> (mindestens 2 Monate vor dem bilanziellen Umstellungstermin, siehe Kap. 3.1)</w:t>
      </w:r>
      <w:r w:rsidRPr="006C7938">
        <w:t>.</w:t>
      </w:r>
    </w:p>
    <w:p w14:paraId="10CF8ED2" w14:textId="77777777" w:rsidR="00F673FC" w:rsidRPr="006C7938" w:rsidRDefault="00F673FC" w:rsidP="001322F2">
      <w:pPr>
        <w:pStyle w:val="Aufzhlungszeichen"/>
      </w:pPr>
      <w:r w:rsidRPr="006C7938">
        <w:t>Die Zuordnung der für das Umstellungsgebiet relevanten NKP zum zugehörigen H- oder L-Gas-Netzkonto bei der Entry-NKP-Allokation.</w:t>
      </w:r>
    </w:p>
    <w:p w14:paraId="04967C23" w14:textId="32E11A00" w:rsidR="00F673FC" w:rsidRDefault="00323FFE" w:rsidP="001322F2">
      <w:pPr>
        <w:pStyle w:val="Aufzhlungszeichen"/>
      </w:pPr>
      <w:r w:rsidRPr="006C7938">
        <w:t xml:space="preserve"> Die Meldung der Termine (bilanzieller Umstellungstermin und Zeitpunkt der Änderung der Gasqualität am Netzkopplungspunkt) an den MGV </w:t>
      </w:r>
      <w:r w:rsidRPr="001322F2">
        <w:t>bis spätestens drei Monate vor dem bilanziellen Umstellungstermin</w:t>
      </w:r>
      <w:r w:rsidRPr="006C7938">
        <w:t>, siehe Kapitel 11.4.4.</w:t>
      </w:r>
    </w:p>
    <w:p w14:paraId="41E15CDF" w14:textId="4DC8B948" w:rsidR="00052D9B" w:rsidRDefault="00F673FC" w:rsidP="00F673FC">
      <w:pPr>
        <w:autoSpaceDE w:val="0"/>
        <w:autoSpaceDN w:val="0"/>
        <w:adjustRightInd w:val="0"/>
      </w:pPr>
      <w:r>
        <w:t>Folgende</w:t>
      </w:r>
      <w:r w:rsidR="00323FFE">
        <w:t>s</w:t>
      </w:r>
      <w:r>
        <w:t xml:space="preserve"> Beispiel verdeutlich</w:t>
      </w:r>
      <w:r w:rsidR="00323FFE">
        <w:t xml:space="preserve">t </w:t>
      </w:r>
      <w:r>
        <w:t xml:space="preserve">die </w:t>
      </w:r>
      <w:r w:rsidR="00323FFE">
        <w:t xml:space="preserve">Allokation im Fall der </w:t>
      </w:r>
      <w:r w:rsidR="00DA1633">
        <w:t>Marktraumumstellung:</w:t>
      </w:r>
    </w:p>
    <w:p w14:paraId="543258B6" w14:textId="5092B630" w:rsidR="00F673FC" w:rsidRDefault="00F673FC" w:rsidP="00F673FC">
      <w:pPr>
        <w:autoSpaceDE w:val="0"/>
        <w:autoSpaceDN w:val="0"/>
        <w:adjustRightInd w:val="0"/>
      </w:pPr>
    </w:p>
    <w:p w14:paraId="4D9C9DFC" w14:textId="77777777" w:rsidR="00FF6489" w:rsidRDefault="00083F68" w:rsidP="00FF6489">
      <w:pPr>
        <w:keepNext/>
        <w:autoSpaceDE w:val="0"/>
        <w:autoSpaceDN w:val="0"/>
        <w:adjustRightInd w:val="0"/>
      </w:pPr>
      <w:r>
        <w:rPr>
          <w:noProof/>
        </w:rPr>
        <w:lastRenderedPageBreak/>
        <w:drawing>
          <wp:inline distT="0" distB="0" distL="0" distR="0" wp14:anchorId="1BEA35F7" wp14:editId="18FD82EE">
            <wp:extent cx="5759450" cy="3482340"/>
            <wp:effectExtent l="0" t="0" r="0" b="0"/>
            <wp:docPr id="313" name="Grafik 313"/>
            <wp:cNvGraphicFramePr/>
            <a:graphic xmlns:a="http://schemas.openxmlformats.org/drawingml/2006/main">
              <a:graphicData uri="http://schemas.openxmlformats.org/drawingml/2006/picture">
                <pic:pic xmlns:pic="http://schemas.openxmlformats.org/drawingml/2006/picture">
                  <pic:nvPicPr>
                    <pic:cNvPr id="313" name="Grafik 313"/>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9450" cy="3482340"/>
                    </a:xfrm>
                    <a:prstGeom prst="rect">
                      <a:avLst/>
                    </a:prstGeom>
                    <a:noFill/>
                    <a:ln>
                      <a:noFill/>
                    </a:ln>
                  </pic:spPr>
                </pic:pic>
              </a:graphicData>
            </a:graphic>
          </wp:inline>
        </w:drawing>
      </w:r>
    </w:p>
    <w:p w14:paraId="0C65BA52" w14:textId="6E1B5FE8" w:rsidR="00FF6489" w:rsidRPr="00E62FB0" w:rsidRDefault="00FF6489" w:rsidP="00E62FB0">
      <w:pPr>
        <w:pStyle w:val="Abbildung"/>
        <w:rPr>
          <w:b/>
          <w:bCs/>
        </w:rPr>
      </w:pPr>
      <w:bookmarkStart w:id="588" w:name="_Toc111118599"/>
      <w:bookmarkStart w:id="589" w:name="_Toc111196145"/>
      <w:r w:rsidRPr="00E62FB0">
        <w:rPr>
          <w:b/>
          <w:bCs/>
        </w:rPr>
        <w:t xml:space="preserve">Abbildung </w:t>
      </w:r>
      <w:r w:rsidRPr="00E62FB0">
        <w:rPr>
          <w:b/>
          <w:bCs/>
        </w:rPr>
        <w:fldChar w:fldCharType="begin"/>
      </w:r>
      <w:r w:rsidRPr="00E62FB0">
        <w:rPr>
          <w:b/>
          <w:bCs/>
        </w:rPr>
        <w:instrText xml:space="preserve"> SEQ Abbildung \* ARABIC </w:instrText>
      </w:r>
      <w:r w:rsidRPr="00E62FB0">
        <w:rPr>
          <w:b/>
          <w:bCs/>
        </w:rPr>
        <w:fldChar w:fldCharType="separate"/>
      </w:r>
      <w:r w:rsidR="00D400FA" w:rsidRPr="00E62FB0">
        <w:rPr>
          <w:b/>
          <w:bCs/>
        </w:rPr>
        <w:t>16</w:t>
      </w:r>
      <w:r w:rsidRPr="00E62FB0">
        <w:rPr>
          <w:b/>
          <w:bCs/>
        </w:rPr>
        <w:fldChar w:fldCharType="end"/>
      </w:r>
      <w:r w:rsidRPr="00E62FB0">
        <w:rPr>
          <w:b/>
          <w:bCs/>
        </w:rPr>
        <w:t>: Beispiel Allokation im Falle einer MRU</w:t>
      </w:r>
      <w:bookmarkEnd w:id="588"/>
      <w:bookmarkEnd w:id="589"/>
    </w:p>
    <w:p w14:paraId="1BADADAE" w14:textId="65DF9679" w:rsidR="00083F68" w:rsidRDefault="00083F68" w:rsidP="00F673FC">
      <w:pPr>
        <w:autoSpaceDE w:val="0"/>
        <w:autoSpaceDN w:val="0"/>
        <w:adjustRightInd w:val="0"/>
      </w:pPr>
    </w:p>
    <w:p w14:paraId="4B92FF23" w14:textId="76D22D34" w:rsidR="00F673FC" w:rsidRDefault="00F673FC" w:rsidP="00F673FC">
      <w:pPr>
        <w:pStyle w:val="berschrift4"/>
        <w:tabs>
          <w:tab w:val="clear" w:pos="1844"/>
          <w:tab w:val="num" w:pos="1134"/>
        </w:tabs>
        <w:ind w:left="1134"/>
      </w:pPr>
      <w:bookmarkStart w:id="590" w:name="_Toc111118496"/>
      <w:r w:rsidRPr="00690CFE">
        <w:t xml:space="preserve">Teilbilanz und Verrechnung gemäß </w:t>
      </w:r>
      <w:r w:rsidRPr="00690CFE" w:rsidDel="00815124">
        <w:t>§</w:t>
      </w:r>
      <w:r w:rsidR="00815124">
        <w:t> </w:t>
      </w:r>
      <w:r w:rsidRPr="00690CFE">
        <w:t xml:space="preserve">9 </w:t>
      </w:r>
      <w:r w:rsidR="007204E8">
        <w:t xml:space="preserve">Ziffer 1 </w:t>
      </w:r>
      <w:r w:rsidRPr="00690CFE">
        <w:t xml:space="preserve">f) </w:t>
      </w:r>
      <w:proofErr w:type="spellStart"/>
      <w:r w:rsidRPr="00690CFE">
        <w:t>KoV</w:t>
      </w:r>
      <w:bookmarkEnd w:id="590"/>
      <w:proofErr w:type="spellEnd"/>
    </w:p>
    <w:p w14:paraId="6152D1A8" w14:textId="1BD0C2BC" w:rsidR="00980729" w:rsidRDefault="008E58BD" w:rsidP="00667A4B">
      <w:pPr>
        <w:autoSpaceDE w:val="0"/>
        <w:autoSpaceDN w:val="0"/>
        <w:adjustRightInd w:val="0"/>
      </w:pPr>
      <w:r w:rsidRPr="008E7764">
        <w:t>Für die Ermittlung der Kosten</w:t>
      </w:r>
      <w:r>
        <w:t xml:space="preserve"> gemäß </w:t>
      </w:r>
      <w:r w:rsidDel="00815124">
        <w:t>§</w:t>
      </w:r>
      <w:r w:rsidR="00815124">
        <w:t> </w:t>
      </w:r>
      <w:r>
        <w:t>9</w:t>
      </w:r>
      <w:r w:rsidR="00EF54FD">
        <w:t xml:space="preserve"> Ziffer 1</w:t>
      </w:r>
      <w:r>
        <w:t xml:space="preserve"> f) </w:t>
      </w:r>
      <w:proofErr w:type="spellStart"/>
      <w:r>
        <w:t>KoV</w:t>
      </w:r>
      <w:proofErr w:type="spellEnd"/>
      <w:r w:rsidRPr="008E7764">
        <w:t xml:space="preserve">, die aufgrund der zeitlichen Unterschiede zwischen </w:t>
      </w:r>
      <w:r>
        <w:t xml:space="preserve">dem Abgrenzungsstichtag </w:t>
      </w:r>
      <w:r w:rsidRPr="008E7764">
        <w:t xml:space="preserve">und </w:t>
      </w:r>
      <w:r>
        <w:t xml:space="preserve">dem </w:t>
      </w:r>
      <w:r w:rsidRPr="008E7764">
        <w:t>bilanzielle</w:t>
      </w:r>
      <w:r>
        <w:t>n</w:t>
      </w:r>
      <w:r w:rsidRPr="008E7764">
        <w:t xml:space="preserve"> Umstellung</w:t>
      </w:r>
      <w:r>
        <w:t xml:space="preserve">stermin </w:t>
      </w:r>
      <w:r w:rsidRPr="008E7764">
        <w:t xml:space="preserve">entstehen, übersendet der </w:t>
      </w:r>
      <w:r>
        <w:t>NB</w:t>
      </w:r>
      <w:r w:rsidRPr="008E7764">
        <w:t xml:space="preserve"> dem </w:t>
      </w:r>
      <w:r>
        <w:t>MGV</w:t>
      </w:r>
      <w:r w:rsidRPr="008E7764">
        <w:t xml:space="preserve"> die Summe der</w:t>
      </w:r>
      <w:r>
        <w:t xml:space="preserve"> Allokationsdaten der Ausspeise</w:t>
      </w:r>
      <w:r w:rsidRPr="008E7764">
        <w:t xml:space="preserve">punkte, bei denen der </w:t>
      </w:r>
      <w:r>
        <w:t xml:space="preserve">Abgrenzungsstichtag </w:t>
      </w:r>
      <w:r w:rsidRPr="008E7764">
        <w:t xml:space="preserve">und </w:t>
      </w:r>
      <w:r>
        <w:t xml:space="preserve">der </w:t>
      </w:r>
      <w:r w:rsidRPr="008E7764">
        <w:t>bilanzielle U</w:t>
      </w:r>
      <w:r>
        <w:t>mstellungstermin auseinander</w:t>
      </w:r>
      <w:r w:rsidRPr="008E7764">
        <w:t>fällt.</w:t>
      </w:r>
    </w:p>
    <w:p w14:paraId="4142021B" w14:textId="209BAD43" w:rsidR="008E58BD" w:rsidRPr="008E7764" w:rsidRDefault="008E58BD" w:rsidP="00667A4B">
      <w:r w:rsidRPr="008E7764">
        <w:t>Die Übermittlung erfolgt nach Ablauf der Clearingfristen</w:t>
      </w:r>
      <w:r w:rsidR="00947817">
        <w:t xml:space="preserve"> bis spätestens M+3M</w:t>
      </w:r>
      <w:r w:rsidRPr="008E7764">
        <w:t xml:space="preserve"> auf Tagesbasis für den gesamten Zeitraum, der zwischen</w:t>
      </w:r>
      <w:r>
        <w:t xml:space="preserve"> Abgrenzungsstichtag und bilanziellem Umstel</w:t>
      </w:r>
      <w:r w:rsidRPr="008E7764">
        <w:t xml:space="preserve">lungstermin liegt, </w:t>
      </w:r>
      <w:r w:rsidR="00947817">
        <w:t>mit dem Formblatt gemäß Anlage 2</w:t>
      </w:r>
      <w:r>
        <w:t>.</w:t>
      </w:r>
    </w:p>
    <w:p w14:paraId="1C57AB1D" w14:textId="77777777" w:rsidR="00980729" w:rsidRDefault="00F9387A" w:rsidP="00667A4B">
      <w:pPr>
        <w:autoSpaceDE w:val="0"/>
        <w:autoSpaceDN w:val="0"/>
        <w:adjustRightInd w:val="0"/>
        <w:rPr>
          <w:rFonts w:cs="Arial"/>
          <w:color w:val="000000"/>
        </w:rPr>
      </w:pPr>
      <w:r>
        <w:rPr>
          <w:rFonts w:cs="Arial"/>
          <w:color w:val="000000"/>
        </w:rPr>
        <w:t xml:space="preserve">Für Mengen des Zeitreihentyps </w:t>
      </w:r>
      <w:proofErr w:type="spellStart"/>
      <w:r>
        <w:rPr>
          <w:rFonts w:cs="Arial"/>
          <w:color w:val="000000"/>
        </w:rPr>
        <w:t>RLMmT</w:t>
      </w:r>
      <w:proofErr w:type="spellEnd"/>
      <w:r>
        <w:rPr>
          <w:rFonts w:cs="Arial"/>
          <w:color w:val="000000"/>
        </w:rPr>
        <w:t xml:space="preserve"> und </w:t>
      </w:r>
      <w:proofErr w:type="spellStart"/>
      <w:r>
        <w:rPr>
          <w:rFonts w:cs="Arial"/>
          <w:color w:val="000000"/>
        </w:rPr>
        <w:t>RLMoT</w:t>
      </w:r>
      <w:proofErr w:type="spellEnd"/>
      <w:r>
        <w:rPr>
          <w:rFonts w:cs="Arial"/>
          <w:color w:val="000000"/>
        </w:rPr>
        <w:t xml:space="preserve"> werden bei der Berechnung der Tagessummen die</w:t>
      </w:r>
      <w:r w:rsidRPr="006C7938">
        <w:rPr>
          <w:rFonts w:cs="Arial"/>
          <w:color w:val="000000"/>
        </w:rPr>
        <w:t xml:space="preserve"> </w:t>
      </w:r>
      <w:r w:rsidR="00323FFE" w:rsidRPr="006C7938">
        <w:rPr>
          <w:rFonts w:cs="Arial"/>
          <w:color w:val="000000"/>
        </w:rPr>
        <w:t>finalen</w:t>
      </w:r>
      <w:r w:rsidR="00366A28">
        <w:rPr>
          <w:rFonts w:cs="Arial"/>
          <w:color w:val="000000"/>
        </w:rPr>
        <w:t xml:space="preserve"> </w:t>
      </w:r>
      <w:r>
        <w:rPr>
          <w:rFonts w:cs="Arial"/>
          <w:color w:val="000000"/>
        </w:rPr>
        <w:t xml:space="preserve">Allokationen auf Basis des </w:t>
      </w:r>
      <w:r w:rsidR="00947817">
        <w:rPr>
          <w:rFonts w:cs="Arial"/>
          <w:color w:val="000000"/>
        </w:rPr>
        <w:t>Abrechnungs</w:t>
      </w:r>
      <w:r>
        <w:rPr>
          <w:rFonts w:cs="Arial"/>
          <w:color w:val="000000"/>
        </w:rPr>
        <w:t>brennwertes herangezogen</w:t>
      </w:r>
      <w:r w:rsidR="00C33A94">
        <w:rPr>
          <w:rFonts w:cs="Arial"/>
          <w:color w:val="000000"/>
        </w:rPr>
        <w:t>.</w:t>
      </w:r>
    </w:p>
    <w:p w14:paraId="3B23023D" w14:textId="00AF3331" w:rsidR="00395EB3" w:rsidRPr="0090314E" w:rsidRDefault="00F673FC" w:rsidP="0090314E">
      <w:pPr>
        <w:autoSpaceDE w:val="0"/>
        <w:autoSpaceDN w:val="0"/>
        <w:adjustRightInd w:val="0"/>
        <w:rPr>
          <w:rFonts w:cs="Arial"/>
          <w:color w:val="000000"/>
        </w:rPr>
      </w:pPr>
      <w:r>
        <w:rPr>
          <w:rFonts w:cs="Arial"/>
          <w:color w:val="000000"/>
        </w:rPr>
        <w:t xml:space="preserve">Die Mengen des Zeitreihentyps SLP werden mit dem finalen Datenstand, d.h. auf Basis der allokierten Werte bzw. gebildeten Ersatzwerte bzw. </w:t>
      </w:r>
      <w:proofErr w:type="spellStart"/>
      <w:r>
        <w:rPr>
          <w:rFonts w:cs="Arial"/>
          <w:color w:val="000000"/>
        </w:rPr>
        <w:t>geclearten</w:t>
      </w:r>
      <w:proofErr w:type="spellEnd"/>
      <w:r>
        <w:rPr>
          <w:rFonts w:cs="Arial"/>
          <w:color w:val="000000"/>
        </w:rPr>
        <w:t xml:space="preserve"> Werte, herangezogen.</w:t>
      </w:r>
    </w:p>
    <w:p w14:paraId="2FD1B5ED" w14:textId="4D3EBBF1" w:rsidR="00083F68" w:rsidRDefault="00083F68" w:rsidP="00667A4B">
      <w:pPr>
        <w:pStyle w:val="Abbildung"/>
        <w:spacing w:before="360" w:after="240"/>
        <w:rPr>
          <w:b/>
          <w:bCs/>
        </w:rPr>
      </w:pPr>
      <w:bookmarkStart w:id="591" w:name="_Toc437530329"/>
    </w:p>
    <w:p w14:paraId="643F84ED" w14:textId="73DB68DD" w:rsidR="004F122C" w:rsidRDefault="004F122C" w:rsidP="00667A4B">
      <w:pPr>
        <w:pStyle w:val="Abbildung"/>
        <w:spacing w:before="360" w:after="240"/>
        <w:rPr>
          <w:b/>
          <w:bCs/>
        </w:rPr>
      </w:pPr>
      <w:r w:rsidRPr="0000351A">
        <w:drawing>
          <wp:inline distT="0" distB="0" distL="0" distR="0" wp14:anchorId="4352CE49" wp14:editId="29F3A891">
            <wp:extent cx="5759450" cy="58051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0" cy="5805170"/>
                    </a:xfrm>
                    <a:prstGeom prst="rect">
                      <a:avLst/>
                    </a:prstGeom>
                    <a:noFill/>
                    <a:ln>
                      <a:noFill/>
                    </a:ln>
                  </pic:spPr>
                </pic:pic>
              </a:graphicData>
            </a:graphic>
          </wp:inline>
        </w:drawing>
      </w:r>
    </w:p>
    <w:p w14:paraId="6ABD5716" w14:textId="69BCA8E0" w:rsidR="003336BF" w:rsidRPr="00B76A90" w:rsidRDefault="00B32C36" w:rsidP="00667A4B">
      <w:pPr>
        <w:pStyle w:val="Abbildung"/>
        <w:spacing w:before="360" w:after="240"/>
        <w:rPr>
          <w:b/>
          <w:bCs/>
        </w:rPr>
      </w:pPr>
      <w:bookmarkStart w:id="592" w:name="_Toc111118600"/>
      <w:bookmarkStart w:id="593" w:name="_Toc111196146"/>
      <w:r w:rsidRPr="00B76A90">
        <w:rPr>
          <w:b/>
          <w:bCs/>
        </w:rPr>
        <w:t>Abbildung</w:t>
      </w:r>
      <w:r w:rsidR="00B76A90" w:rsidRPr="00B76A90">
        <w:rPr>
          <w:b/>
          <w:bCs/>
        </w:rPr>
        <w:t xml:space="preserve"> </w:t>
      </w:r>
      <w:r w:rsidR="00561FFA" w:rsidRPr="00B76A90">
        <w:rPr>
          <w:b/>
          <w:bCs/>
        </w:rPr>
        <w:fldChar w:fldCharType="begin"/>
      </w:r>
      <w:r w:rsidR="00B76A90" w:rsidRPr="00B76A90">
        <w:rPr>
          <w:b/>
          <w:bCs/>
        </w:rPr>
        <w:instrText xml:space="preserve"> SEQ Abbildung \* ARABIC </w:instrText>
      </w:r>
      <w:r w:rsidR="00561FFA" w:rsidRPr="00B76A90">
        <w:rPr>
          <w:b/>
          <w:bCs/>
        </w:rPr>
        <w:fldChar w:fldCharType="separate"/>
      </w:r>
      <w:r w:rsidR="00D400FA">
        <w:rPr>
          <w:b/>
          <w:bCs/>
        </w:rPr>
        <w:t>17</w:t>
      </w:r>
      <w:r w:rsidR="00561FFA" w:rsidRPr="00B76A90">
        <w:rPr>
          <w:b/>
          <w:bCs/>
        </w:rPr>
        <w:fldChar w:fldCharType="end"/>
      </w:r>
      <w:r w:rsidR="00B76A90" w:rsidRPr="00B76A90">
        <w:rPr>
          <w:b/>
          <w:bCs/>
        </w:rPr>
        <w:t>: Allokation bei Marktraumumstellung, Allokationsdaten und Regelenergie-Kosten</w:t>
      </w:r>
      <w:bookmarkEnd w:id="591"/>
      <w:bookmarkEnd w:id="592"/>
      <w:bookmarkEnd w:id="593"/>
    </w:p>
    <w:p w14:paraId="188540F1" w14:textId="591BCB2B" w:rsidR="004F122C" w:rsidRDefault="008E58BD" w:rsidP="00003CB7">
      <w:pPr>
        <w:autoSpaceDE w:val="0"/>
        <w:autoSpaceDN w:val="0"/>
        <w:adjustRightInd w:val="0"/>
      </w:pPr>
      <w:r w:rsidRPr="00003CB7">
        <w:t xml:space="preserve">Der MGV berücksichtigt, ob externe Regelenergie beschafft werden musste und </w:t>
      </w:r>
      <w:r w:rsidRPr="008E7764">
        <w:t>bewertet die Tagesmengen mit d</w:t>
      </w:r>
      <w:r>
        <w:t xml:space="preserve">er täglichen Preisdifferenz </w:t>
      </w:r>
      <w:r w:rsidR="00502778">
        <w:t xml:space="preserve">(mengengewichteter Gasdurchschnittspreis) </w:t>
      </w:r>
      <w:r>
        <w:t>zwi</w:t>
      </w:r>
      <w:r w:rsidRPr="008E7764">
        <w:t xml:space="preserve">schen den H-Gas und L-Gas Quality Produkten gemäß Rang 2 der Merit-Order Liste der </w:t>
      </w:r>
      <w:r>
        <w:t>MGV</w:t>
      </w:r>
      <w:r w:rsidRPr="008E7764">
        <w:t xml:space="preserve"> zur Beschaffung</w:t>
      </w:r>
      <w:r>
        <w:t xml:space="preserve"> externer Regelenergie</w:t>
      </w:r>
      <w:r w:rsidR="00502778">
        <w:t>.</w:t>
      </w:r>
    </w:p>
    <w:p w14:paraId="1E7ACB04" w14:textId="0E2D1B24" w:rsidR="004F122C" w:rsidRPr="00A04C50" w:rsidRDefault="004F122C" w:rsidP="00A04C50">
      <w:r w:rsidRPr="00A04C50">
        <w:lastRenderedPageBreak/>
        <w:t>Der NB kann vor der Erstellung der Teilbilanz</w:t>
      </w:r>
      <w:r w:rsidR="007563F6" w:rsidRPr="00A04C50">
        <w:t xml:space="preserve"> </w:t>
      </w:r>
      <w:r w:rsidRPr="00A04C50">
        <w:t xml:space="preserve">auf der Internetseite des MGV in den Veröffentlichungen im Bereich Services für Netzbetreiber unter den Informationen zur Marktraumumstellung prüfen, ob im Zeitraum zwischen Abgrenzungsstichtag und bilanziellem Umstellungstermin externe Regelenergie beschafft werden musste. Der MGV stellt diese Information pro </w:t>
      </w:r>
      <w:proofErr w:type="spellStart"/>
      <w:r w:rsidRPr="00A04C50">
        <w:t>Gastag</w:t>
      </w:r>
      <w:proofErr w:type="spellEnd"/>
      <w:r w:rsidRPr="00A04C50">
        <w:t xml:space="preserve"> bis M+2M-10WT nach dem Liefermonat zur Verfügung. Ist in dem Zeitraum beim MGV kein externer Regelenergieeinsatz ausgewiesen, kann auf die Erstellung und Übermittlung der Teilbilanz durch den NB sowie die Rückübermittlung und Nullrechnung durch den MGV verzichtet werden.</w:t>
      </w:r>
    </w:p>
    <w:p w14:paraId="7CC2D941" w14:textId="2BFF2550" w:rsidR="008E58BD" w:rsidRPr="00003CB7" w:rsidRDefault="00502778" w:rsidP="00003CB7">
      <w:pPr>
        <w:autoSpaceDE w:val="0"/>
        <w:autoSpaceDN w:val="0"/>
        <w:adjustRightInd w:val="0"/>
      </w:pPr>
      <w:r>
        <w:t>Der MGV stellt eine Rechnung an den NB</w:t>
      </w:r>
      <w:r w:rsidR="00A43F39">
        <w:t>,</w:t>
      </w:r>
      <w:r>
        <w:t xml:space="preserve"> sofern die Kosten die Erlöse übersteigen. </w:t>
      </w:r>
      <w:r w:rsidR="00083F68">
        <w:t>Das Zahlungsziel beträgt 10 Werktage bezogen auf den Rechnungseingang.</w:t>
      </w:r>
      <w:r w:rsidR="00083F68" w:rsidRPr="00003CB7">
        <w:t xml:space="preserve"> </w:t>
      </w:r>
      <w:r>
        <w:t xml:space="preserve">Übersteigen die Erlöse die Kosten erstellt der MGV eine Gutschrift für den NB. </w:t>
      </w:r>
      <w:r w:rsidR="004F122C" w:rsidRPr="0033021A">
        <w:t>Die Übermittlung der Rechnung oder Gutschrift durch den MGV an den NB erfolgt bis spätestens M+4M</w:t>
      </w:r>
      <w:r w:rsidR="004F122C">
        <w:t>.</w:t>
      </w:r>
      <w:r w:rsidR="004F122C" w:rsidRPr="008E7764">
        <w:t xml:space="preserve"> </w:t>
      </w:r>
      <w:r w:rsidR="008E58BD" w:rsidRPr="008E7764">
        <w:t xml:space="preserve">Die abgerechneten </w:t>
      </w:r>
      <w:r w:rsidR="008E58BD">
        <w:t>Ausgleichszahlungen</w:t>
      </w:r>
      <w:r w:rsidR="008E58BD" w:rsidRPr="008E7764">
        <w:t xml:space="preserve"> berücksichtigt der qualitätsumstellende </w:t>
      </w:r>
      <w:r w:rsidR="004F593C">
        <w:t>NB</w:t>
      </w:r>
      <w:r w:rsidR="008E58BD">
        <w:t xml:space="preserve"> bei seinen umlagefähi</w:t>
      </w:r>
      <w:r w:rsidR="008E58BD" w:rsidRPr="008E7764">
        <w:t>gen Umstellungskosten.</w:t>
      </w:r>
    </w:p>
    <w:p w14:paraId="5A1592E4" w14:textId="77777777" w:rsidR="00C62399" w:rsidRDefault="000F3299" w:rsidP="00667A4B">
      <w:pPr>
        <w:pStyle w:val="berschrift3"/>
        <w:tabs>
          <w:tab w:val="num" w:pos="1106"/>
        </w:tabs>
        <w:spacing w:before="480"/>
        <w:ind w:left="993" w:hanging="953"/>
      </w:pPr>
      <w:bookmarkStart w:id="594" w:name="_Ref436135427"/>
      <w:bookmarkStart w:id="595" w:name="_Toc111118497"/>
      <w:r w:rsidRPr="009B0844">
        <w:t xml:space="preserve">Allokation </w:t>
      </w:r>
      <w:r>
        <w:t xml:space="preserve">Netzpufferfahrweisen und OBA </w:t>
      </w:r>
      <w:r w:rsidRPr="009B0844">
        <w:t>(Zeitreihentyp</w:t>
      </w:r>
      <w:r>
        <w:t>en</w:t>
      </w:r>
      <w:r w:rsidRPr="009B0844">
        <w:t xml:space="preserve"> </w:t>
      </w:r>
      <w:proofErr w:type="spellStart"/>
      <w:r>
        <w:t>Entryso</w:t>
      </w:r>
      <w:proofErr w:type="spellEnd"/>
      <w:r w:rsidRPr="009B0844">
        <w:t xml:space="preserve"> und </w:t>
      </w:r>
      <w:proofErr w:type="spellStart"/>
      <w:r>
        <w:t>Exitso</w:t>
      </w:r>
      <w:proofErr w:type="spellEnd"/>
      <w:r w:rsidRPr="009B0844">
        <w:t>)</w:t>
      </w:r>
      <w:bookmarkEnd w:id="594"/>
      <w:bookmarkEnd w:id="595"/>
    </w:p>
    <w:p w14:paraId="08B10D79" w14:textId="44EEE499" w:rsidR="00387FB8" w:rsidRDefault="00331B4F" w:rsidP="00667A4B">
      <w:pPr>
        <w:rPr>
          <w:rFonts w:cs="Arial"/>
        </w:rPr>
      </w:pPr>
      <w:r>
        <w:t xml:space="preserve">Verfügt ein </w:t>
      </w:r>
      <w:r w:rsidR="004F593C">
        <w:t>NB</w:t>
      </w:r>
      <w:r>
        <w:t xml:space="preserve"> in seinem Netz über einen Netzpuffer, so setzt er diesen Netzpuffer im Rahmen seiner operativen Netzsteuerung mit dem Ziel ein, die innerhalb eines </w:t>
      </w:r>
      <w:proofErr w:type="spellStart"/>
      <w:r>
        <w:t>Gastages</w:t>
      </w:r>
      <w:proofErr w:type="spellEnd"/>
      <w:r>
        <w:t xml:space="preserve"> auftretenden Lastspitzen an den Netzkopplungspunkten bzw. Ausspeisezonen seines Netzes zum vorgelagerten Netz zu glätten und damit die maximale stündliche Einspeiseleistung in sein Netz zu minimieren.</w:t>
      </w:r>
      <w:r>
        <w:rPr>
          <w:rFonts w:cs="Arial"/>
        </w:rPr>
        <w:t xml:space="preserve"> </w:t>
      </w:r>
      <w:r w:rsidR="00364D6C">
        <w:rPr>
          <w:rFonts w:cs="Arial"/>
        </w:rPr>
        <w:t>Zur Aufnahme von Steuerungsdifferenzen bei Speichern</w:t>
      </w:r>
      <w:r w:rsidR="00C92831">
        <w:rPr>
          <w:rFonts w:cs="Arial"/>
        </w:rPr>
        <w:t xml:space="preserve"> und/</w:t>
      </w:r>
      <w:r w:rsidR="00667A4B">
        <w:rPr>
          <w:rFonts w:cs="Arial"/>
        </w:rPr>
        <w:t xml:space="preserve"> </w:t>
      </w:r>
      <w:r w:rsidR="00C92831">
        <w:rPr>
          <w:rFonts w:cs="Arial"/>
        </w:rPr>
        <w:t xml:space="preserve">oder </w:t>
      </w:r>
      <w:r w:rsidR="00BA121F">
        <w:rPr>
          <w:rFonts w:cs="Arial"/>
        </w:rPr>
        <w:t xml:space="preserve">GÜP am Verteilnetz kann </w:t>
      </w:r>
      <w:r w:rsidR="00364D6C">
        <w:rPr>
          <w:rFonts w:cs="Arial"/>
        </w:rPr>
        <w:t xml:space="preserve">ein OBA vereinbart sein. Netzpuffer und OBA haben einen Einfluss auf den täglichen Netzkontosaldo. </w:t>
      </w:r>
      <w:r w:rsidR="00387FB8">
        <w:rPr>
          <w:rFonts w:cs="Arial"/>
        </w:rPr>
        <w:t>Die Berücksichtigung von Netzpufferfahrweisen und OBA-Ständen in d</w:t>
      </w:r>
      <w:r w:rsidR="000B7F43">
        <w:rPr>
          <w:rFonts w:cs="Arial"/>
        </w:rPr>
        <w:t>em</w:t>
      </w:r>
      <w:r w:rsidR="00387FB8">
        <w:rPr>
          <w:rFonts w:cs="Arial"/>
        </w:rPr>
        <w:t xml:space="preserve"> Netzkonto eines </w:t>
      </w:r>
      <w:r w:rsidR="004F593C">
        <w:rPr>
          <w:rFonts w:cs="Arial"/>
        </w:rPr>
        <w:t xml:space="preserve">NB </w:t>
      </w:r>
      <w:r w:rsidR="0017375B">
        <w:rPr>
          <w:rFonts w:cs="Arial"/>
        </w:rPr>
        <w:t xml:space="preserve">kann </w:t>
      </w:r>
      <w:r w:rsidR="00387FB8">
        <w:rPr>
          <w:rFonts w:cs="Arial"/>
        </w:rPr>
        <w:t xml:space="preserve">mittels </w:t>
      </w:r>
      <w:proofErr w:type="spellStart"/>
      <w:r w:rsidR="00387FB8">
        <w:rPr>
          <w:rFonts w:cs="Arial"/>
        </w:rPr>
        <w:t>Entryso</w:t>
      </w:r>
      <w:proofErr w:type="spellEnd"/>
      <w:r w:rsidR="00387FB8">
        <w:rPr>
          <w:rFonts w:cs="Arial"/>
        </w:rPr>
        <w:t xml:space="preserve"> und </w:t>
      </w:r>
      <w:proofErr w:type="spellStart"/>
      <w:r w:rsidR="00387FB8">
        <w:rPr>
          <w:rFonts w:cs="Arial"/>
        </w:rPr>
        <w:t>Exitso</w:t>
      </w:r>
      <w:proofErr w:type="spellEnd"/>
      <w:r w:rsidR="00387FB8">
        <w:rPr>
          <w:rFonts w:cs="Arial"/>
        </w:rPr>
        <w:t xml:space="preserve"> Allokation in das </w:t>
      </w:r>
      <w:r w:rsidR="0017375B">
        <w:rPr>
          <w:rFonts w:cs="Arial"/>
        </w:rPr>
        <w:t xml:space="preserve">ggf. hierfür eingerichtete </w:t>
      </w:r>
      <w:r w:rsidR="004D0D48">
        <w:rPr>
          <w:rFonts w:cs="Arial"/>
        </w:rPr>
        <w:t xml:space="preserve">NKBO </w:t>
      </w:r>
      <w:r w:rsidR="0017375B">
        <w:rPr>
          <w:rFonts w:cs="Arial"/>
        </w:rPr>
        <w:t xml:space="preserve">erfolgen </w:t>
      </w:r>
      <w:r w:rsidR="00387FB8">
        <w:rPr>
          <w:rFonts w:cs="Arial"/>
        </w:rPr>
        <w:t xml:space="preserve">(vgl. Kap. </w:t>
      </w:r>
      <w:r w:rsidR="00561FFA">
        <w:rPr>
          <w:rFonts w:cs="Arial"/>
        </w:rPr>
        <w:fldChar w:fldCharType="begin"/>
      </w:r>
      <w:r w:rsidR="00421243">
        <w:rPr>
          <w:rFonts w:cs="Arial"/>
        </w:rPr>
        <w:instrText xml:space="preserve"> REF _Ref436725947 \r \h </w:instrText>
      </w:r>
      <w:r w:rsidR="00561FFA">
        <w:rPr>
          <w:rFonts w:cs="Arial"/>
        </w:rPr>
      </w:r>
      <w:r w:rsidR="00561FFA">
        <w:rPr>
          <w:rFonts w:cs="Arial"/>
        </w:rPr>
        <w:fldChar w:fldCharType="separate"/>
      </w:r>
      <w:r w:rsidR="00692E23">
        <w:rPr>
          <w:rFonts w:cs="Arial"/>
        </w:rPr>
        <w:t>2.4</w:t>
      </w:r>
      <w:r w:rsidR="00561FFA">
        <w:rPr>
          <w:rFonts w:cs="Arial"/>
        </w:rPr>
        <w:fldChar w:fldCharType="end"/>
      </w:r>
      <w:r w:rsidR="00387FB8">
        <w:rPr>
          <w:rFonts w:cs="Arial"/>
        </w:rPr>
        <w:t>).</w:t>
      </w:r>
    </w:p>
    <w:p w14:paraId="0B5E89DE" w14:textId="697B3BF4" w:rsidR="00FF3030" w:rsidRPr="00741AAB" w:rsidRDefault="00BA121F" w:rsidP="00667A4B">
      <w:pPr>
        <w:rPr>
          <w:rFonts w:cs="Arial"/>
        </w:rPr>
      </w:pPr>
      <w:r w:rsidRPr="00741AAB">
        <w:t xml:space="preserve">Die </w:t>
      </w:r>
      <w:proofErr w:type="spellStart"/>
      <w:r w:rsidRPr="00741AAB">
        <w:t>Aufpufferung</w:t>
      </w:r>
      <w:proofErr w:type="spellEnd"/>
      <w:r w:rsidRPr="00741AAB">
        <w:t xml:space="preserve"> eines Netzes wird über eine stundenscharfe </w:t>
      </w:r>
      <w:proofErr w:type="spellStart"/>
      <w:r w:rsidRPr="00741AAB">
        <w:t>Exitso</w:t>
      </w:r>
      <w:proofErr w:type="spellEnd"/>
      <w:r w:rsidRPr="00741AAB">
        <w:t xml:space="preserve"> Allokation, die </w:t>
      </w:r>
      <w:proofErr w:type="spellStart"/>
      <w:r w:rsidRPr="00741AAB">
        <w:t>Abpuf</w:t>
      </w:r>
      <w:r w:rsidR="00667A4B">
        <w:t>-</w:t>
      </w:r>
      <w:r w:rsidRPr="00741AAB">
        <w:t>ferung</w:t>
      </w:r>
      <w:proofErr w:type="spellEnd"/>
      <w:r w:rsidRPr="00741AAB">
        <w:t xml:space="preserve"> über eine stundenscharfe </w:t>
      </w:r>
      <w:proofErr w:type="spellStart"/>
      <w:r w:rsidRPr="00741AAB">
        <w:t>Entryso</w:t>
      </w:r>
      <w:proofErr w:type="spellEnd"/>
      <w:r w:rsidRPr="00741AAB">
        <w:t xml:space="preserve"> Allokation, gemeldet </w:t>
      </w:r>
      <w:r w:rsidR="00AF0710" w:rsidRPr="00741AAB">
        <w:t>(</w:t>
      </w:r>
      <w:r w:rsidR="0011373C">
        <w:fldChar w:fldCharType="begin"/>
      </w:r>
      <w:r w:rsidR="0011373C">
        <w:instrText xml:space="preserve"> REF _Ref437871028 \h  \* MERGEFORMAT </w:instrText>
      </w:r>
      <w:r w:rsidR="0011373C">
        <w:fldChar w:fldCharType="separate"/>
      </w:r>
      <w:r w:rsidR="00692E23" w:rsidRPr="00692E23">
        <w:rPr>
          <w:noProof/>
        </w:rPr>
        <w:t>Abbildung 19</w:t>
      </w:r>
      <w:r w:rsidR="0011373C">
        <w:fldChar w:fldCharType="end"/>
      </w:r>
      <w:r w:rsidR="00AF0710" w:rsidRPr="00741AAB">
        <w:t>)</w:t>
      </w:r>
      <w:r w:rsidR="00387FB8" w:rsidRPr="00741AAB">
        <w:t>.</w:t>
      </w:r>
    </w:p>
    <w:p w14:paraId="44DBB1E3" w14:textId="77777777" w:rsidR="00667A4B" w:rsidRDefault="005C552B" w:rsidP="00667A4B">
      <w:r>
        <w:rPr>
          <w:noProof/>
        </w:rPr>
        <w:lastRenderedPageBreak/>
        <w:drawing>
          <wp:inline distT="0" distB="0" distL="0" distR="0" wp14:anchorId="39623572" wp14:editId="07A923BE">
            <wp:extent cx="3787406" cy="2476479"/>
            <wp:effectExtent l="19050" t="0" r="3544" b="0"/>
            <wp:docPr id="65"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3" cstate="print"/>
                    <a:srcRect/>
                    <a:stretch>
                      <a:fillRect/>
                    </a:stretch>
                  </pic:blipFill>
                  <pic:spPr bwMode="auto">
                    <a:xfrm>
                      <a:off x="0" y="0"/>
                      <a:ext cx="3796767" cy="2482600"/>
                    </a:xfrm>
                    <a:prstGeom prst="rect">
                      <a:avLst/>
                    </a:prstGeom>
                    <a:noFill/>
                    <a:ln w="9525">
                      <a:noFill/>
                      <a:miter lim="800000"/>
                      <a:headEnd/>
                      <a:tailEnd/>
                    </a:ln>
                  </pic:spPr>
                </pic:pic>
              </a:graphicData>
            </a:graphic>
          </wp:inline>
        </w:drawing>
      </w:r>
      <w:bookmarkStart w:id="596" w:name="_Ref437333462"/>
      <w:bookmarkStart w:id="597" w:name="_Toc437530330"/>
    </w:p>
    <w:p w14:paraId="3B4419B2" w14:textId="27CA4538" w:rsidR="00FF3030" w:rsidRDefault="00FF3030" w:rsidP="00667A4B">
      <w:pPr>
        <w:keepNext/>
        <w:keepLines/>
        <w:spacing w:before="360" w:after="240"/>
        <w:rPr>
          <w:rFonts w:cs="Arial"/>
          <w:b/>
        </w:rPr>
      </w:pPr>
      <w:bookmarkStart w:id="598" w:name="_Toc111118601"/>
      <w:bookmarkStart w:id="599" w:name="_Toc111196147"/>
      <w:r w:rsidRPr="00FD24EB">
        <w:rPr>
          <w:b/>
        </w:rPr>
        <w:t xml:space="preserve">Abbildung </w:t>
      </w:r>
      <w:r w:rsidR="00561FFA" w:rsidRPr="00FD24EB">
        <w:rPr>
          <w:b/>
        </w:rPr>
        <w:fldChar w:fldCharType="begin"/>
      </w:r>
      <w:r w:rsidRPr="00FD24EB">
        <w:rPr>
          <w:b/>
        </w:rPr>
        <w:instrText xml:space="preserve"> SEQ Abbildung \* ARABIC </w:instrText>
      </w:r>
      <w:r w:rsidR="00561FFA" w:rsidRPr="00FD24EB">
        <w:rPr>
          <w:b/>
        </w:rPr>
        <w:fldChar w:fldCharType="separate"/>
      </w:r>
      <w:r w:rsidR="00D400FA">
        <w:rPr>
          <w:b/>
          <w:noProof/>
        </w:rPr>
        <w:t>18</w:t>
      </w:r>
      <w:r w:rsidR="00561FFA" w:rsidRPr="00FD24EB">
        <w:rPr>
          <w:b/>
        </w:rPr>
        <w:fldChar w:fldCharType="end"/>
      </w:r>
      <w:bookmarkEnd w:id="596"/>
      <w:r w:rsidRPr="00FD24EB">
        <w:rPr>
          <w:b/>
        </w:rPr>
        <w:t>: NKBO-Allokation bei Netzpuffer</w:t>
      </w:r>
      <w:bookmarkEnd w:id="597"/>
      <w:bookmarkEnd w:id="598"/>
      <w:bookmarkEnd w:id="599"/>
    </w:p>
    <w:p w14:paraId="3E9A9F66" w14:textId="1A4F882F" w:rsidR="000B7F43" w:rsidRPr="00FF3030" w:rsidRDefault="00B07CF2" w:rsidP="00667A4B">
      <w:pPr>
        <w:rPr>
          <w:rFonts w:cs="Arial"/>
        </w:rPr>
      </w:pPr>
      <w:r>
        <w:rPr>
          <w:rFonts w:cs="Arial"/>
        </w:rPr>
        <w:t>Die Fahrweise eines OBA</w:t>
      </w:r>
      <w:r w:rsidR="00400067" w:rsidRPr="00FF3030">
        <w:rPr>
          <w:rFonts w:cs="Arial"/>
        </w:rPr>
        <w:t xml:space="preserve"> wird gemäß folgender Fallunterscheidungen gemeldet:</w:t>
      </w:r>
    </w:p>
    <w:p w14:paraId="4CE1EECF" w14:textId="18B74B87" w:rsidR="000B7F43" w:rsidRPr="00FF3030" w:rsidRDefault="00AF0710" w:rsidP="003C2438">
      <w:pPr>
        <w:spacing w:after="200"/>
        <w:rPr>
          <w:rFonts w:cs="Arial"/>
        </w:rPr>
      </w:pPr>
      <w:r w:rsidRPr="00FF3030">
        <w:rPr>
          <w:rFonts w:cs="Arial"/>
        </w:rPr>
        <w:t>Ist d</w:t>
      </w:r>
      <w:r w:rsidR="000B7F43" w:rsidRPr="00FF3030">
        <w:rPr>
          <w:rFonts w:cs="Arial"/>
        </w:rPr>
        <w:t xml:space="preserve">ie Messung am Speicher niedriger als die </w:t>
      </w:r>
      <w:proofErr w:type="spellStart"/>
      <w:r w:rsidR="000B7F43" w:rsidRPr="00FF3030">
        <w:rPr>
          <w:rFonts w:cs="Arial"/>
        </w:rPr>
        <w:t>Entryso</w:t>
      </w:r>
      <w:proofErr w:type="spellEnd"/>
      <w:r w:rsidR="000B7F43" w:rsidRPr="00FF3030">
        <w:rPr>
          <w:rFonts w:cs="Arial"/>
        </w:rPr>
        <w:t>-Allokation</w:t>
      </w:r>
      <w:r w:rsidR="00400067" w:rsidRPr="00FF3030">
        <w:rPr>
          <w:rFonts w:cs="Arial"/>
        </w:rPr>
        <w:t xml:space="preserve"> (</w:t>
      </w:r>
      <w:r w:rsidR="00400067" w:rsidRPr="003507A2">
        <w:rPr>
          <w:rFonts w:cs="Arial"/>
        </w:rPr>
        <w:t>siehe</w:t>
      </w:r>
      <w:r w:rsidR="003507A2" w:rsidRPr="003507A2">
        <w:rPr>
          <w:rFonts w:cs="Arial"/>
        </w:rPr>
        <w:t xml:space="preserve"> </w:t>
      </w:r>
      <w:r w:rsidR="0011373C">
        <w:fldChar w:fldCharType="begin"/>
      </w:r>
      <w:r w:rsidR="0011373C">
        <w:instrText xml:space="preserve"> REF _Ref437871028 \h  \* MERGEFORMAT </w:instrText>
      </w:r>
      <w:r w:rsidR="0011373C">
        <w:fldChar w:fldCharType="separate"/>
      </w:r>
      <w:r w:rsidR="00692E23" w:rsidRPr="00692E23">
        <w:rPr>
          <w:noProof/>
        </w:rPr>
        <w:t>Abbildung 19</w:t>
      </w:r>
      <w:r w:rsidR="0011373C">
        <w:fldChar w:fldCharType="end"/>
      </w:r>
      <w:r w:rsidR="00400067" w:rsidRPr="00FF3030">
        <w:rPr>
          <w:rFonts w:cs="Arial"/>
        </w:rPr>
        <w:t>, rot)</w:t>
      </w:r>
      <w:r w:rsidR="000B7F43" w:rsidRPr="00FF3030">
        <w:rPr>
          <w:rFonts w:cs="Arial"/>
        </w:rPr>
        <w:t xml:space="preserve"> am Speicher (Einspeisung ins Netz)</w:t>
      </w:r>
      <w:r w:rsidR="00B07CF2">
        <w:rPr>
          <w:rFonts w:cs="Arial"/>
        </w:rPr>
        <w:t>,</w:t>
      </w:r>
      <w:r w:rsidR="000B7F43" w:rsidRPr="00FF3030">
        <w:rPr>
          <w:rFonts w:cs="Arial"/>
        </w:rPr>
        <w:t xml:space="preserve"> so wird dies über eine stundenscharfe </w:t>
      </w:r>
      <w:proofErr w:type="spellStart"/>
      <w:r w:rsidR="000B7F43" w:rsidRPr="00FF3030">
        <w:rPr>
          <w:rFonts w:cs="Arial"/>
        </w:rPr>
        <w:t>Exitso</w:t>
      </w:r>
      <w:proofErr w:type="spellEnd"/>
      <w:r w:rsidR="000B7F43" w:rsidRPr="00FF3030">
        <w:rPr>
          <w:rFonts w:cs="Arial"/>
        </w:rPr>
        <w:t>-Allokation gemeldet.</w:t>
      </w:r>
    </w:p>
    <w:p w14:paraId="1293647A" w14:textId="2CDD5C81" w:rsidR="00400067" w:rsidRPr="00FF3030" w:rsidRDefault="00400067" w:rsidP="003C2438">
      <w:pPr>
        <w:spacing w:after="200"/>
        <w:rPr>
          <w:rFonts w:cs="Arial"/>
        </w:rPr>
      </w:pPr>
      <w:r w:rsidRPr="00FF3030">
        <w:rPr>
          <w:rFonts w:cs="Arial"/>
        </w:rPr>
        <w:t xml:space="preserve">Ist die Messung am Speicher höher als die </w:t>
      </w:r>
      <w:proofErr w:type="spellStart"/>
      <w:r w:rsidRPr="00FF3030">
        <w:rPr>
          <w:rFonts w:cs="Arial"/>
        </w:rPr>
        <w:t>Entryso</w:t>
      </w:r>
      <w:proofErr w:type="spellEnd"/>
      <w:r w:rsidRPr="00FF3030">
        <w:rPr>
          <w:rFonts w:cs="Arial"/>
        </w:rPr>
        <w:t>-Allokation (si</w:t>
      </w:r>
      <w:r w:rsidRPr="003507A2">
        <w:rPr>
          <w:rFonts w:cs="Arial"/>
        </w:rPr>
        <w:t>ehe</w:t>
      </w:r>
      <w:r w:rsidR="003507A2" w:rsidRPr="003507A2">
        <w:rPr>
          <w:rFonts w:cs="Arial"/>
        </w:rPr>
        <w:t xml:space="preserve"> </w:t>
      </w:r>
      <w:r w:rsidR="0011373C">
        <w:fldChar w:fldCharType="begin"/>
      </w:r>
      <w:r w:rsidR="0011373C">
        <w:instrText xml:space="preserve"> REF _Ref437871028 \h  \* MERGEFORMAT </w:instrText>
      </w:r>
      <w:r w:rsidR="0011373C">
        <w:fldChar w:fldCharType="separate"/>
      </w:r>
      <w:r w:rsidR="00692E23" w:rsidRPr="00692E23">
        <w:rPr>
          <w:noProof/>
        </w:rPr>
        <w:t>Abbildung 19</w:t>
      </w:r>
      <w:r w:rsidR="0011373C">
        <w:fldChar w:fldCharType="end"/>
      </w:r>
      <w:r w:rsidRPr="00FF3030">
        <w:rPr>
          <w:rFonts w:cs="Arial"/>
        </w:rPr>
        <w:t>, grün) am Speicher (Einspeisung ins Netz)</w:t>
      </w:r>
      <w:r w:rsidR="00B07CF2">
        <w:rPr>
          <w:rFonts w:cs="Arial"/>
        </w:rPr>
        <w:t>,</w:t>
      </w:r>
      <w:r w:rsidRPr="00FF3030">
        <w:rPr>
          <w:rFonts w:cs="Arial"/>
        </w:rPr>
        <w:t xml:space="preserve"> so wird dies über eine stundenscharfe </w:t>
      </w:r>
      <w:proofErr w:type="spellStart"/>
      <w:r w:rsidRPr="00FF3030">
        <w:rPr>
          <w:rFonts w:cs="Arial"/>
        </w:rPr>
        <w:t>Entryso</w:t>
      </w:r>
      <w:proofErr w:type="spellEnd"/>
      <w:r w:rsidRPr="00FF3030">
        <w:rPr>
          <w:rFonts w:cs="Arial"/>
        </w:rPr>
        <w:t>-Allokation gemeldet.</w:t>
      </w:r>
    </w:p>
    <w:p w14:paraId="3B8257AA" w14:textId="0A4454D7" w:rsidR="00400067" w:rsidRPr="00FF3030" w:rsidRDefault="00400067" w:rsidP="003C2438">
      <w:pPr>
        <w:spacing w:after="200"/>
        <w:rPr>
          <w:rFonts w:cs="Arial"/>
        </w:rPr>
      </w:pPr>
      <w:r w:rsidRPr="00FF3030">
        <w:rPr>
          <w:rFonts w:cs="Arial"/>
        </w:rPr>
        <w:t xml:space="preserve">Ist die Messung am Speicher niedriger als die </w:t>
      </w:r>
      <w:proofErr w:type="spellStart"/>
      <w:r w:rsidRPr="00FF3030">
        <w:rPr>
          <w:rFonts w:cs="Arial"/>
        </w:rPr>
        <w:t>Exitso</w:t>
      </w:r>
      <w:proofErr w:type="spellEnd"/>
      <w:r w:rsidRPr="00FF3030">
        <w:rPr>
          <w:rFonts w:cs="Arial"/>
        </w:rPr>
        <w:t>-Allokation (siehe</w:t>
      </w:r>
      <w:r w:rsidR="00FF3030" w:rsidRPr="00FF3030">
        <w:rPr>
          <w:rFonts w:cs="Arial"/>
        </w:rPr>
        <w:t xml:space="preserve"> </w:t>
      </w:r>
      <w:r w:rsidR="0011373C">
        <w:fldChar w:fldCharType="begin"/>
      </w:r>
      <w:r w:rsidR="0011373C">
        <w:instrText xml:space="preserve"> REF _Ref437333584 \h  \* MERGEFORMAT </w:instrText>
      </w:r>
      <w:r w:rsidR="0011373C">
        <w:fldChar w:fldCharType="separate"/>
      </w:r>
      <w:r w:rsidR="00692E23" w:rsidRPr="00692E23">
        <w:rPr>
          <w:noProof/>
        </w:rPr>
        <w:t>Abbildung 20</w:t>
      </w:r>
      <w:r w:rsidR="0011373C">
        <w:fldChar w:fldCharType="end"/>
      </w:r>
      <w:r w:rsidRPr="00FF3030">
        <w:rPr>
          <w:rFonts w:cs="Arial"/>
        </w:rPr>
        <w:t>, grün) am Speicher (Ausspeisung aus dem Netz)</w:t>
      </w:r>
      <w:r w:rsidR="00B07CF2">
        <w:rPr>
          <w:rFonts w:cs="Arial"/>
        </w:rPr>
        <w:t>,</w:t>
      </w:r>
      <w:r w:rsidRPr="00FF3030">
        <w:rPr>
          <w:rFonts w:cs="Arial"/>
        </w:rPr>
        <w:t xml:space="preserve"> so wird dies über eine stundenscharfe </w:t>
      </w:r>
      <w:proofErr w:type="spellStart"/>
      <w:r w:rsidRPr="00FF3030">
        <w:rPr>
          <w:rFonts w:cs="Arial"/>
        </w:rPr>
        <w:t>Entryso</w:t>
      </w:r>
      <w:proofErr w:type="spellEnd"/>
      <w:r w:rsidRPr="00FF3030">
        <w:rPr>
          <w:rFonts w:cs="Arial"/>
        </w:rPr>
        <w:t>-Allokation gemeldet.</w:t>
      </w:r>
    </w:p>
    <w:p w14:paraId="1269E935" w14:textId="1851CE3D" w:rsidR="00400067" w:rsidRDefault="00400067" w:rsidP="003C2438">
      <w:pPr>
        <w:spacing w:after="200"/>
        <w:rPr>
          <w:rFonts w:cs="Arial"/>
        </w:rPr>
      </w:pPr>
      <w:r w:rsidRPr="00FF3030">
        <w:rPr>
          <w:rFonts w:cs="Arial"/>
        </w:rPr>
        <w:t xml:space="preserve">Ist die Messung am Speicher höher als die </w:t>
      </w:r>
      <w:proofErr w:type="spellStart"/>
      <w:r w:rsidRPr="00FF3030">
        <w:rPr>
          <w:rFonts w:cs="Arial"/>
        </w:rPr>
        <w:t>Exitso</w:t>
      </w:r>
      <w:proofErr w:type="spellEnd"/>
      <w:r w:rsidRPr="00FF3030">
        <w:rPr>
          <w:rFonts w:cs="Arial"/>
        </w:rPr>
        <w:t>-Allokation (</w:t>
      </w:r>
      <w:r w:rsidR="00FF3030" w:rsidRPr="00FF3030">
        <w:rPr>
          <w:rFonts w:cs="Arial"/>
        </w:rPr>
        <w:t xml:space="preserve">siehe </w:t>
      </w:r>
      <w:r w:rsidR="0011373C">
        <w:fldChar w:fldCharType="begin"/>
      </w:r>
      <w:r w:rsidR="0011373C">
        <w:instrText xml:space="preserve"> REF _Ref437333584 \h  \* MERGEFORMAT </w:instrText>
      </w:r>
      <w:r w:rsidR="0011373C">
        <w:fldChar w:fldCharType="separate"/>
      </w:r>
      <w:r w:rsidR="00692E23" w:rsidRPr="00692E23">
        <w:rPr>
          <w:noProof/>
        </w:rPr>
        <w:t>Abbildung 20</w:t>
      </w:r>
      <w:r w:rsidR="0011373C">
        <w:fldChar w:fldCharType="end"/>
      </w:r>
      <w:r w:rsidRPr="00FF3030">
        <w:rPr>
          <w:rFonts w:cs="Arial"/>
        </w:rPr>
        <w:t>, rot) am Speicher (Ausspeisung aus dem Netz)</w:t>
      </w:r>
      <w:r w:rsidR="00B07CF2">
        <w:rPr>
          <w:rFonts w:cs="Arial"/>
        </w:rPr>
        <w:t>,</w:t>
      </w:r>
      <w:r w:rsidRPr="00FF3030">
        <w:rPr>
          <w:rFonts w:cs="Arial"/>
        </w:rPr>
        <w:t xml:space="preserve"> so wird dies über eine stundenscharfe </w:t>
      </w:r>
      <w:proofErr w:type="spellStart"/>
      <w:r w:rsidRPr="00FF3030">
        <w:rPr>
          <w:rFonts w:cs="Arial"/>
        </w:rPr>
        <w:t>Exitso</w:t>
      </w:r>
      <w:proofErr w:type="spellEnd"/>
      <w:r w:rsidRPr="00FF3030">
        <w:rPr>
          <w:rFonts w:cs="Arial"/>
        </w:rPr>
        <w:t>-</w:t>
      </w:r>
      <w:r>
        <w:rPr>
          <w:rFonts w:cs="Arial"/>
        </w:rPr>
        <w:t>Allo</w:t>
      </w:r>
      <w:r w:rsidR="00B07CF2">
        <w:rPr>
          <w:rFonts w:cs="Arial"/>
        </w:rPr>
        <w:t>-</w:t>
      </w:r>
      <w:r>
        <w:rPr>
          <w:rFonts w:cs="Arial"/>
        </w:rPr>
        <w:t>kation gemeldet.</w:t>
      </w:r>
    </w:p>
    <w:p w14:paraId="04243E92" w14:textId="7465A596" w:rsidR="00410F17" w:rsidRDefault="00410F17" w:rsidP="003C2438">
      <w:pPr>
        <w:spacing w:after="200"/>
        <w:rPr>
          <w:rFonts w:cs="Arial"/>
        </w:rPr>
      </w:pPr>
      <w:r>
        <w:rPr>
          <w:rFonts w:cs="Arial"/>
        </w:rPr>
        <w:t>Für Stunden</w:t>
      </w:r>
      <w:r w:rsidR="00AD7020">
        <w:rPr>
          <w:rFonts w:cs="Arial"/>
        </w:rPr>
        <w:t>,</w:t>
      </w:r>
      <w:r>
        <w:rPr>
          <w:rFonts w:cs="Arial"/>
        </w:rPr>
        <w:t xml:space="preserve"> in denen keine Mengen anfallen, ist </w:t>
      </w:r>
      <w:r w:rsidR="00AD7020">
        <w:rPr>
          <w:rFonts w:cs="Arial"/>
        </w:rPr>
        <w:t xml:space="preserve">der Wert </w:t>
      </w:r>
      <w:r>
        <w:rPr>
          <w:rFonts w:cs="Arial"/>
        </w:rPr>
        <w:t>Null zu allokieren.</w:t>
      </w:r>
      <w:r w:rsidR="00AF0710">
        <w:rPr>
          <w:rFonts w:cs="Arial"/>
        </w:rPr>
        <w:t xml:space="preserve"> </w:t>
      </w:r>
      <w:r w:rsidR="00387FB8">
        <w:rPr>
          <w:rFonts w:cs="Arial"/>
        </w:rPr>
        <w:t xml:space="preserve">Die Fristigkeiten der Allokationsmeldungen </w:t>
      </w:r>
      <w:r>
        <w:rPr>
          <w:rFonts w:cs="Arial"/>
        </w:rPr>
        <w:t xml:space="preserve">sind analog der Zeitreihentypen </w:t>
      </w:r>
      <w:proofErr w:type="spellStart"/>
      <w:r>
        <w:rPr>
          <w:rFonts w:cs="Arial"/>
        </w:rPr>
        <w:t>Entryso</w:t>
      </w:r>
      <w:proofErr w:type="spellEnd"/>
      <w:r>
        <w:rPr>
          <w:rFonts w:cs="Arial"/>
        </w:rPr>
        <w:t xml:space="preserve"> und </w:t>
      </w:r>
      <w:proofErr w:type="spellStart"/>
      <w:r>
        <w:rPr>
          <w:rFonts w:cs="Arial"/>
        </w:rPr>
        <w:t>Exitso</w:t>
      </w:r>
      <w:proofErr w:type="spellEnd"/>
      <w:r>
        <w:rPr>
          <w:rFonts w:cs="Arial"/>
        </w:rPr>
        <w:t xml:space="preserve"> </w:t>
      </w:r>
      <w:r w:rsidR="00387FB8">
        <w:rPr>
          <w:rFonts w:cs="Arial"/>
        </w:rPr>
        <w:t>zum Zeitpunkt D+1 und M+12WT. Ein Clearing ist nicht möglich.</w:t>
      </w:r>
    </w:p>
    <w:p w14:paraId="7A8E6B04" w14:textId="6DB6A0DA" w:rsidR="00083F68" w:rsidRDefault="00083F68" w:rsidP="003C2438">
      <w:pPr>
        <w:spacing w:after="200"/>
        <w:rPr>
          <w:rFonts w:cs="Arial"/>
        </w:rPr>
      </w:pPr>
      <w:r>
        <w:t>Bei der Allokation von NKBO für Leistungszeiträume vor dem 01.10.2021 müssen die jeweiligen NKBO-</w:t>
      </w:r>
      <w:r w:rsidR="00470E6E">
        <w:t>N</w:t>
      </w:r>
      <w:r>
        <w:t>ummer</w:t>
      </w:r>
      <w:r w:rsidR="00470E6E">
        <w:t>n</w:t>
      </w:r>
      <w:r w:rsidRPr="00083F68">
        <w:t xml:space="preserve"> </w:t>
      </w:r>
      <w:r>
        <w:t>der Marktgebiete GASPOOL und NCG verwendet werden.</w:t>
      </w:r>
    </w:p>
    <w:p w14:paraId="7D810FDF" w14:textId="77777777" w:rsidR="00FF3030" w:rsidRDefault="00387FB8" w:rsidP="003C2438">
      <w:pPr>
        <w:spacing w:after="200"/>
        <w:rPr>
          <w:rFonts w:cs="Arial"/>
        </w:rPr>
      </w:pPr>
      <w:r>
        <w:rPr>
          <w:rFonts w:cs="Arial"/>
        </w:rPr>
        <w:t xml:space="preserve">Auf Nachfrage des MGV muss der NB seine Netzpufferfahrweise und die dazugehörigen Daten zur Verfügung stellen und ggf. darlegen, dass es nicht zu einem </w:t>
      </w:r>
      <w:r w:rsidR="00BD33BF">
        <w:rPr>
          <w:rFonts w:cs="Arial"/>
        </w:rPr>
        <w:t>missbräuchlichen</w:t>
      </w:r>
      <w:r>
        <w:rPr>
          <w:rFonts w:cs="Arial"/>
        </w:rPr>
        <w:t xml:space="preserve"> Einsatz der </w:t>
      </w:r>
      <w:r w:rsidR="00BD33BF">
        <w:rPr>
          <w:rFonts w:cs="Arial"/>
        </w:rPr>
        <w:t>Netzpuffer- und OBA-Allokationsmeldungen gekommen ist.</w:t>
      </w:r>
      <w:r w:rsidR="00421243">
        <w:rPr>
          <w:rFonts w:cs="Arial"/>
        </w:rPr>
        <w:t xml:space="preserve"> Sollte eine bilaterale </w:t>
      </w:r>
      <w:r w:rsidR="00421243">
        <w:rPr>
          <w:rFonts w:cs="Arial"/>
        </w:rPr>
        <w:lastRenderedPageBreak/>
        <w:t xml:space="preserve">Klärung nicht möglich sein, kann </w:t>
      </w:r>
      <w:r w:rsidR="00B64F94">
        <w:rPr>
          <w:rFonts w:cs="Arial"/>
        </w:rPr>
        <w:t>g</w:t>
      </w:r>
      <w:r w:rsidR="00E81875">
        <w:rPr>
          <w:rFonts w:cs="Arial"/>
        </w:rPr>
        <w:t xml:space="preserve">emäß </w:t>
      </w:r>
      <w:proofErr w:type="spellStart"/>
      <w:r w:rsidR="00E81875">
        <w:rPr>
          <w:rFonts w:cs="Arial"/>
        </w:rPr>
        <w:t>KoV</w:t>
      </w:r>
      <w:proofErr w:type="spellEnd"/>
      <w:r w:rsidR="00E81875">
        <w:rPr>
          <w:rFonts w:cs="Arial"/>
        </w:rPr>
        <w:t xml:space="preserve"> §50 Ziffer 12</w:t>
      </w:r>
      <w:r w:rsidR="00B64F94">
        <w:rPr>
          <w:rFonts w:cs="Arial"/>
        </w:rPr>
        <w:t xml:space="preserve"> </w:t>
      </w:r>
      <w:r w:rsidR="00421243">
        <w:rPr>
          <w:rFonts w:cs="Arial"/>
        </w:rPr>
        <w:t>ein unabhängiger Sachverständiger hinzugezogen werden.</w:t>
      </w:r>
    </w:p>
    <w:p w14:paraId="5B4ADDFD" w14:textId="77777777" w:rsidR="00FF3030" w:rsidRDefault="00FF3030" w:rsidP="003C2438">
      <w:pPr>
        <w:spacing w:after="200"/>
        <w:rPr>
          <w:b/>
          <w:noProof/>
        </w:rPr>
      </w:pPr>
      <w:bookmarkStart w:id="600" w:name="_Ref437333556"/>
      <w:bookmarkStart w:id="601" w:name="_Toc437530331"/>
    </w:p>
    <w:p w14:paraId="6233160A" w14:textId="77777777" w:rsidR="00741AAB" w:rsidRDefault="005C552B" w:rsidP="003C2438">
      <w:pPr>
        <w:spacing w:after="200"/>
        <w:rPr>
          <w:b/>
          <w:noProof/>
        </w:rPr>
      </w:pPr>
      <w:r>
        <w:rPr>
          <w:noProof/>
        </w:rPr>
        <w:drawing>
          <wp:inline distT="0" distB="0" distL="0" distR="0" wp14:anchorId="7ECCF4E1" wp14:editId="17DB592C">
            <wp:extent cx="4956600" cy="3019646"/>
            <wp:effectExtent l="19050" t="0" r="0" b="0"/>
            <wp:docPr id="66"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cstate="print"/>
                    <a:srcRect/>
                    <a:stretch>
                      <a:fillRect/>
                    </a:stretch>
                  </pic:blipFill>
                  <pic:spPr bwMode="auto">
                    <a:xfrm>
                      <a:off x="0" y="0"/>
                      <a:ext cx="4960924" cy="3022280"/>
                    </a:xfrm>
                    <a:prstGeom prst="rect">
                      <a:avLst/>
                    </a:prstGeom>
                    <a:noFill/>
                    <a:ln w="9525">
                      <a:noFill/>
                      <a:miter lim="800000"/>
                      <a:headEnd/>
                      <a:tailEnd/>
                    </a:ln>
                  </pic:spPr>
                </pic:pic>
              </a:graphicData>
            </a:graphic>
          </wp:inline>
        </w:drawing>
      </w:r>
    </w:p>
    <w:p w14:paraId="5CE16362" w14:textId="36B8DAE5" w:rsidR="00FF3030" w:rsidRPr="00741AAB" w:rsidRDefault="00FD24EB" w:rsidP="00B07CF2">
      <w:pPr>
        <w:spacing w:before="360" w:after="0"/>
        <w:rPr>
          <w:b/>
        </w:rPr>
      </w:pPr>
      <w:bookmarkStart w:id="602" w:name="_Ref437871028"/>
      <w:bookmarkStart w:id="603" w:name="_Toc111118602"/>
      <w:bookmarkStart w:id="604" w:name="_Toc111196148"/>
      <w:r w:rsidRPr="00FD24EB">
        <w:rPr>
          <w:b/>
          <w:noProof/>
        </w:rPr>
        <w:t xml:space="preserve">Abbildung </w:t>
      </w:r>
      <w:r w:rsidR="00561FFA" w:rsidRPr="00FD24EB">
        <w:rPr>
          <w:b/>
          <w:noProof/>
        </w:rPr>
        <w:fldChar w:fldCharType="begin"/>
      </w:r>
      <w:r w:rsidRPr="00FD24EB">
        <w:rPr>
          <w:b/>
          <w:noProof/>
        </w:rPr>
        <w:instrText xml:space="preserve"> SEQ Abbildung \* ARABIC </w:instrText>
      </w:r>
      <w:r w:rsidR="00561FFA" w:rsidRPr="00FD24EB">
        <w:rPr>
          <w:b/>
          <w:noProof/>
        </w:rPr>
        <w:fldChar w:fldCharType="separate"/>
      </w:r>
      <w:r w:rsidR="00D400FA">
        <w:rPr>
          <w:b/>
          <w:noProof/>
        </w:rPr>
        <w:t>19</w:t>
      </w:r>
      <w:r w:rsidR="00561FFA" w:rsidRPr="00FD24EB">
        <w:rPr>
          <w:b/>
          <w:noProof/>
        </w:rPr>
        <w:fldChar w:fldCharType="end"/>
      </w:r>
      <w:bookmarkEnd w:id="600"/>
      <w:bookmarkEnd w:id="602"/>
      <w:r w:rsidRPr="00FD24EB">
        <w:rPr>
          <w:b/>
          <w:noProof/>
        </w:rPr>
        <w:t xml:space="preserve">: NKBO-Allokation bei OBA </w:t>
      </w:r>
      <w:r w:rsidR="00AF0710">
        <w:rPr>
          <w:b/>
        </w:rPr>
        <w:t>Aus</w:t>
      </w:r>
      <w:r w:rsidRPr="00FD24EB">
        <w:rPr>
          <w:b/>
          <w:noProof/>
        </w:rPr>
        <w:t>speicherung</w:t>
      </w:r>
      <w:bookmarkEnd w:id="601"/>
      <w:bookmarkEnd w:id="603"/>
      <w:bookmarkEnd w:id="604"/>
    </w:p>
    <w:p w14:paraId="4DAE9A11" w14:textId="77777777" w:rsidR="00741AAB" w:rsidRDefault="005C552B" w:rsidP="003C2438">
      <w:pPr>
        <w:pStyle w:val="Abbildung"/>
        <w:rPr>
          <w:rFonts w:cs="Arial"/>
          <w:b/>
        </w:rPr>
      </w:pPr>
      <w:r>
        <w:lastRenderedPageBreak/>
        <w:drawing>
          <wp:inline distT="0" distB="0" distL="0" distR="0" wp14:anchorId="54F8A328" wp14:editId="61981BE2">
            <wp:extent cx="4701806" cy="2864421"/>
            <wp:effectExtent l="19050" t="0" r="3544" b="0"/>
            <wp:docPr id="67"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 cstate="print"/>
                    <a:srcRect/>
                    <a:stretch>
                      <a:fillRect/>
                    </a:stretch>
                  </pic:blipFill>
                  <pic:spPr bwMode="auto">
                    <a:xfrm>
                      <a:off x="0" y="0"/>
                      <a:ext cx="4706117" cy="2867047"/>
                    </a:xfrm>
                    <a:prstGeom prst="rect">
                      <a:avLst/>
                    </a:prstGeom>
                    <a:noFill/>
                    <a:ln w="9525">
                      <a:noFill/>
                      <a:miter lim="800000"/>
                      <a:headEnd/>
                      <a:tailEnd/>
                    </a:ln>
                  </pic:spPr>
                </pic:pic>
              </a:graphicData>
            </a:graphic>
          </wp:inline>
        </w:drawing>
      </w:r>
    </w:p>
    <w:p w14:paraId="3E59547E" w14:textId="6D6946BE" w:rsidR="00FF3030" w:rsidRPr="001E16BD" w:rsidRDefault="00FD24EB" w:rsidP="00923F20">
      <w:pPr>
        <w:pStyle w:val="Abbildung"/>
        <w:spacing w:before="360" w:after="240"/>
        <w:rPr>
          <w:b/>
          <w:bCs/>
        </w:rPr>
      </w:pPr>
      <w:bookmarkStart w:id="605" w:name="_Ref437333584"/>
      <w:bookmarkStart w:id="606" w:name="_Toc437530332"/>
      <w:bookmarkStart w:id="607" w:name="_Toc111118603"/>
      <w:bookmarkStart w:id="608" w:name="_Toc111196149"/>
      <w:r w:rsidRPr="001E16BD">
        <w:rPr>
          <w:b/>
          <w:bCs/>
        </w:rPr>
        <w:t xml:space="preserve">Abbildung </w:t>
      </w:r>
      <w:r w:rsidR="00561FFA" w:rsidRPr="001E16BD">
        <w:rPr>
          <w:b/>
          <w:bCs/>
        </w:rPr>
        <w:fldChar w:fldCharType="begin"/>
      </w:r>
      <w:r w:rsidRPr="001E16BD">
        <w:rPr>
          <w:b/>
          <w:bCs/>
        </w:rPr>
        <w:instrText xml:space="preserve"> SEQ Abbildung \* ARABIC </w:instrText>
      </w:r>
      <w:r w:rsidR="00561FFA" w:rsidRPr="001E16BD">
        <w:rPr>
          <w:b/>
          <w:bCs/>
        </w:rPr>
        <w:fldChar w:fldCharType="separate"/>
      </w:r>
      <w:r w:rsidR="00D400FA">
        <w:rPr>
          <w:b/>
          <w:bCs/>
        </w:rPr>
        <w:t>20</w:t>
      </w:r>
      <w:r w:rsidR="00561FFA" w:rsidRPr="001E16BD">
        <w:rPr>
          <w:b/>
          <w:bCs/>
        </w:rPr>
        <w:fldChar w:fldCharType="end"/>
      </w:r>
      <w:bookmarkEnd w:id="605"/>
      <w:r w:rsidRPr="001E16BD">
        <w:rPr>
          <w:b/>
          <w:bCs/>
        </w:rPr>
        <w:t xml:space="preserve">: NKBO-Allokation bei OBA </w:t>
      </w:r>
      <w:r w:rsidR="00AF0710" w:rsidRPr="001E16BD">
        <w:rPr>
          <w:b/>
          <w:bCs/>
        </w:rPr>
        <w:t>Ein</w:t>
      </w:r>
      <w:r w:rsidRPr="001E16BD">
        <w:rPr>
          <w:b/>
          <w:bCs/>
        </w:rPr>
        <w:t>speicherung</w:t>
      </w:r>
      <w:bookmarkEnd w:id="606"/>
      <w:bookmarkEnd w:id="607"/>
      <w:bookmarkEnd w:id="608"/>
    </w:p>
    <w:p w14:paraId="040B4935" w14:textId="77777777" w:rsidR="007E05AB" w:rsidRDefault="00DF612D" w:rsidP="00923F20">
      <w:pPr>
        <w:pStyle w:val="berschrift2"/>
        <w:spacing w:before="480"/>
        <w:ind w:left="567" w:hanging="567"/>
      </w:pPr>
      <w:bookmarkStart w:id="609" w:name="_Toc391540184"/>
      <w:bookmarkStart w:id="610" w:name="_Toc412661342"/>
      <w:bookmarkStart w:id="611" w:name="_Toc111118498"/>
      <w:r w:rsidRPr="00A87A77">
        <w:t>Ausspeisung von Biogas an Letztverbraucher</w:t>
      </w:r>
      <w:bookmarkEnd w:id="582"/>
      <w:bookmarkEnd w:id="583"/>
      <w:bookmarkEnd w:id="584"/>
      <w:bookmarkEnd w:id="585"/>
      <w:bookmarkEnd w:id="586"/>
      <w:bookmarkEnd w:id="609"/>
      <w:bookmarkEnd w:id="610"/>
      <w:bookmarkEnd w:id="611"/>
    </w:p>
    <w:p w14:paraId="40042B27" w14:textId="77777777" w:rsidR="00DF612D" w:rsidRPr="00BE17C5" w:rsidRDefault="00DF612D" w:rsidP="00923F20">
      <w:pPr>
        <w:rPr>
          <w:rFonts w:cs="Arial"/>
        </w:rPr>
      </w:pPr>
      <w:r w:rsidRPr="00BE17C5">
        <w:rPr>
          <w:rFonts w:cs="Arial"/>
        </w:rPr>
        <w:t xml:space="preserve">Neben der ausschließlichen Belieferung eines Letztverbrauchers mit Biogas gibt es auch eine anteilige Belieferung des Letztverbrauchers mit Biogas in </w:t>
      </w:r>
      <w:r w:rsidR="001073DB">
        <w:rPr>
          <w:rFonts w:cs="Arial"/>
        </w:rPr>
        <w:t>vier</w:t>
      </w:r>
      <w:r w:rsidR="001073DB" w:rsidRPr="00BE17C5">
        <w:rPr>
          <w:rFonts w:cs="Arial"/>
        </w:rPr>
        <w:t xml:space="preserve"> </w:t>
      </w:r>
      <w:r w:rsidRPr="00BE17C5">
        <w:rPr>
          <w:rFonts w:cs="Arial"/>
        </w:rPr>
        <w:t>Ausprägungen</w:t>
      </w:r>
      <w:r w:rsidR="001073DB">
        <w:rPr>
          <w:rFonts w:cs="Arial"/>
        </w:rPr>
        <w:t>:</w:t>
      </w:r>
    </w:p>
    <w:p w14:paraId="7AF85A25" w14:textId="75F51D4A" w:rsidR="00DF612D" w:rsidRDefault="00DF612D" w:rsidP="00923F20">
      <w:pPr>
        <w:rPr>
          <w:rFonts w:cs="Arial"/>
        </w:rPr>
      </w:pPr>
      <w:bookmarkStart w:id="612" w:name="_Toc280808880"/>
      <w:bookmarkStart w:id="613" w:name="_Toc284323656"/>
      <w:bookmarkStart w:id="614" w:name="_Toc284334334"/>
      <w:bookmarkStart w:id="615" w:name="_Toc285005305"/>
      <w:r w:rsidRPr="000F5CD2">
        <w:rPr>
          <w:b/>
        </w:rPr>
        <w:t>Variante 1:</w:t>
      </w:r>
      <w:r>
        <w:t xml:space="preserve"> </w:t>
      </w:r>
      <w:r w:rsidRPr="00F82AF8">
        <w:t xml:space="preserve">Ausschließliche Belieferung mit </w:t>
      </w:r>
      <w:bookmarkEnd w:id="612"/>
      <w:bookmarkEnd w:id="613"/>
      <w:bookmarkEnd w:id="614"/>
      <w:bookmarkEnd w:id="615"/>
      <w:r w:rsidRPr="00F82AF8">
        <w:t>Biogas</w:t>
      </w:r>
      <w:r>
        <w:t xml:space="preserve">. </w:t>
      </w:r>
      <w:r>
        <w:rPr>
          <w:rFonts w:cs="Arial"/>
        </w:rPr>
        <w:t xml:space="preserve">Letztverbraucher können als </w:t>
      </w:r>
      <w:r w:rsidR="00B32C36">
        <w:rPr>
          <w:rFonts w:cs="Arial"/>
        </w:rPr>
        <w:t>Marktlokation</w:t>
      </w:r>
      <w:r>
        <w:rPr>
          <w:rFonts w:cs="Arial"/>
        </w:rPr>
        <w:t xml:space="preserve"> einem Biogas-Bilanzkreis gemäß </w:t>
      </w:r>
      <w:proofErr w:type="spellStart"/>
      <w:r>
        <w:rPr>
          <w:rFonts w:cs="Arial"/>
        </w:rPr>
        <w:t>GeLi</w:t>
      </w:r>
      <w:proofErr w:type="spellEnd"/>
      <w:r>
        <w:rPr>
          <w:rFonts w:cs="Arial"/>
        </w:rPr>
        <w:t>-Gas zugeordnet werden. Die Allokation der Menge erfolgt zu 100 % in den Biogas-Bilanzkreis.</w:t>
      </w:r>
    </w:p>
    <w:p w14:paraId="24A73B9F" w14:textId="343F03A3" w:rsidR="00DF612D" w:rsidRDefault="00DF612D" w:rsidP="00923F20">
      <w:pPr>
        <w:rPr>
          <w:rFonts w:cs="Arial"/>
        </w:rPr>
      </w:pPr>
      <w:bookmarkStart w:id="616" w:name="_Toc280808881"/>
      <w:bookmarkStart w:id="617" w:name="_Toc284323657"/>
      <w:bookmarkStart w:id="618" w:name="_Toc284334335"/>
      <w:bookmarkStart w:id="619" w:name="_Toc285005306"/>
      <w:r w:rsidRPr="000F5CD2">
        <w:rPr>
          <w:b/>
        </w:rPr>
        <w:t>Variante 2:</w:t>
      </w:r>
      <w:r w:rsidRPr="00F82AF8">
        <w:t xml:space="preserve"> Anteilige Belieferung mit Biogas</w:t>
      </w:r>
      <w:bookmarkEnd w:id="616"/>
      <w:r w:rsidRPr="00F82AF8">
        <w:t xml:space="preserve"> über </w:t>
      </w:r>
      <w:r w:rsidR="00E33414">
        <w:t>drei</w:t>
      </w:r>
      <w:r w:rsidRPr="00F82AF8">
        <w:t xml:space="preserve"> </w:t>
      </w:r>
      <w:bookmarkEnd w:id="617"/>
      <w:bookmarkEnd w:id="618"/>
      <w:bookmarkEnd w:id="619"/>
      <w:r w:rsidRPr="00F82AF8">
        <w:t>Bilanzkreise</w:t>
      </w:r>
      <w:r>
        <w:t xml:space="preserve">. </w:t>
      </w:r>
      <w:r w:rsidR="00B32C36">
        <w:rPr>
          <w:rFonts w:cs="Arial"/>
        </w:rPr>
        <w:t xml:space="preserve">Marktlokationen </w:t>
      </w:r>
      <w:r w:rsidRPr="007021E4">
        <w:rPr>
          <w:rFonts w:cs="Arial"/>
        </w:rPr>
        <w:t>– SLP oder RLM – w</w:t>
      </w:r>
      <w:r>
        <w:rPr>
          <w:rFonts w:cs="Arial"/>
        </w:rPr>
        <w:t>e</w:t>
      </w:r>
      <w:r w:rsidRPr="007021E4">
        <w:rPr>
          <w:rFonts w:cs="Arial"/>
        </w:rPr>
        <w:t>rd</w:t>
      </w:r>
      <w:r>
        <w:rPr>
          <w:rFonts w:cs="Arial"/>
        </w:rPr>
        <w:t>en</w:t>
      </w:r>
      <w:r w:rsidRPr="007021E4">
        <w:rPr>
          <w:rFonts w:cs="Arial"/>
        </w:rPr>
        <w:t xml:space="preserve"> </w:t>
      </w:r>
      <w:r>
        <w:rPr>
          <w:rFonts w:cs="Arial"/>
        </w:rPr>
        <w:t>in einen Erdgasbilanzkreis eingebracht, in den sowohl Erdgas als auch Biogas per Übertragung über den VHP allokiert werden können.</w:t>
      </w:r>
    </w:p>
    <w:p w14:paraId="3EA7181B" w14:textId="1869B4F4" w:rsidR="006F748C" w:rsidRDefault="00DF612D" w:rsidP="00923F20">
      <w:pPr>
        <w:rPr>
          <w:rFonts w:cs="Arial"/>
        </w:rPr>
      </w:pPr>
      <w:r w:rsidRPr="00137FC6">
        <w:rPr>
          <w:rFonts w:cs="Arial"/>
        </w:rPr>
        <w:t xml:space="preserve">Die </w:t>
      </w:r>
      <w:r w:rsidR="00B32C36">
        <w:rPr>
          <w:rFonts w:cs="Arial"/>
        </w:rPr>
        <w:t xml:space="preserve">Marktlokationen </w:t>
      </w:r>
      <w:r w:rsidRPr="00137FC6">
        <w:rPr>
          <w:rFonts w:cs="Arial"/>
        </w:rPr>
        <w:t>werden d</w:t>
      </w:r>
      <w:r>
        <w:rPr>
          <w:rFonts w:cs="Arial"/>
        </w:rPr>
        <w:t>iesem Bilanzkreis</w:t>
      </w:r>
      <w:r w:rsidRPr="00137FC6">
        <w:rPr>
          <w:rFonts w:cs="Arial"/>
        </w:rPr>
        <w:t xml:space="preserve"> zugeordnet und allokiert (=</w:t>
      </w:r>
      <w:r>
        <w:rPr>
          <w:rFonts w:cs="Arial"/>
        </w:rPr>
        <w:t xml:space="preserve"> </w:t>
      </w:r>
      <w:r w:rsidRPr="00137FC6">
        <w:rPr>
          <w:rFonts w:cs="Arial"/>
        </w:rPr>
        <w:t xml:space="preserve">Exit). Der Entry in den Bilanzkreis </w:t>
      </w:r>
      <w:r>
        <w:rPr>
          <w:rFonts w:cs="Arial"/>
        </w:rPr>
        <w:t>ergibt sich aus den</w:t>
      </w:r>
      <w:r w:rsidRPr="00137FC6">
        <w:rPr>
          <w:rFonts w:cs="Arial"/>
        </w:rPr>
        <w:t xml:space="preserve"> Nominierungen </w:t>
      </w:r>
      <w:r>
        <w:rPr>
          <w:rFonts w:cs="Arial"/>
        </w:rPr>
        <w:t>des</w:t>
      </w:r>
      <w:r w:rsidRPr="00137FC6">
        <w:rPr>
          <w:rFonts w:cs="Arial"/>
        </w:rPr>
        <w:t xml:space="preserve"> Biogas-BK</w:t>
      </w:r>
      <w:r>
        <w:rPr>
          <w:rFonts w:cs="Arial"/>
        </w:rPr>
        <w:t>s</w:t>
      </w:r>
      <w:r w:rsidRPr="00137FC6">
        <w:rPr>
          <w:rFonts w:cs="Arial"/>
        </w:rPr>
        <w:t xml:space="preserve"> und de</w:t>
      </w:r>
      <w:r>
        <w:rPr>
          <w:rFonts w:cs="Arial"/>
        </w:rPr>
        <w:t>s</w:t>
      </w:r>
      <w:r w:rsidRPr="00137FC6">
        <w:rPr>
          <w:rFonts w:cs="Arial"/>
        </w:rPr>
        <w:t xml:space="preserve"> Erdgas-BK.</w:t>
      </w:r>
    </w:p>
    <w:p w14:paraId="2B549961" w14:textId="0670C484" w:rsidR="006F748C" w:rsidRDefault="006F748C" w:rsidP="003C2438">
      <w:pPr>
        <w:spacing w:after="0"/>
        <w:rPr>
          <w:b/>
        </w:rPr>
      </w:pPr>
      <w:bookmarkStart w:id="620" w:name="_Toc280702177"/>
      <w:bookmarkStart w:id="621" w:name="_Toc285005403"/>
      <w:bookmarkStart w:id="622" w:name="_Toc285313960"/>
      <w:bookmarkStart w:id="623" w:name="_Toc285126083"/>
      <w:bookmarkStart w:id="624" w:name="_Toc296694339"/>
      <w:bookmarkStart w:id="625" w:name="_Toc357091977"/>
      <w:bookmarkStart w:id="626" w:name="_Toc390346573"/>
    </w:p>
    <w:p w14:paraId="4D3C8D17" w14:textId="095894D6" w:rsidR="00083F68" w:rsidRDefault="00083F68" w:rsidP="003C2438">
      <w:pPr>
        <w:spacing w:after="0"/>
        <w:rPr>
          <w:b/>
        </w:rPr>
      </w:pPr>
      <w:r>
        <w:rPr>
          <w:noProof/>
        </w:rPr>
        <w:lastRenderedPageBreak/>
        <w:drawing>
          <wp:inline distT="0" distB="0" distL="0" distR="0" wp14:anchorId="26528459" wp14:editId="2338E47E">
            <wp:extent cx="5759450" cy="3769360"/>
            <wp:effectExtent l="0" t="0" r="0" b="0"/>
            <wp:docPr id="87" name="Grafik 87"/>
            <wp:cNvGraphicFramePr/>
            <a:graphic xmlns:a="http://schemas.openxmlformats.org/drawingml/2006/main">
              <a:graphicData uri="http://schemas.openxmlformats.org/drawingml/2006/picture">
                <pic:pic xmlns:pic="http://schemas.openxmlformats.org/drawingml/2006/picture">
                  <pic:nvPicPr>
                    <pic:cNvPr id="87" name="Grafik 87"/>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59450" cy="3769360"/>
                    </a:xfrm>
                    <a:prstGeom prst="rect">
                      <a:avLst/>
                    </a:prstGeom>
                    <a:noFill/>
                  </pic:spPr>
                </pic:pic>
              </a:graphicData>
            </a:graphic>
          </wp:inline>
        </w:drawing>
      </w:r>
    </w:p>
    <w:p w14:paraId="678CE259" w14:textId="3D4CB92A" w:rsidR="00E157A6" w:rsidRDefault="00DF612D" w:rsidP="00A14B84">
      <w:pPr>
        <w:pStyle w:val="Abbildung"/>
        <w:spacing w:before="360" w:after="240"/>
        <w:rPr>
          <w:b/>
          <w:bCs/>
        </w:rPr>
      </w:pPr>
      <w:bookmarkStart w:id="627" w:name="_Toc412562644"/>
      <w:bookmarkStart w:id="628" w:name="_Toc437530333"/>
      <w:bookmarkStart w:id="629" w:name="_Toc111118604"/>
      <w:bookmarkStart w:id="630" w:name="_Toc111196150"/>
      <w:r w:rsidRPr="00897CD7">
        <w:rPr>
          <w:b/>
          <w:bCs/>
        </w:rPr>
        <w:t xml:space="preserve">Abbildung </w:t>
      </w:r>
      <w:r w:rsidR="00561FFA" w:rsidRPr="00897CD7">
        <w:rPr>
          <w:b/>
          <w:bCs/>
        </w:rPr>
        <w:fldChar w:fldCharType="begin"/>
      </w:r>
      <w:r w:rsidR="002A17C0" w:rsidRPr="00897CD7">
        <w:rPr>
          <w:b/>
          <w:bCs/>
        </w:rPr>
        <w:instrText xml:space="preserve"> SEQ Abbildung \* ARABIC </w:instrText>
      </w:r>
      <w:r w:rsidR="00561FFA" w:rsidRPr="00897CD7">
        <w:rPr>
          <w:b/>
          <w:bCs/>
        </w:rPr>
        <w:fldChar w:fldCharType="separate"/>
      </w:r>
      <w:r w:rsidR="00D400FA">
        <w:rPr>
          <w:b/>
          <w:bCs/>
        </w:rPr>
        <w:t>21</w:t>
      </w:r>
      <w:r w:rsidR="00561FFA" w:rsidRPr="00897CD7">
        <w:rPr>
          <w:b/>
          <w:bCs/>
        </w:rPr>
        <w:fldChar w:fldCharType="end"/>
      </w:r>
      <w:r w:rsidRPr="00897CD7">
        <w:rPr>
          <w:b/>
          <w:bCs/>
        </w:rPr>
        <w:t>: Biogasmischlieferung mit 2 nominierenden Bilanzkreisen</w:t>
      </w:r>
      <w:bookmarkEnd w:id="620"/>
      <w:bookmarkEnd w:id="621"/>
      <w:bookmarkEnd w:id="622"/>
      <w:bookmarkEnd w:id="623"/>
      <w:bookmarkEnd w:id="624"/>
      <w:bookmarkEnd w:id="625"/>
      <w:bookmarkEnd w:id="626"/>
      <w:bookmarkEnd w:id="627"/>
      <w:bookmarkEnd w:id="628"/>
      <w:bookmarkEnd w:id="629"/>
      <w:bookmarkEnd w:id="630"/>
    </w:p>
    <w:p w14:paraId="22D44E72" w14:textId="59E6CADA" w:rsidR="00DF612D" w:rsidRDefault="00DF612D" w:rsidP="003C2438">
      <w:r>
        <w:t xml:space="preserve">Der Bilanzkreis erhält keine Biogasflexibilität. Sofern </w:t>
      </w:r>
      <w:r w:rsidRPr="00137FC6">
        <w:t>in d</w:t>
      </w:r>
      <w:r>
        <w:t>i</w:t>
      </w:r>
      <w:r w:rsidRPr="00137FC6">
        <w:t>e</w:t>
      </w:r>
      <w:r>
        <w:t>se</w:t>
      </w:r>
      <w:r w:rsidRPr="00137FC6">
        <w:t xml:space="preserve">m </w:t>
      </w:r>
      <w:r>
        <w:t>Bilanzkreis</w:t>
      </w:r>
      <w:r w:rsidRPr="00137FC6">
        <w:t xml:space="preserve"> nur SLP-</w:t>
      </w:r>
      <w:r w:rsidR="00B32C36" w:rsidRPr="00B32C36">
        <w:rPr>
          <w:rFonts w:cs="Arial"/>
        </w:rPr>
        <w:t xml:space="preserve"> </w:t>
      </w:r>
      <w:r w:rsidR="00B32C36">
        <w:rPr>
          <w:rFonts w:cs="Arial"/>
        </w:rPr>
        <w:t>Marktlokationen</w:t>
      </w:r>
      <w:r w:rsidRPr="00137FC6">
        <w:t xml:space="preserve"> abgewickelt werden, besteht für die Nomin</w:t>
      </w:r>
      <w:r>
        <w:t>i</w:t>
      </w:r>
      <w:r w:rsidRPr="00137FC6">
        <w:t xml:space="preserve">erungen kein </w:t>
      </w:r>
      <w:r>
        <w:t>Ausgleichsenergier</w:t>
      </w:r>
      <w:r w:rsidRPr="00137FC6">
        <w:t xml:space="preserve">isiko, der </w:t>
      </w:r>
      <w:r>
        <w:t>Allokationsw</w:t>
      </w:r>
      <w:r w:rsidRPr="00137FC6">
        <w:t xml:space="preserve">ert ist immer am Tag D-1 bekannt. Je nach gewünschter Produktaufteilung </w:t>
      </w:r>
      <w:r>
        <w:t>bei</w:t>
      </w:r>
      <w:r w:rsidRPr="00137FC6">
        <w:t xml:space="preserve">m Endkunden nominieren die BKV die Mengen. </w:t>
      </w:r>
      <w:r>
        <w:t>Falls es sich bei den Verantwortlichen der Bilanzkreise um mehrere BKV handelt, muss der BKV des Bilanzkreises,</w:t>
      </w:r>
      <w:r w:rsidRPr="00DF7102">
        <w:t xml:space="preserve"> </w:t>
      </w:r>
      <w:r>
        <w:t>in den sowohl Erdgas als auch Biogas per Übertragung über den VHP allokiert werden können, die Informationen an die anderen BKV weitergeben, so dass die Nominierungen erstellt werden können.</w:t>
      </w:r>
    </w:p>
    <w:p w14:paraId="45D22449" w14:textId="77777777" w:rsidR="00A14B84" w:rsidRDefault="00A14B84" w:rsidP="00A14B84"/>
    <w:p w14:paraId="29C6D931" w14:textId="77777777" w:rsidR="00DF612D" w:rsidRDefault="00DF612D" w:rsidP="003C2438">
      <w:pPr>
        <w:rPr>
          <w:rFonts w:cs="Arial"/>
        </w:rPr>
      </w:pPr>
      <w:r>
        <w:rPr>
          <w:rFonts w:cs="Arial"/>
        </w:rPr>
        <w:t>Zahlen-Beispiel:</w:t>
      </w:r>
    </w:p>
    <w:p w14:paraId="4C86EA04" w14:textId="77777777" w:rsidR="00FF3030" w:rsidRDefault="00DF612D" w:rsidP="00A14B84">
      <w:r>
        <w:t>Produkt mit 10 % Biogas</w:t>
      </w:r>
    </w:p>
    <w:p w14:paraId="6ECC84A6" w14:textId="77777777" w:rsidR="00DF612D" w:rsidRDefault="00DF612D" w:rsidP="00A14B84">
      <w:r>
        <w:t>+ SLP-Allokation bei 350 kWh</w:t>
      </w:r>
    </w:p>
    <w:p w14:paraId="3709D568" w14:textId="77777777" w:rsidR="00DF612D" w:rsidRDefault="00DF612D" w:rsidP="00A14B84">
      <w:r>
        <w:t>+ RLM-Prognose 3.000 kWh, RLM-Allokation 3.050 kWh</w:t>
      </w:r>
    </w:p>
    <w:p w14:paraId="0F4CCF6D" w14:textId="11B1780C" w:rsidR="00DF612D" w:rsidRPr="00CE5442" w:rsidRDefault="00DF612D" w:rsidP="00A14B84">
      <w:r w:rsidRPr="00CE5442">
        <w:t xml:space="preserve">- Nominierung D-1 aus dem Biogas-Bilanzkreises </w:t>
      </w:r>
      <w:r w:rsidR="00CE5442" w:rsidRPr="00CE5442">
        <w:br/>
      </w:r>
      <w:r w:rsidR="00D1748E">
        <w:t>THE0BBH135790000</w:t>
      </w:r>
      <w:r w:rsidRPr="00CE5442">
        <w:t xml:space="preserve"> 10 % * 350 kWh + 10 % * 3.000 kWh = 335 kWh</w:t>
      </w:r>
    </w:p>
    <w:p w14:paraId="10BE3782" w14:textId="4A6AA2D2" w:rsidR="00DF612D" w:rsidRPr="00CE5442" w:rsidRDefault="00DF612D" w:rsidP="00A14B84">
      <w:r w:rsidRPr="00CE5442">
        <w:lastRenderedPageBreak/>
        <w:t xml:space="preserve">- Nominierung D-1 aus dem Erdgas-Bilanzkreises </w:t>
      </w:r>
      <w:r w:rsidR="00CE5442" w:rsidRPr="00CE5442">
        <w:br/>
      </w:r>
      <w:r w:rsidR="00D1748E">
        <w:t>THE0BFH112230000</w:t>
      </w:r>
      <w:r w:rsidRPr="00CE5442">
        <w:t xml:space="preserve"> 90 % * 350 kWh + 90 % * 3.000 kWh = 3.015 kWh</w:t>
      </w:r>
    </w:p>
    <w:p w14:paraId="6C641E76" w14:textId="77777777" w:rsidR="00A14B84" w:rsidRDefault="00DF612D" w:rsidP="00A14B84">
      <w:r>
        <w:t>= der Tagessaldo im Erdgasbilanzkreis, in den Erdgas und Biogas als Entry allokiert wur</w:t>
      </w:r>
      <w:r w:rsidR="00E33414">
        <w:t>den, liegt bei 50 kWh</w:t>
      </w:r>
    </w:p>
    <w:p w14:paraId="57F18376" w14:textId="77777777" w:rsidR="00E157A6" w:rsidRDefault="00DF612D" w:rsidP="00A14B84">
      <w:pPr>
        <w:rPr>
          <w:rFonts w:cs="Arial"/>
        </w:rPr>
      </w:pPr>
      <w:bookmarkStart w:id="631" w:name="_Toc275150840"/>
      <w:bookmarkStart w:id="632" w:name="_Toc280808883"/>
      <w:r w:rsidRPr="00CC1CA9">
        <w:rPr>
          <w:rFonts w:cs="Arial"/>
          <w:b/>
        </w:rPr>
        <w:t>Variante 3:</w:t>
      </w:r>
      <w:r w:rsidRPr="00CC1CA9">
        <w:rPr>
          <w:rFonts w:cs="Arial"/>
        </w:rPr>
        <w:t xml:space="preserve"> Belieferung über einen </w:t>
      </w:r>
      <w:bookmarkEnd w:id="631"/>
      <w:bookmarkEnd w:id="632"/>
      <w:r w:rsidR="000E634C">
        <w:rPr>
          <w:rFonts w:cs="Arial"/>
        </w:rPr>
        <w:t>UBK</w:t>
      </w:r>
    </w:p>
    <w:p w14:paraId="674D239A" w14:textId="77777777" w:rsidR="00DF612D" w:rsidRDefault="00DF612D" w:rsidP="00A14B84">
      <w:pPr>
        <w:rPr>
          <w:rFonts w:cs="Arial"/>
        </w:rPr>
      </w:pPr>
      <w:r>
        <w:rPr>
          <w:rFonts w:cs="Arial"/>
        </w:rPr>
        <w:t>In dieser Variante wird die Biogasmenge wie zuvor täglich nominiert. Der Erdgasanteil im Bilanzkreis, in den sowohl Erdgas als auch Biogas per Übertragung über den VHP allokiert werden können, muss nicht nominiert werden. Der tägliche Saldo wird auf den verbundenen Erdgasbilanzkreis übertragen. Der Bilanzkreis, in den sowohl Erdgas als auch Biogas per Übertragung über den VHP allokiert werden können, wird mit einem Erdgasbilanzkreis verbunden.</w:t>
      </w:r>
    </w:p>
    <w:p w14:paraId="155BADB4" w14:textId="77F521A3" w:rsidR="006F748C" w:rsidRDefault="006F748C" w:rsidP="00A14B84">
      <w:pPr>
        <w:rPr>
          <w:b/>
        </w:rPr>
      </w:pPr>
      <w:bookmarkStart w:id="633" w:name="_Toc283648946"/>
      <w:bookmarkStart w:id="634" w:name="_Toc296694340"/>
      <w:bookmarkStart w:id="635" w:name="_Toc357091978"/>
      <w:bookmarkStart w:id="636" w:name="_Toc390346574"/>
    </w:p>
    <w:p w14:paraId="6ACA4E39" w14:textId="27849128" w:rsidR="00D1748E" w:rsidRDefault="00D1748E" w:rsidP="00A14B84">
      <w:pPr>
        <w:rPr>
          <w:b/>
        </w:rPr>
      </w:pPr>
    </w:p>
    <w:p w14:paraId="23C16B86" w14:textId="5F5C487A" w:rsidR="00D1748E" w:rsidRDefault="00D1748E" w:rsidP="00A14B84">
      <w:pPr>
        <w:rPr>
          <w:b/>
        </w:rPr>
      </w:pPr>
      <w:r>
        <w:rPr>
          <w:noProof/>
        </w:rPr>
        <w:drawing>
          <wp:inline distT="0" distB="0" distL="0" distR="0" wp14:anchorId="725566EE" wp14:editId="0217804E">
            <wp:extent cx="5759450" cy="3768725"/>
            <wp:effectExtent l="0" t="0" r="0" b="0"/>
            <wp:docPr id="88" name="Grafik 88"/>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59450" cy="3768725"/>
                    </a:xfrm>
                    <a:prstGeom prst="rect">
                      <a:avLst/>
                    </a:prstGeom>
                    <a:noFill/>
                  </pic:spPr>
                </pic:pic>
              </a:graphicData>
            </a:graphic>
          </wp:inline>
        </w:drawing>
      </w:r>
    </w:p>
    <w:p w14:paraId="7923954C" w14:textId="74018BBF" w:rsidR="00E157A6" w:rsidRDefault="00DF612D" w:rsidP="00A14B84">
      <w:pPr>
        <w:pStyle w:val="Abbildung"/>
        <w:spacing w:before="360" w:after="240"/>
        <w:rPr>
          <w:b/>
          <w:bCs/>
        </w:rPr>
      </w:pPr>
      <w:bookmarkStart w:id="637" w:name="_Toc412562645"/>
      <w:bookmarkStart w:id="638" w:name="_Toc437530334"/>
      <w:bookmarkStart w:id="639" w:name="_Toc111118605"/>
      <w:bookmarkStart w:id="640" w:name="_Toc111196151"/>
      <w:r w:rsidRPr="00700427">
        <w:rPr>
          <w:b/>
          <w:bCs/>
        </w:rPr>
        <w:t xml:space="preserve">Abbildung </w:t>
      </w:r>
      <w:r w:rsidR="00561FFA" w:rsidRPr="00700427">
        <w:rPr>
          <w:b/>
          <w:bCs/>
        </w:rPr>
        <w:fldChar w:fldCharType="begin"/>
      </w:r>
      <w:r w:rsidR="002A17C0" w:rsidRPr="00700427">
        <w:rPr>
          <w:b/>
          <w:bCs/>
        </w:rPr>
        <w:instrText xml:space="preserve"> SEQ Abbildung \* ARABIC </w:instrText>
      </w:r>
      <w:r w:rsidR="00561FFA" w:rsidRPr="00700427">
        <w:rPr>
          <w:b/>
          <w:bCs/>
        </w:rPr>
        <w:fldChar w:fldCharType="separate"/>
      </w:r>
      <w:r w:rsidR="00D400FA">
        <w:rPr>
          <w:b/>
          <w:bCs/>
        </w:rPr>
        <w:t>22</w:t>
      </w:r>
      <w:r w:rsidR="00561FFA" w:rsidRPr="00700427">
        <w:rPr>
          <w:b/>
          <w:bCs/>
        </w:rPr>
        <w:fldChar w:fldCharType="end"/>
      </w:r>
      <w:r w:rsidRPr="00700427">
        <w:rPr>
          <w:b/>
          <w:bCs/>
        </w:rPr>
        <w:t>: Biogasmischlieferung mit einem verbundenen Bilanzkreis</w:t>
      </w:r>
      <w:bookmarkEnd w:id="633"/>
      <w:bookmarkEnd w:id="634"/>
      <w:bookmarkEnd w:id="635"/>
      <w:bookmarkEnd w:id="636"/>
      <w:bookmarkEnd w:id="637"/>
      <w:bookmarkEnd w:id="638"/>
      <w:bookmarkEnd w:id="639"/>
      <w:bookmarkEnd w:id="640"/>
    </w:p>
    <w:bookmarkEnd w:id="569"/>
    <w:p w14:paraId="65238CAD" w14:textId="48B547C6" w:rsidR="002938F2" w:rsidRDefault="002938F2" w:rsidP="00A14B84">
      <w:r w:rsidRPr="0000719D">
        <w:rPr>
          <w:b/>
        </w:rPr>
        <w:t xml:space="preserve">Variante </w:t>
      </w:r>
      <w:r>
        <w:rPr>
          <w:b/>
        </w:rPr>
        <w:t>4</w:t>
      </w:r>
      <w:r w:rsidRPr="0000719D">
        <w:rPr>
          <w:b/>
        </w:rPr>
        <w:t>:</w:t>
      </w:r>
      <w:r w:rsidRPr="0000719D">
        <w:t xml:space="preserve"> </w:t>
      </w:r>
      <w:r>
        <w:t xml:space="preserve">Belieferung mit Erdgas und Biogas über nur eine </w:t>
      </w:r>
      <w:r w:rsidR="00B32C36">
        <w:t>Marktlokation.</w:t>
      </w:r>
    </w:p>
    <w:p w14:paraId="1FD8C3A8" w14:textId="51A7D2B1" w:rsidR="002938F2" w:rsidRDefault="002938F2" w:rsidP="00A14B84">
      <w:r w:rsidRPr="00BA212B">
        <w:t xml:space="preserve">In Konstellationen, in denen die Ausspeisung </w:t>
      </w:r>
      <w:r>
        <w:t xml:space="preserve">gleichzeitig sowohl </w:t>
      </w:r>
      <w:r w:rsidRPr="00BA212B">
        <w:t>an Biogas- sowie an Erdgasabnahmestelle</w:t>
      </w:r>
      <w:r>
        <w:t>n</w:t>
      </w:r>
      <w:r w:rsidRPr="00BA212B">
        <w:t xml:space="preserve"> über nur einen Netzanschluss erfolgt</w:t>
      </w:r>
      <w:r w:rsidR="00B90E8A">
        <w:t xml:space="preserve"> (z.</w:t>
      </w:r>
      <w:r w:rsidR="00C22517">
        <w:t> </w:t>
      </w:r>
      <w:r w:rsidR="00B90E8A">
        <w:t xml:space="preserve">B. Biogas-BHKW und </w:t>
      </w:r>
      <w:r w:rsidR="00B90E8A">
        <w:lastRenderedPageBreak/>
        <w:t>Erdgas-</w:t>
      </w:r>
      <w:r w:rsidR="00B90E8A" w:rsidRPr="00AE4436">
        <w:t>Spitzenlastkessel</w:t>
      </w:r>
      <w:r w:rsidR="008748FF">
        <w:t>)</w:t>
      </w:r>
      <w:r w:rsidRPr="00BA212B">
        <w:t xml:space="preserve">, können der </w:t>
      </w:r>
      <w:r w:rsidR="0071541D">
        <w:t>NB</w:t>
      </w:r>
      <w:r w:rsidRPr="00BA212B">
        <w:t xml:space="preserve"> und der Letztverbraucher vereinbaren, dass die Messung physisch an einem Gesamtzähler vorgenommen wird</w:t>
      </w:r>
      <w:r>
        <w:t xml:space="preserve">. Der </w:t>
      </w:r>
      <w:r w:rsidRPr="00BA212B">
        <w:t xml:space="preserve">Gesamtzähler </w:t>
      </w:r>
      <w:r>
        <w:t xml:space="preserve">gilt in diesem Fall als </w:t>
      </w:r>
      <w:r w:rsidR="00B32C36">
        <w:t>Marktlokation.</w:t>
      </w:r>
      <w:r>
        <w:t xml:space="preserve"> Damit erfolgt die Belieferung mit Biogas und Erdgas in dieser Variante über einen gemeinsamen Zähler, der auch </w:t>
      </w:r>
      <w:r w:rsidRPr="00BA212B">
        <w:t>als Mess- und Steuereinrichtung gilt. Für Art, Zahl, Größe und Betrieb ggf. weiterer, dem Gesamtzähler nachgelagerter Mess- und Steuereinrichtungen ist der Letztverbraucher verantwortlich.</w:t>
      </w:r>
    </w:p>
    <w:p w14:paraId="59D6D2B4" w14:textId="2E4AC2A5" w:rsidR="002938F2" w:rsidRPr="0000719D" w:rsidRDefault="002938F2" w:rsidP="00A14B84">
      <w:r>
        <w:t>D</w:t>
      </w:r>
      <w:r w:rsidR="00B32C36">
        <w:t>ie</w:t>
      </w:r>
      <w:r>
        <w:t xml:space="preserve"> </w:t>
      </w:r>
      <w:r w:rsidR="00B32C36">
        <w:t>Marktlokation</w:t>
      </w:r>
      <w:r w:rsidR="00D1748E">
        <w:t xml:space="preserve"> </w:t>
      </w:r>
      <w:r>
        <w:t xml:space="preserve">wird einem Erdgasbilanzkreis zugeordnet und dort allokiert </w:t>
      </w:r>
      <w:r w:rsidRPr="0000719D">
        <w:t>(= Exit). Der Entry in den Bilanzkreis ergibt sich aus den Nominierungen d</w:t>
      </w:r>
      <w:r w:rsidR="00E33414">
        <w:t>es Biogas-BKs und des Erdgas-BK</w:t>
      </w:r>
      <w:r w:rsidRPr="0000719D">
        <w:t>.</w:t>
      </w:r>
    </w:p>
    <w:p w14:paraId="215E38F5" w14:textId="0519EE77" w:rsidR="002938F2" w:rsidRDefault="00B32C36" w:rsidP="003C2438">
      <w:r>
        <w:t>Die Marktlokation</w:t>
      </w:r>
      <w:r w:rsidRPr="007921ED">
        <w:t xml:space="preserve"> </w:t>
      </w:r>
      <w:r w:rsidR="002938F2" w:rsidRPr="007921ED">
        <w:t xml:space="preserve">(Zähler </w:t>
      </w:r>
      <w:r w:rsidR="002938F2" w:rsidRPr="00D74CE3">
        <w:t>gesamt</w:t>
      </w:r>
      <w:r w:rsidR="002938F2" w:rsidRPr="007921ED">
        <w:t>)</w:t>
      </w:r>
      <w:r w:rsidR="002938F2">
        <w:t xml:space="preserve"> wird </w:t>
      </w:r>
      <w:r w:rsidR="002938F2" w:rsidRPr="007921ED">
        <w:t xml:space="preserve">durch </w:t>
      </w:r>
      <w:r w:rsidR="002938F2">
        <w:t xml:space="preserve">den </w:t>
      </w:r>
      <w:r w:rsidR="0071541D">
        <w:t>NB</w:t>
      </w:r>
      <w:r w:rsidR="002938F2">
        <w:t xml:space="preserve"> </w:t>
      </w:r>
      <w:r w:rsidR="002938F2" w:rsidRPr="007921ED">
        <w:t xml:space="preserve">bilanziell und netznutzungsseitig wie jede andere </w:t>
      </w:r>
      <w:r w:rsidR="002938F2">
        <w:t xml:space="preserve">SLP- oder </w:t>
      </w:r>
      <w:r w:rsidR="002938F2" w:rsidRPr="007921ED">
        <w:t>RLM-</w:t>
      </w:r>
      <w:r w:rsidRPr="00B32C36">
        <w:t xml:space="preserve"> </w:t>
      </w:r>
      <w:r>
        <w:t>Marktlokation</w:t>
      </w:r>
      <w:r w:rsidR="00AD726C">
        <w:t xml:space="preserve"> </w:t>
      </w:r>
      <w:r w:rsidR="002938F2" w:rsidRPr="007921ED">
        <w:t>abgewickelt (inkl. MM</w:t>
      </w:r>
      <w:r w:rsidR="008748FF">
        <w:t>M</w:t>
      </w:r>
      <w:r w:rsidR="002938F2" w:rsidRPr="007921ED">
        <w:t>A)</w:t>
      </w:r>
      <w:r w:rsidR="002938F2">
        <w:t xml:space="preserve">. </w:t>
      </w:r>
      <w:r w:rsidR="002938F2" w:rsidRPr="0000719D">
        <w:t>Der Bilanzkreis erhält keine Biogasflexibilität.</w:t>
      </w:r>
    </w:p>
    <w:p w14:paraId="36BBC241" w14:textId="77777777" w:rsidR="00E07BAA" w:rsidRDefault="002938F2" w:rsidP="003C2438">
      <w:r>
        <w:t>Im Übrigen gelten die Ausführungen zu Variante 2 und 3.</w:t>
      </w:r>
    </w:p>
    <w:p w14:paraId="5C181ABE" w14:textId="77777777" w:rsidR="00E07BAA" w:rsidRDefault="00E07BAA">
      <w:r>
        <w:br w:type="page"/>
      </w:r>
    </w:p>
    <w:p w14:paraId="23C6D0C7" w14:textId="77777777" w:rsidR="007E05AB" w:rsidRDefault="00DF612D" w:rsidP="00E07BAA">
      <w:pPr>
        <w:pStyle w:val="berschrift1"/>
        <w:pageBreakBefore w:val="0"/>
      </w:pPr>
      <w:bookmarkStart w:id="641" w:name="_Toc284323659"/>
      <w:bookmarkStart w:id="642" w:name="_Toc284334337"/>
      <w:bookmarkStart w:id="643" w:name="_Toc285005308"/>
      <w:bookmarkStart w:id="644" w:name="_Toc297591421"/>
      <w:bookmarkStart w:id="645" w:name="_Toc296694117"/>
      <w:bookmarkStart w:id="646" w:name="_Toc391540185"/>
      <w:bookmarkStart w:id="647" w:name="_Toc412661343"/>
      <w:bookmarkStart w:id="648" w:name="_Toc111118499"/>
      <w:r w:rsidRPr="00460D9A">
        <w:lastRenderedPageBreak/>
        <w:t>Ermittlung de</w:t>
      </w:r>
      <w:r w:rsidR="00A26A90">
        <w:t>r</w:t>
      </w:r>
      <w:r w:rsidRPr="00460D9A">
        <w:t xml:space="preserve"> Bilanzkreisstatus und Anreizsystem</w:t>
      </w:r>
      <w:bookmarkEnd w:id="641"/>
      <w:bookmarkEnd w:id="642"/>
      <w:bookmarkEnd w:id="643"/>
      <w:bookmarkEnd w:id="644"/>
      <w:bookmarkEnd w:id="645"/>
      <w:bookmarkEnd w:id="646"/>
      <w:bookmarkEnd w:id="647"/>
      <w:bookmarkEnd w:id="648"/>
    </w:p>
    <w:p w14:paraId="1D442F66" w14:textId="77777777" w:rsidR="00DF612D" w:rsidRPr="004628C2" w:rsidRDefault="00DF612D" w:rsidP="003C2438">
      <w:pPr>
        <w:spacing w:before="120"/>
        <w:rPr>
          <w:rFonts w:cs="Arial"/>
        </w:rPr>
      </w:pPr>
      <w:r w:rsidRPr="004628C2">
        <w:rPr>
          <w:rFonts w:cs="Arial"/>
        </w:rPr>
        <w:t xml:space="preserve">Der </w:t>
      </w:r>
      <w:r>
        <w:rPr>
          <w:rFonts w:cs="Arial"/>
        </w:rPr>
        <w:t>MGV</w:t>
      </w:r>
      <w:r w:rsidRPr="004628C2">
        <w:rPr>
          <w:rFonts w:cs="Arial"/>
        </w:rPr>
        <w:t xml:space="preserve"> ermittelt für den B</w:t>
      </w:r>
      <w:r>
        <w:rPr>
          <w:rFonts w:cs="Arial"/>
        </w:rPr>
        <w:t>K</w:t>
      </w:r>
      <w:r w:rsidRPr="004628C2">
        <w:rPr>
          <w:rFonts w:cs="Arial"/>
        </w:rPr>
        <w:t xml:space="preserve"> d</w:t>
      </w:r>
      <w:r>
        <w:rPr>
          <w:rFonts w:cs="Arial"/>
        </w:rPr>
        <w:t>ie</w:t>
      </w:r>
      <w:r w:rsidRPr="004628C2">
        <w:rPr>
          <w:rFonts w:cs="Arial"/>
        </w:rPr>
        <w:t xml:space="preserve"> Bilanzkreisstat</w:t>
      </w:r>
      <w:r>
        <w:rPr>
          <w:rFonts w:cs="Arial"/>
        </w:rPr>
        <w:t>us</w:t>
      </w:r>
      <w:r w:rsidRPr="004628C2">
        <w:rPr>
          <w:rFonts w:cs="Arial"/>
        </w:rPr>
        <w:t>. Diese teil</w:t>
      </w:r>
      <w:r>
        <w:rPr>
          <w:rFonts w:cs="Arial"/>
        </w:rPr>
        <w:t>en</w:t>
      </w:r>
      <w:r w:rsidRPr="004628C2">
        <w:rPr>
          <w:rFonts w:cs="Arial"/>
        </w:rPr>
        <w:t xml:space="preserve"> sich in </w:t>
      </w:r>
      <w:r w:rsidR="00F00D3E">
        <w:rPr>
          <w:rFonts w:cs="Arial"/>
        </w:rPr>
        <w:t>folgende</w:t>
      </w:r>
      <w:r w:rsidR="003207BC">
        <w:rPr>
          <w:rFonts w:cs="Arial"/>
        </w:rPr>
        <w:t xml:space="preserve"> vier</w:t>
      </w:r>
      <w:r w:rsidR="003207BC" w:rsidRPr="004628C2">
        <w:rPr>
          <w:rFonts w:cs="Arial"/>
        </w:rPr>
        <w:t xml:space="preserve"> </w:t>
      </w:r>
      <w:r w:rsidRPr="004628C2">
        <w:rPr>
          <w:rFonts w:cs="Arial"/>
        </w:rPr>
        <w:t>unterschiedliche Bereiche auf:</w:t>
      </w:r>
    </w:p>
    <w:p w14:paraId="5BDB0C02" w14:textId="77777777" w:rsidR="00DD34A5" w:rsidRDefault="00DD34A5" w:rsidP="003C2438">
      <w:pPr>
        <w:pStyle w:val="Aufzhlungszeichen"/>
      </w:pPr>
      <w:r>
        <w:t>Status bezogen auf die endgültig zugeordneten Mengen, ermittelt auf Basis der mit Abrechnungsbrennwert umgewerteten Mengen</w:t>
      </w:r>
      <w:r w:rsidR="00A26A90">
        <w:t xml:space="preserve"> (BKSALDABR)</w:t>
      </w:r>
    </w:p>
    <w:p w14:paraId="7D688C27" w14:textId="77777777" w:rsidR="00A26A90" w:rsidRPr="00FB075C" w:rsidRDefault="00DF612D" w:rsidP="003C2438">
      <w:pPr>
        <w:pStyle w:val="Aufzhlungszeichen"/>
      </w:pPr>
      <w:r w:rsidRPr="004628C2">
        <w:t>Status bezogen auf die tägliche Ausgleichsenergie</w:t>
      </w:r>
      <w:r w:rsidR="00456F6F">
        <w:t>,</w:t>
      </w:r>
      <w:r w:rsidR="004B732A">
        <w:t xml:space="preserve"> ermittelt auf Basis der mit </w:t>
      </w:r>
      <w:r w:rsidR="004B732A">
        <w:rPr>
          <w:rFonts w:cs="Arial"/>
        </w:rPr>
        <w:t>Bilanzierungsbrennwert umgewerteten Mengen</w:t>
      </w:r>
      <w:r w:rsidR="00A26A90">
        <w:rPr>
          <w:rFonts w:cs="Arial"/>
        </w:rPr>
        <w:t xml:space="preserve"> (BKSALD)</w:t>
      </w:r>
    </w:p>
    <w:p w14:paraId="2ED5B5CC" w14:textId="77777777" w:rsidR="00BE7A26" w:rsidRPr="004628C2" w:rsidRDefault="00BE7A26" w:rsidP="00BE7A26">
      <w:pPr>
        <w:pStyle w:val="Aufzhlungszeichen"/>
      </w:pPr>
      <w:r>
        <w:t xml:space="preserve">Status bezogen auf </w:t>
      </w:r>
      <w:r w:rsidR="00070E03">
        <w:t xml:space="preserve">die </w:t>
      </w:r>
      <w:r>
        <w:t xml:space="preserve">Differenzmengen, ermittelt als Differenz zwischen den mit Abrechnungsbrennwert und mit </w:t>
      </w:r>
      <w:r>
        <w:rPr>
          <w:rFonts w:cs="Arial"/>
        </w:rPr>
        <w:t xml:space="preserve">Bilanzierungsbrennwert </w:t>
      </w:r>
      <w:r>
        <w:t>umgewerteten endgültig zugeordneten Mengen</w:t>
      </w:r>
      <w:r w:rsidR="00FB2BFD">
        <w:t xml:space="preserve"> </w:t>
      </w:r>
      <w:r>
        <w:t>(BKRLMDIF)</w:t>
      </w:r>
    </w:p>
    <w:p w14:paraId="57AC0FE0" w14:textId="77777777" w:rsidR="00DF612D" w:rsidRDefault="00DF612D" w:rsidP="003C2438">
      <w:pPr>
        <w:pStyle w:val="Aufzhlungszeichen"/>
      </w:pPr>
      <w:r w:rsidRPr="004628C2">
        <w:t xml:space="preserve">Status bezogen auf </w:t>
      </w:r>
      <w:r w:rsidR="00846FB2">
        <w:t>die untertäglichen Verpflichtungen</w:t>
      </w:r>
      <w:r w:rsidR="00A26A90">
        <w:t xml:space="preserve"> (BKKUM, BKTOL, UETOL, BKFLEX)</w:t>
      </w:r>
      <w:r w:rsidR="00456F6F">
        <w:t>.</w:t>
      </w:r>
    </w:p>
    <w:p w14:paraId="7EE9EA20" w14:textId="77777777" w:rsidR="007E05AB" w:rsidRDefault="00DF612D" w:rsidP="008A385E">
      <w:pPr>
        <w:pStyle w:val="berschrift2"/>
        <w:spacing w:before="480"/>
        <w:ind w:left="567" w:hanging="567"/>
      </w:pPr>
      <w:bookmarkStart w:id="649" w:name="_Toc319924148"/>
      <w:bookmarkStart w:id="650" w:name="_Toc319924294"/>
      <w:bookmarkStart w:id="651" w:name="_Toc284323660"/>
      <w:bookmarkStart w:id="652" w:name="_Toc284334338"/>
      <w:bookmarkStart w:id="653" w:name="_Toc285005309"/>
      <w:bookmarkStart w:id="654" w:name="_Toc297591422"/>
      <w:bookmarkStart w:id="655" w:name="_Toc296694118"/>
      <w:bookmarkStart w:id="656" w:name="_Toc391540186"/>
      <w:bookmarkStart w:id="657" w:name="_Toc412661344"/>
      <w:bookmarkStart w:id="658" w:name="_Toc111118500"/>
      <w:bookmarkEnd w:id="649"/>
      <w:bookmarkEnd w:id="650"/>
      <w:r w:rsidRPr="004628C2">
        <w:t>Ermittlung de</w:t>
      </w:r>
      <w:r>
        <w:t>r</w:t>
      </w:r>
      <w:r w:rsidRPr="004628C2">
        <w:t xml:space="preserve"> Bilanzkreisstat</w:t>
      </w:r>
      <w:r>
        <w:t>us</w:t>
      </w:r>
      <w:bookmarkEnd w:id="651"/>
      <w:bookmarkEnd w:id="652"/>
      <w:bookmarkEnd w:id="653"/>
      <w:bookmarkEnd w:id="654"/>
      <w:bookmarkEnd w:id="655"/>
      <w:bookmarkEnd w:id="656"/>
      <w:bookmarkEnd w:id="657"/>
      <w:bookmarkEnd w:id="658"/>
    </w:p>
    <w:p w14:paraId="6EC7C116" w14:textId="690562E9" w:rsidR="00860A58" w:rsidRPr="003207BC" w:rsidRDefault="00DF612D" w:rsidP="003C2438">
      <w:pPr>
        <w:spacing w:before="120"/>
        <w:rPr>
          <w:rFonts w:cs="Arial"/>
        </w:rPr>
      </w:pPr>
      <w:r>
        <w:rPr>
          <w:rFonts w:cs="Arial"/>
        </w:rPr>
        <w:t>D</w:t>
      </w:r>
      <w:r w:rsidRPr="004628C2">
        <w:rPr>
          <w:rFonts w:cs="Arial"/>
        </w:rPr>
        <w:t xml:space="preserve">er </w:t>
      </w:r>
      <w:r>
        <w:rPr>
          <w:rFonts w:cs="Arial"/>
        </w:rPr>
        <w:t>MGV</w:t>
      </w:r>
      <w:r w:rsidRPr="004628C2">
        <w:rPr>
          <w:rFonts w:cs="Arial"/>
        </w:rPr>
        <w:t xml:space="preserve"> </w:t>
      </w:r>
      <w:r>
        <w:rPr>
          <w:rFonts w:cs="Arial"/>
        </w:rPr>
        <w:t xml:space="preserve">ermittelt </w:t>
      </w:r>
      <w:r w:rsidRPr="004628C2">
        <w:rPr>
          <w:rFonts w:cs="Arial"/>
        </w:rPr>
        <w:t>täglich für jeden B</w:t>
      </w:r>
      <w:r>
        <w:rPr>
          <w:rFonts w:cs="Arial"/>
        </w:rPr>
        <w:t>K</w:t>
      </w:r>
      <w:r w:rsidRPr="004628C2">
        <w:rPr>
          <w:rFonts w:cs="Arial"/>
        </w:rPr>
        <w:t xml:space="preserve"> für den vorangegangenen </w:t>
      </w:r>
      <w:proofErr w:type="spellStart"/>
      <w:r w:rsidRPr="004628C2">
        <w:rPr>
          <w:rFonts w:cs="Arial"/>
        </w:rPr>
        <w:t>Gastag</w:t>
      </w:r>
      <w:proofErr w:type="spellEnd"/>
      <w:r w:rsidR="008129A1">
        <w:rPr>
          <w:rFonts w:cs="Arial"/>
        </w:rPr>
        <w:t xml:space="preserve"> sowie nachmonatlich für den Liefermonat</w:t>
      </w:r>
      <w:r w:rsidR="008129A1" w:rsidRPr="008129A1">
        <w:rPr>
          <w:rFonts w:cs="Arial"/>
        </w:rPr>
        <w:t xml:space="preserve"> </w:t>
      </w:r>
      <w:r w:rsidR="008129A1">
        <w:rPr>
          <w:rFonts w:cs="Arial"/>
        </w:rPr>
        <w:t xml:space="preserve">auf Tagesbasis </w:t>
      </w:r>
      <w:r w:rsidR="00A26A90">
        <w:rPr>
          <w:rFonts w:cs="Arial"/>
        </w:rPr>
        <w:t>die</w:t>
      </w:r>
      <w:r w:rsidR="008129A1">
        <w:rPr>
          <w:rFonts w:cs="Arial"/>
        </w:rPr>
        <w:t xml:space="preserve"> stündlichen Bilanzkreisstatus</w:t>
      </w:r>
      <w:r>
        <w:rPr>
          <w:rFonts w:cs="Arial"/>
        </w:rPr>
        <w:t xml:space="preserve">. Für die </w:t>
      </w:r>
      <w:r w:rsidR="008129A1">
        <w:rPr>
          <w:rFonts w:cs="Arial"/>
        </w:rPr>
        <w:t xml:space="preserve">tägliche </w:t>
      </w:r>
      <w:r>
        <w:rPr>
          <w:rFonts w:cs="Arial"/>
        </w:rPr>
        <w:t xml:space="preserve">Berechnung werden die </w:t>
      </w:r>
      <w:r w:rsidR="00F00D3E">
        <w:rPr>
          <w:rFonts w:cs="Arial"/>
        </w:rPr>
        <w:t xml:space="preserve">an D+1 vorliegenden Stundenwerte der in </w:t>
      </w:r>
      <w:r w:rsidR="001073DB">
        <w:rPr>
          <w:rFonts w:cs="Arial"/>
        </w:rPr>
        <w:t xml:space="preserve">Kap. </w:t>
      </w:r>
      <w:r w:rsidR="00561FFA">
        <w:rPr>
          <w:rFonts w:cs="Arial"/>
        </w:rPr>
        <w:fldChar w:fldCharType="begin"/>
      </w:r>
      <w:r w:rsidR="001073DB">
        <w:rPr>
          <w:rFonts w:cs="Arial"/>
        </w:rPr>
        <w:instrText xml:space="preserve"> REF _Ref287299732 \r \h </w:instrText>
      </w:r>
      <w:r w:rsidR="00561FFA">
        <w:rPr>
          <w:rFonts w:cs="Arial"/>
        </w:rPr>
      </w:r>
      <w:r w:rsidR="00561FFA">
        <w:rPr>
          <w:rFonts w:cs="Arial"/>
        </w:rPr>
        <w:fldChar w:fldCharType="separate"/>
      </w:r>
      <w:r w:rsidR="00692E23">
        <w:rPr>
          <w:rFonts w:cs="Arial"/>
        </w:rPr>
        <w:t>2.10</w:t>
      </w:r>
      <w:r w:rsidR="00561FFA">
        <w:rPr>
          <w:rFonts w:cs="Arial"/>
        </w:rPr>
        <w:fldChar w:fldCharType="end"/>
      </w:r>
      <w:r w:rsidR="00F00D3E">
        <w:rPr>
          <w:rFonts w:cs="Arial"/>
        </w:rPr>
        <w:t xml:space="preserve"> aufgeführten Entry- und </w:t>
      </w:r>
      <w:proofErr w:type="spellStart"/>
      <w:r w:rsidR="00F00D3E">
        <w:rPr>
          <w:rFonts w:cs="Arial"/>
        </w:rPr>
        <w:t>Exitzeitreihen</w:t>
      </w:r>
      <w:proofErr w:type="spellEnd"/>
      <w:r w:rsidR="00F00D3E">
        <w:rPr>
          <w:rFonts w:cs="Arial"/>
        </w:rPr>
        <w:t xml:space="preserve"> </w:t>
      </w:r>
      <w:r w:rsidR="00846FB2">
        <w:rPr>
          <w:rFonts w:cs="Arial"/>
        </w:rPr>
        <w:t>des</w:t>
      </w:r>
      <w:r w:rsidR="00B45901">
        <w:rPr>
          <w:rFonts w:cs="Arial"/>
        </w:rPr>
        <w:t xml:space="preserve"> jeweiligen BK </w:t>
      </w:r>
      <w:r w:rsidR="00824524">
        <w:rPr>
          <w:rFonts w:cs="Arial"/>
        </w:rPr>
        <w:t>inkl</w:t>
      </w:r>
      <w:r w:rsidR="00B45901">
        <w:rPr>
          <w:rFonts w:cs="Arial"/>
        </w:rPr>
        <w:t>. dessen SBK verwendet</w:t>
      </w:r>
      <w:r w:rsidR="00F00D3E">
        <w:rPr>
          <w:rFonts w:cs="Arial"/>
        </w:rPr>
        <w:t xml:space="preserve">. Für die nachmonatliche Berechnung werden die an M+15, bzw. nach Durchführung eines Clearings vorliegenden Stundenwerte der </w:t>
      </w:r>
      <w:r w:rsidR="001073DB">
        <w:rPr>
          <w:rFonts w:cs="Arial"/>
        </w:rPr>
        <w:t xml:space="preserve">in Kap. </w:t>
      </w:r>
      <w:r w:rsidR="00561FFA">
        <w:rPr>
          <w:rFonts w:cs="Arial"/>
        </w:rPr>
        <w:fldChar w:fldCharType="begin"/>
      </w:r>
      <w:r w:rsidR="001073DB">
        <w:rPr>
          <w:rFonts w:cs="Arial"/>
        </w:rPr>
        <w:instrText xml:space="preserve"> REF _Ref287299732 \r \h </w:instrText>
      </w:r>
      <w:r w:rsidR="00561FFA">
        <w:rPr>
          <w:rFonts w:cs="Arial"/>
        </w:rPr>
      </w:r>
      <w:r w:rsidR="00561FFA">
        <w:rPr>
          <w:rFonts w:cs="Arial"/>
        </w:rPr>
        <w:fldChar w:fldCharType="separate"/>
      </w:r>
      <w:r w:rsidR="00692E23">
        <w:rPr>
          <w:rFonts w:cs="Arial"/>
        </w:rPr>
        <w:t>2.10</w:t>
      </w:r>
      <w:r w:rsidR="00561FFA">
        <w:rPr>
          <w:rFonts w:cs="Arial"/>
        </w:rPr>
        <w:fldChar w:fldCharType="end"/>
      </w:r>
      <w:r w:rsidR="001073DB">
        <w:rPr>
          <w:rFonts w:cs="Arial"/>
        </w:rPr>
        <w:t xml:space="preserve"> </w:t>
      </w:r>
      <w:r w:rsidR="00F00D3E">
        <w:rPr>
          <w:rFonts w:cs="Arial"/>
        </w:rPr>
        <w:t xml:space="preserve">aufgeführten Entry- und </w:t>
      </w:r>
      <w:proofErr w:type="spellStart"/>
      <w:r w:rsidR="00F00D3E">
        <w:rPr>
          <w:rFonts w:cs="Arial"/>
        </w:rPr>
        <w:t>Exitzeitreihen</w:t>
      </w:r>
      <w:proofErr w:type="spellEnd"/>
      <w:r w:rsidR="00F00D3E">
        <w:rPr>
          <w:rFonts w:cs="Arial"/>
        </w:rPr>
        <w:t xml:space="preserve"> des jeweiligen BK inkl. dessen SBK verwendet.</w:t>
      </w:r>
    </w:p>
    <w:p w14:paraId="004765C1" w14:textId="77777777" w:rsidR="00C13EDE" w:rsidRDefault="00DF612D" w:rsidP="003C2438">
      <w:pPr>
        <w:spacing w:before="120"/>
        <w:rPr>
          <w:specVanish/>
        </w:rPr>
      </w:pPr>
      <w:r w:rsidRPr="00B45901">
        <w:rPr>
          <w:rFonts w:cs="Arial"/>
        </w:rPr>
        <w:t>Die Vorzeichenkonvention ist immer</w:t>
      </w:r>
      <w:r w:rsidR="00565555">
        <w:rPr>
          <w:rFonts w:cs="Arial"/>
        </w:rPr>
        <w:t xml:space="preserve"> Einspeisung minus Ausspeisung.</w:t>
      </w:r>
    </w:p>
    <w:p w14:paraId="4E173ADC" w14:textId="2258C7DD" w:rsidR="004B732A" w:rsidRDefault="004B732A" w:rsidP="003C2438">
      <w:pPr>
        <w:spacing w:before="120"/>
        <w:rPr>
          <w:rFonts w:cs="Arial"/>
        </w:rPr>
      </w:pPr>
      <w:r w:rsidRPr="004628C2">
        <w:rPr>
          <w:rFonts w:cs="Arial"/>
        </w:rPr>
        <w:t xml:space="preserve">Der </w:t>
      </w:r>
      <w:r>
        <w:rPr>
          <w:rFonts w:cs="Arial"/>
        </w:rPr>
        <w:t>MGV</w:t>
      </w:r>
      <w:r w:rsidRPr="004628C2">
        <w:rPr>
          <w:rFonts w:cs="Arial"/>
        </w:rPr>
        <w:t xml:space="preserve"> übermittelt </w:t>
      </w:r>
      <w:r>
        <w:rPr>
          <w:rFonts w:cs="Arial"/>
        </w:rPr>
        <w:t>d</w:t>
      </w:r>
      <w:r w:rsidR="008F49AE">
        <w:rPr>
          <w:rFonts w:cs="Arial"/>
        </w:rPr>
        <w:t>ie</w:t>
      </w:r>
      <w:r>
        <w:rPr>
          <w:rFonts w:cs="Arial"/>
        </w:rPr>
        <w:t xml:space="preserve"> vorläufigen </w:t>
      </w:r>
      <w:r w:rsidRPr="004628C2">
        <w:rPr>
          <w:rFonts w:cs="Arial"/>
        </w:rPr>
        <w:t>BK-Stat</w:t>
      </w:r>
      <w:r>
        <w:rPr>
          <w:rFonts w:cs="Arial"/>
        </w:rPr>
        <w:t>us</w:t>
      </w:r>
      <w:r w:rsidRPr="004628C2">
        <w:rPr>
          <w:rFonts w:cs="Arial"/>
        </w:rPr>
        <w:t xml:space="preserve"> für den Tag D am Tag D+1</w:t>
      </w:r>
      <w:r>
        <w:rPr>
          <w:rFonts w:cs="Arial"/>
        </w:rPr>
        <w:t>,</w:t>
      </w:r>
      <w:r w:rsidRPr="004628C2">
        <w:rPr>
          <w:rFonts w:cs="Arial"/>
        </w:rPr>
        <w:t xml:space="preserve"> </w:t>
      </w:r>
      <w:r>
        <w:rPr>
          <w:rFonts w:cs="Arial"/>
        </w:rPr>
        <w:t>bis spätestens 16:</w:t>
      </w:r>
      <w:r w:rsidRPr="00C95E78">
        <w:rPr>
          <w:rFonts w:cs="Arial"/>
        </w:rPr>
        <w:t>30 Uhr</w:t>
      </w:r>
      <w:r>
        <w:rPr>
          <w:rFonts w:cs="Arial"/>
        </w:rPr>
        <w:t xml:space="preserve">, </w:t>
      </w:r>
      <w:r w:rsidRPr="004628C2">
        <w:rPr>
          <w:rFonts w:cs="Arial"/>
        </w:rPr>
        <w:t xml:space="preserve">an den </w:t>
      </w:r>
      <w:r>
        <w:rPr>
          <w:rFonts w:cs="Arial"/>
        </w:rPr>
        <w:t>BKV</w:t>
      </w:r>
      <w:r>
        <w:rPr>
          <w:rFonts w:cs="Arial"/>
          <w:i/>
        </w:rPr>
        <w:t>.</w:t>
      </w:r>
      <w:r>
        <w:rPr>
          <w:rFonts w:cs="Arial"/>
        </w:rPr>
        <w:t xml:space="preserve"> Am Tag M+15 WT und zum Zeitpunkt der Rechnungslegung übermittelt der MGV sowohl den endgültigen BK-Status für den kompletten Monat basierend auf den mit Abrechnungsbrennwert umgewerteten Mengen als auch die Ausgleichsenergiepflichtige Menge, basierend auf den mit Bilanzierungsbrennwert umgewerteten RLM-Mengen und die Differenzmengen (Abweichung zwischen mit Bilanzierungsbrennwert und Abrechnungsbrennwert umgewerteten RLM-Mengen). Zu Details über den Versand und Formate der verschiedenen ZRT siehe Kap.</w:t>
      </w:r>
      <w:r w:rsidR="00561FFA">
        <w:rPr>
          <w:rFonts w:cs="Arial"/>
        </w:rPr>
        <w:fldChar w:fldCharType="begin"/>
      </w:r>
      <w:r w:rsidR="001073DB">
        <w:rPr>
          <w:rFonts w:cs="Arial"/>
        </w:rPr>
        <w:instrText xml:space="preserve"> REF _Ref287299732 \r \h </w:instrText>
      </w:r>
      <w:r w:rsidR="00561FFA">
        <w:rPr>
          <w:rFonts w:cs="Arial"/>
        </w:rPr>
      </w:r>
      <w:r w:rsidR="00561FFA">
        <w:rPr>
          <w:rFonts w:cs="Arial"/>
        </w:rPr>
        <w:fldChar w:fldCharType="separate"/>
      </w:r>
      <w:r w:rsidR="00692E23">
        <w:rPr>
          <w:rFonts w:cs="Arial"/>
        </w:rPr>
        <w:t>2.10</w:t>
      </w:r>
      <w:r w:rsidR="00561FFA">
        <w:rPr>
          <w:rFonts w:cs="Arial"/>
        </w:rPr>
        <w:fldChar w:fldCharType="end"/>
      </w:r>
      <w:r w:rsidRPr="00114801">
        <w:rPr>
          <w:rFonts w:cs="Arial"/>
        </w:rPr>
        <w:t>.</w:t>
      </w:r>
    </w:p>
    <w:p w14:paraId="6C39E808" w14:textId="77777777" w:rsidR="008A385E" w:rsidRDefault="008A385E">
      <w:pPr>
        <w:rPr>
          <w:rFonts w:cs="Arial"/>
        </w:rPr>
      </w:pPr>
      <w:r>
        <w:rPr>
          <w:rFonts w:cs="Arial"/>
        </w:rPr>
        <w:br w:type="page"/>
      </w:r>
    </w:p>
    <w:p w14:paraId="04876888" w14:textId="77777777" w:rsidR="00AD07C4" w:rsidRDefault="00AD07C4" w:rsidP="003C2438">
      <w:pPr>
        <w:spacing w:before="120"/>
        <w:rPr>
          <w:rFonts w:cs="Arial"/>
        </w:rPr>
      </w:pPr>
    </w:p>
    <w:p w14:paraId="59C1D2FD" w14:textId="77777777" w:rsidR="00F9380C" w:rsidRDefault="005C552B" w:rsidP="003C2438">
      <w:pPr>
        <w:spacing w:before="120"/>
        <w:jc w:val="center"/>
        <w:rPr>
          <w:rFonts w:cs="Arial"/>
        </w:rPr>
      </w:pPr>
      <w:bookmarkStart w:id="659" w:name="_Toc412562647"/>
      <w:r>
        <w:rPr>
          <w:noProof/>
        </w:rPr>
        <w:drawing>
          <wp:inline distT="0" distB="0" distL="0" distR="0" wp14:anchorId="2EB67934" wp14:editId="29547C36">
            <wp:extent cx="3061335" cy="123253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061335" cy="1232535"/>
                    </a:xfrm>
                    <a:prstGeom prst="rect">
                      <a:avLst/>
                    </a:prstGeom>
                    <a:noFill/>
                    <a:ln>
                      <a:noFill/>
                    </a:ln>
                  </pic:spPr>
                </pic:pic>
              </a:graphicData>
            </a:graphic>
          </wp:inline>
        </w:drawing>
      </w:r>
    </w:p>
    <w:p w14:paraId="7BC82CD7" w14:textId="2EB0B540" w:rsidR="00FF3030" w:rsidRDefault="00FD24EB" w:rsidP="003C2438">
      <w:pPr>
        <w:pStyle w:val="Abbildung"/>
        <w:rPr>
          <w:rFonts w:cs="Arial"/>
          <w:b/>
        </w:rPr>
      </w:pPr>
      <w:bookmarkStart w:id="660" w:name="_Toc437530335"/>
      <w:bookmarkStart w:id="661" w:name="_Toc111118606"/>
      <w:bookmarkStart w:id="662" w:name="_Toc111196152"/>
      <w:r w:rsidRPr="00FD24EB">
        <w:rPr>
          <w:b/>
        </w:rPr>
        <w:t xml:space="preserve">Abbildung </w:t>
      </w:r>
      <w:r w:rsidR="00561FFA" w:rsidRPr="00FD24EB">
        <w:rPr>
          <w:b/>
        </w:rPr>
        <w:fldChar w:fldCharType="begin"/>
      </w:r>
      <w:r w:rsidRPr="00FD24EB">
        <w:rPr>
          <w:b/>
        </w:rPr>
        <w:instrText xml:space="preserve"> SEQ Abbildung \* ARABIC </w:instrText>
      </w:r>
      <w:r w:rsidR="00561FFA" w:rsidRPr="00FD24EB">
        <w:rPr>
          <w:b/>
        </w:rPr>
        <w:fldChar w:fldCharType="separate"/>
      </w:r>
      <w:r w:rsidR="00D400FA">
        <w:rPr>
          <w:b/>
        </w:rPr>
        <w:t>23</w:t>
      </w:r>
      <w:r w:rsidR="00561FFA" w:rsidRPr="00FD24EB">
        <w:rPr>
          <w:b/>
        </w:rPr>
        <w:fldChar w:fldCharType="end"/>
      </w:r>
      <w:r w:rsidRPr="00FD24EB">
        <w:rPr>
          <w:b/>
        </w:rPr>
        <w:t>: Beispiel Berechnung BKSALD und BKSALDABR</w:t>
      </w:r>
      <w:bookmarkEnd w:id="660"/>
      <w:bookmarkEnd w:id="661"/>
      <w:bookmarkEnd w:id="662"/>
    </w:p>
    <w:p w14:paraId="496D3AC0" w14:textId="77777777" w:rsidR="009B4056" w:rsidRDefault="009B4056" w:rsidP="003C2438">
      <w:pPr>
        <w:spacing w:before="120"/>
        <w:rPr>
          <w:rFonts w:cs="Arial"/>
        </w:rPr>
      </w:pPr>
      <w:r>
        <w:rPr>
          <w:rFonts w:cs="Arial"/>
        </w:rPr>
        <w:t xml:space="preserve">Für die Berechnung der ausgleichsenergiepflichtigen Menge eines einzelnen Bilanzkreises </w:t>
      </w:r>
      <w:r w:rsidR="00D912AD">
        <w:rPr>
          <w:rFonts w:cs="Arial"/>
        </w:rPr>
        <w:t xml:space="preserve">werden die stündlichen Einspeisemengen in den Bilanzkreis mit der Summe der jeweiligen stündlichen Ausspeisungen aus dem Bilanzkreis verglichen. Für die Ausspeisemengen zu </w:t>
      </w:r>
      <w:proofErr w:type="spellStart"/>
      <w:r w:rsidR="00D912AD">
        <w:rPr>
          <w:rFonts w:cs="Arial"/>
        </w:rPr>
        <w:t>RLMmT</w:t>
      </w:r>
      <w:proofErr w:type="spellEnd"/>
      <w:r w:rsidR="00D912AD">
        <w:rPr>
          <w:rFonts w:cs="Arial"/>
        </w:rPr>
        <w:t xml:space="preserve">- und </w:t>
      </w:r>
      <w:proofErr w:type="spellStart"/>
      <w:r w:rsidR="00D912AD">
        <w:rPr>
          <w:rFonts w:cs="Arial"/>
        </w:rPr>
        <w:t>RLMoT</w:t>
      </w:r>
      <w:proofErr w:type="spellEnd"/>
      <w:r w:rsidR="00D912AD">
        <w:rPr>
          <w:rFonts w:cs="Arial"/>
        </w:rPr>
        <w:t>-Entn</w:t>
      </w:r>
      <w:r w:rsidR="00B51C8F">
        <w:rPr>
          <w:rFonts w:cs="Arial"/>
        </w:rPr>
        <w:t>a</w:t>
      </w:r>
      <w:r w:rsidR="00D912AD">
        <w:rPr>
          <w:rFonts w:cs="Arial"/>
        </w:rPr>
        <w:t>hmestellen werden für diese Berechnung mit B</w:t>
      </w:r>
      <w:r w:rsidR="008F49AE">
        <w:rPr>
          <w:rFonts w:cs="Arial"/>
        </w:rPr>
        <w:t>i</w:t>
      </w:r>
      <w:r w:rsidR="00D912AD">
        <w:rPr>
          <w:rFonts w:cs="Arial"/>
        </w:rPr>
        <w:t>lanzierungsbrennwert umgewertete Mengen herangezogen. Die ausgleichsenergiepflichtige Menge ergibt sich als kumulierter Wert der stündlichen Differenzmengen des Bilanzkreises.</w:t>
      </w:r>
    </w:p>
    <w:p w14:paraId="7E73C152" w14:textId="77777777" w:rsidR="00D912AD" w:rsidRDefault="00D912AD" w:rsidP="003C2438">
      <w:pPr>
        <w:spacing w:before="120"/>
        <w:rPr>
          <w:rFonts w:cs="Arial"/>
        </w:rPr>
      </w:pPr>
    </w:p>
    <w:p w14:paraId="39CC645F" w14:textId="77777777" w:rsidR="00D97BD7" w:rsidRDefault="00D97BD7" w:rsidP="00D97BD7">
      <w:pPr>
        <w:keepNext/>
        <w:keepLines/>
        <w:spacing w:before="120"/>
        <w:rPr>
          <w:rFonts w:cs="Arial"/>
        </w:rPr>
      </w:pPr>
      <w:r>
        <w:rPr>
          <w:noProof/>
        </w:rPr>
        <w:lastRenderedPageBreak/>
        <w:drawing>
          <wp:inline distT="0" distB="0" distL="0" distR="0" wp14:anchorId="292DDF90" wp14:editId="5FE656C6">
            <wp:extent cx="5870055" cy="2869450"/>
            <wp:effectExtent l="19050" t="0" r="16395" b="7100"/>
            <wp:docPr id="52"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1335478" w14:textId="77777777" w:rsidR="00FF3030" w:rsidRDefault="00663DBB" w:rsidP="003C2438">
      <w:pPr>
        <w:keepNext/>
        <w:keepLines/>
        <w:spacing w:before="120"/>
        <w:rPr>
          <w:rFonts w:cs="Arial"/>
        </w:rPr>
      </w:pPr>
      <w:r>
        <w:rPr>
          <w:noProof/>
        </w:rPr>
        <w:drawing>
          <wp:inline distT="0" distB="0" distL="0" distR="0" wp14:anchorId="229BE45D" wp14:editId="519495FB">
            <wp:extent cx="5870055" cy="2012604"/>
            <wp:effectExtent l="19050" t="0" r="16395" b="6696"/>
            <wp:docPr id="3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93C7621" w14:textId="5A4273C3" w:rsidR="00FF3030" w:rsidRDefault="00FD24EB" w:rsidP="008A385E">
      <w:pPr>
        <w:pStyle w:val="Abbildung"/>
        <w:spacing w:before="360" w:after="240"/>
        <w:rPr>
          <w:rFonts w:cs="Arial"/>
          <w:b/>
        </w:rPr>
      </w:pPr>
      <w:bookmarkStart w:id="663" w:name="_Toc437530336"/>
      <w:bookmarkStart w:id="664" w:name="_Toc111118607"/>
      <w:bookmarkStart w:id="665" w:name="_Toc111196153"/>
      <w:r w:rsidRPr="00FD24EB">
        <w:rPr>
          <w:b/>
        </w:rPr>
        <w:t xml:space="preserve">Abbildung </w:t>
      </w:r>
      <w:r w:rsidR="00561FFA" w:rsidRPr="00FD24EB">
        <w:rPr>
          <w:b/>
        </w:rPr>
        <w:fldChar w:fldCharType="begin"/>
      </w:r>
      <w:r w:rsidRPr="00FD24EB">
        <w:rPr>
          <w:b/>
        </w:rPr>
        <w:instrText xml:space="preserve"> SEQ Abbildung \* ARABIC </w:instrText>
      </w:r>
      <w:r w:rsidR="00561FFA" w:rsidRPr="00FD24EB">
        <w:rPr>
          <w:b/>
        </w:rPr>
        <w:fldChar w:fldCharType="separate"/>
      </w:r>
      <w:r w:rsidR="00D400FA">
        <w:rPr>
          <w:b/>
        </w:rPr>
        <w:t>24</w:t>
      </w:r>
      <w:r w:rsidR="00561FFA" w:rsidRPr="00FD24EB">
        <w:rPr>
          <w:b/>
        </w:rPr>
        <w:fldChar w:fldCharType="end"/>
      </w:r>
      <w:r w:rsidRPr="00FD24EB">
        <w:rPr>
          <w:b/>
        </w:rPr>
        <w:t>: Schema Stundenmengen und Differenzmengen</w:t>
      </w:r>
      <w:bookmarkEnd w:id="663"/>
      <w:bookmarkEnd w:id="664"/>
      <w:bookmarkEnd w:id="665"/>
    </w:p>
    <w:p w14:paraId="7F8CB79C" w14:textId="4EDDF963" w:rsidR="00860A58" w:rsidRDefault="00AD07C4" w:rsidP="003C2438">
      <w:r>
        <w:rPr>
          <w:rFonts w:cs="Arial"/>
        </w:rPr>
        <w:t xml:space="preserve">Für </w:t>
      </w:r>
      <w:r w:rsidRPr="004628C2">
        <w:rPr>
          <w:rFonts w:cs="Arial"/>
        </w:rPr>
        <w:t>S</w:t>
      </w:r>
      <w:r>
        <w:rPr>
          <w:rFonts w:cs="Arial"/>
        </w:rPr>
        <w:t>BK wird kein Bilanzkreisstatus berechnet.</w:t>
      </w:r>
      <w:r w:rsidR="00B21228">
        <w:rPr>
          <w:rFonts w:cs="Arial"/>
        </w:rPr>
        <w:t xml:space="preserve"> Für die Berechnung der ausgleichsenergiepflichtigen Differenzmenge eines Rechnungsbilanzkreises werden Bilanzkreissalden von untergeordneten Bilanzkreisen wie folgt berücksichtigt.</w:t>
      </w:r>
      <w:bookmarkStart w:id="666" w:name="_Ref292881999"/>
      <w:bookmarkStart w:id="667" w:name="_Toc297592856"/>
      <w:bookmarkStart w:id="668" w:name="_Toc357091982"/>
      <w:bookmarkStart w:id="669" w:name="_Toc390346576"/>
    </w:p>
    <w:p w14:paraId="546CE3E4" w14:textId="77777777" w:rsidR="00E157A6" w:rsidRDefault="005C552B" w:rsidP="008A385E">
      <w:pPr>
        <w:pStyle w:val="Abbildung"/>
        <w:spacing w:before="0"/>
        <w:rPr>
          <w:b/>
          <w:bCs/>
        </w:rPr>
      </w:pPr>
      <w:r>
        <w:lastRenderedPageBreak/>
        <w:drawing>
          <wp:inline distT="0" distB="0" distL="0" distR="0" wp14:anchorId="4C4AA1FD" wp14:editId="66353EA6">
            <wp:extent cx="5800205" cy="3713014"/>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805509" cy="3716410"/>
                    </a:xfrm>
                    <a:prstGeom prst="rect">
                      <a:avLst/>
                    </a:prstGeom>
                    <a:noFill/>
                  </pic:spPr>
                </pic:pic>
              </a:graphicData>
            </a:graphic>
          </wp:inline>
        </w:drawing>
      </w:r>
    </w:p>
    <w:p w14:paraId="706F845B" w14:textId="05B269A9" w:rsidR="00DF612D" w:rsidRPr="00D10151" w:rsidRDefault="00DF612D" w:rsidP="008A385E">
      <w:pPr>
        <w:pStyle w:val="Abbildung"/>
        <w:spacing w:before="360" w:after="240"/>
        <w:rPr>
          <w:b/>
          <w:bCs/>
        </w:rPr>
      </w:pPr>
      <w:bookmarkStart w:id="670" w:name="_Toc437530337"/>
      <w:bookmarkStart w:id="671" w:name="_Toc111118608"/>
      <w:bookmarkStart w:id="672" w:name="_Toc111196154"/>
      <w:r w:rsidRPr="00D10151">
        <w:rPr>
          <w:b/>
          <w:bCs/>
        </w:rPr>
        <w:t xml:space="preserve">Abbildung </w:t>
      </w:r>
      <w:r w:rsidR="00561FFA" w:rsidRPr="00D10151">
        <w:rPr>
          <w:b/>
          <w:bCs/>
        </w:rPr>
        <w:fldChar w:fldCharType="begin"/>
      </w:r>
      <w:r w:rsidR="002A17C0" w:rsidRPr="00D10151">
        <w:rPr>
          <w:b/>
          <w:bCs/>
        </w:rPr>
        <w:instrText xml:space="preserve"> SEQ Abbildung \* ARABIC </w:instrText>
      </w:r>
      <w:r w:rsidR="00561FFA" w:rsidRPr="00D10151">
        <w:rPr>
          <w:b/>
          <w:bCs/>
        </w:rPr>
        <w:fldChar w:fldCharType="separate"/>
      </w:r>
      <w:r w:rsidR="00D400FA">
        <w:rPr>
          <w:b/>
          <w:bCs/>
        </w:rPr>
        <w:t>25</w:t>
      </w:r>
      <w:r w:rsidR="00561FFA" w:rsidRPr="00D10151">
        <w:rPr>
          <w:b/>
          <w:bCs/>
        </w:rPr>
        <w:fldChar w:fldCharType="end"/>
      </w:r>
      <w:bookmarkStart w:id="673" w:name="_MON_1366623609"/>
      <w:bookmarkStart w:id="674" w:name="_MON_1366626319"/>
      <w:bookmarkStart w:id="675" w:name="_MON_1366626965"/>
      <w:bookmarkStart w:id="676" w:name="_MON_1366626985"/>
      <w:bookmarkStart w:id="677" w:name="_MON_1366627005"/>
      <w:bookmarkStart w:id="678" w:name="_MON_1366627026"/>
      <w:bookmarkStart w:id="679" w:name="_MON_1366627043"/>
      <w:bookmarkStart w:id="680" w:name="_MON_1366630717"/>
      <w:bookmarkStart w:id="681" w:name="_MON_1366623650"/>
      <w:bookmarkStart w:id="682" w:name="_MON_1366626869"/>
      <w:bookmarkStart w:id="683" w:name="_Toc296694343"/>
      <w:bookmarkEnd w:id="666"/>
      <w:bookmarkEnd w:id="673"/>
      <w:bookmarkEnd w:id="674"/>
      <w:bookmarkEnd w:id="675"/>
      <w:bookmarkEnd w:id="676"/>
      <w:bookmarkEnd w:id="677"/>
      <w:bookmarkEnd w:id="678"/>
      <w:bookmarkEnd w:id="679"/>
      <w:bookmarkEnd w:id="680"/>
      <w:bookmarkEnd w:id="681"/>
      <w:bookmarkEnd w:id="682"/>
      <w:r w:rsidRPr="00D10151">
        <w:rPr>
          <w:b/>
          <w:bCs/>
        </w:rPr>
        <w:t>: Kaskadische Bilanzkreiskonstruktion</w:t>
      </w:r>
      <w:bookmarkEnd w:id="659"/>
      <w:bookmarkEnd w:id="667"/>
      <w:bookmarkEnd w:id="668"/>
      <w:bookmarkEnd w:id="669"/>
      <w:bookmarkEnd w:id="683"/>
      <w:r w:rsidR="005304C6">
        <w:rPr>
          <w:b/>
          <w:bCs/>
        </w:rPr>
        <w:t xml:space="preserve"> – Saldozeitreihen</w:t>
      </w:r>
      <w:bookmarkEnd w:id="670"/>
      <w:bookmarkEnd w:id="671"/>
      <w:bookmarkEnd w:id="672"/>
    </w:p>
    <w:p w14:paraId="013591CC" w14:textId="77777777" w:rsidR="00DF612D" w:rsidRDefault="00DF612D" w:rsidP="003C2438">
      <w:r>
        <w:t>Falls ein BK</w:t>
      </w:r>
      <w:r w:rsidR="00824524">
        <w:t>/RBK</w:t>
      </w:r>
      <w:r>
        <w:t xml:space="preserve"> mit einem UBK verbunden ist, erhält der </w:t>
      </w:r>
      <w:r w:rsidR="00824524">
        <w:t xml:space="preserve">übergeordnete </w:t>
      </w:r>
      <w:r>
        <w:t xml:space="preserve">BK/RBK </w:t>
      </w:r>
      <w:r w:rsidR="00393C2F">
        <w:t>eine „über“-Zeitreihe</w:t>
      </w:r>
      <w:r>
        <w:t xml:space="preserve"> im Format TRANOT und </w:t>
      </w:r>
      <w:r w:rsidR="00393C2F">
        <w:t xml:space="preserve">eine </w:t>
      </w:r>
      <w:r>
        <w:t xml:space="preserve">aggregierte </w:t>
      </w:r>
      <w:r w:rsidR="00393C2F">
        <w:t>„nach“-Zeitreihe</w:t>
      </w:r>
      <w:r w:rsidR="00393C2F" w:rsidRPr="00981E75">
        <w:rPr>
          <w:vertAlign w:val="subscript"/>
        </w:rPr>
        <w:t xml:space="preserve"> </w:t>
      </w:r>
      <w:r>
        <w:t>im Format IMBNOT</w:t>
      </w:r>
      <w:r w:rsidR="00393C2F">
        <w:t>:</w:t>
      </w:r>
    </w:p>
    <w:p w14:paraId="7F26E099" w14:textId="34B5209C" w:rsidR="00E157A6" w:rsidRDefault="00DF612D" w:rsidP="003C2438">
      <w:pPr>
        <w:ind w:left="1701"/>
        <w:rPr>
          <w:rFonts w:cs="Arial"/>
        </w:rPr>
      </w:pPr>
      <w:proofErr w:type="spellStart"/>
      <w:r w:rsidRPr="007209B0">
        <w:rPr>
          <w:rFonts w:cs="Arial"/>
        </w:rPr>
        <w:t>BK</w:t>
      </w:r>
      <w:r w:rsidR="00000573" w:rsidRPr="00000573">
        <w:rPr>
          <w:rFonts w:cs="Arial"/>
        </w:rPr>
        <w:t>SALDnach</w:t>
      </w:r>
      <w:proofErr w:type="spellEnd"/>
      <w:r w:rsidRPr="007209B0">
        <w:rPr>
          <w:rFonts w:cs="Arial"/>
        </w:rPr>
        <w:t xml:space="preserve"> = BK</w:t>
      </w:r>
      <w:r w:rsidR="00000573" w:rsidRPr="00000573">
        <w:rPr>
          <w:rFonts w:cs="Arial"/>
        </w:rPr>
        <w:t xml:space="preserve">SALD </w:t>
      </w:r>
      <w:r w:rsidRPr="007209B0">
        <w:rPr>
          <w:rFonts w:cs="Arial"/>
        </w:rPr>
        <w:t xml:space="preserve">+ </w:t>
      </w:r>
      <w:proofErr w:type="spellStart"/>
      <w:r w:rsidRPr="007209B0">
        <w:rPr>
          <w:rFonts w:cs="Arial"/>
        </w:rPr>
        <w:t>BK</w:t>
      </w:r>
      <w:r w:rsidR="00000573" w:rsidRPr="00000573">
        <w:rPr>
          <w:rFonts w:cs="Arial"/>
        </w:rPr>
        <w:t>SALDüber</w:t>
      </w:r>
      <w:proofErr w:type="spellEnd"/>
    </w:p>
    <w:p w14:paraId="11835535" w14:textId="23B0CBC1" w:rsidR="00E157A6" w:rsidRDefault="00393C2F" w:rsidP="003C2438">
      <w:pPr>
        <w:ind w:left="1701"/>
        <w:rPr>
          <w:rFonts w:cs="Arial"/>
        </w:rPr>
      </w:pPr>
      <w:proofErr w:type="spellStart"/>
      <w:r w:rsidRPr="007209B0">
        <w:rPr>
          <w:rFonts w:cs="Arial"/>
        </w:rPr>
        <w:t>BK</w:t>
      </w:r>
      <w:r w:rsidRPr="00000573">
        <w:rPr>
          <w:rFonts w:cs="Arial"/>
        </w:rPr>
        <w:t>SALD</w:t>
      </w:r>
      <w:r>
        <w:rPr>
          <w:rFonts w:cs="Arial"/>
        </w:rPr>
        <w:t>ABR</w:t>
      </w:r>
      <w:r w:rsidRPr="00000573">
        <w:rPr>
          <w:rFonts w:cs="Arial"/>
        </w:rPr>
        <w:t>nach</w:t>
      </w:r>
      <w:proofErr w:type="spellEnd"/>
      <w:r w:rsidRPr="007209B0">
        <w:rPr>
          <w:rFonts w:cs="Arial"/>
        </w:rPr>
        <w:t xml:space="preserve"> = BK</w:t>
      </w:r>
      <w:r w:rsidRPr="00000573">
        <w:rPr>
          <w:rFonts w:cs="Arial"/>
        </w:rPr>
        <w:t>SALD</w:t>
      </w:r>
      <w:r>
        <w:rPr>
          <w:rFonts w:cs="Arial"/>
        </w:rPr>
        <w:t>ABR</w:t>
      </w:r>
      <w:r w:rsidRPr="00000573">
        <w:rPr>
          <w:rFonts w:cs="Arial"/>
        </w:rPr>
        <w:t xml:space="preserve"> </w:t>
      </w:r>
      <w:r w:rsidRPr="007209B0">
        <w:rPr>
          <w:rFonts w:cs="Arial"/>
        </w:rPr>
        <w:t xml:space="preserve">+ </w:t>
      </w:r>
      <w:proofErr w:type="spellStart"/>
      <w:r w:rsidRPr="007209B0">
        <w:rPr>
          <w:rFonts w:cs="Arial"/>
        </w:rPr>
        <w:t>BK</w:t>
      </w:r>
      <w:r w:rsidRPr="00000573">
        <w:rPr>
          <w:rFonts w:cs="Arial"/>
        </w:rPr>
        <w:t>SALD</w:t>
      </w:r>
      <w:r>
        <w:rPr>
          <w:rFonts w:cs="Arial"/>
        </w:rPr>
        <w:t>ABR</w:t>
      </w:r>
      <w:r w:rsidRPr="00000573">
        <w:rPr>
          <w:rFonts w:cs="Arial"/>
        </w:rPr>
        <w:t>über</w:t>
      </w:r>
      <w:proofErr w:type="spellEnd"/>
    </w:p>
    <w:p w14:paraId="7668886D" w14:textId="50855EBD" w:rsidR="00E157A6" w:rsidRDefault="00393C2F" w:rsidP="003C2438">
      <w:pPr>
        <w:ind w:left="1701"/>
        <w:rPr>
          <w:rFonts w:cs="Arial"/>
        </w:rPr>
      </w:pPr>
      <w:proofErr w:type="spellStart"/>
      <w:r w:rsidRPr="007209B0">
        <w:rPr>
          <w:rFonts w:cs="Arial"/>
        </w:rPr>
        <w:t>BK</w:t>
      </w:r>
      <w:r>
        <w:rPr>
          <w:rFonts w:cs="Arial"/>
        </w:rPr>
        <w:t>RLMDIF</w:t>
      </w:r>
      <w:r w:rsidRPr="00000573">
        <w:rPr>
          <w:rFonts w:cs="Arial"/>
        </w:rPr>
        <w:t>nach</w:t>
      </w:r>
      <w:proofErr w:type="spellEnd"/>
      <w:r w:rsidRPr="007209B0">
        <w:rPr>
          <w:rFonts w:cs="Arial"/>
        </w:rPr>
        <w:t xml:space="preserve"> = BK</w:t>
      </w:r>
      <w:r>
        <w:rPr>
          <w:rFonts w:cs="Arial"/>
        </w:rPr>
        <w:t>RLMDIF</w:t>
      </w:r>
      <w:r w:rsidRPr="00000573">
        <w:rPr>
          <w:rFonts w:cs="Arial"/>
        </w:rPr>
        <w:t xml:space="preserve"> </w:t>
      </w:r>
      <w:r w:rsidRPr="007209B0">
        <w:rPr>
          <w:rFonts w:cs="Arial"/>
        </w:rPr>
        <w:t xml:space="preserve">+ </w:t>
      </w:r>
      <w:proofErr w:type="spellStart"/>
      <w:r w:rsidRPr="007209B0">
        <w:rPr>
          <w:rFonts w:cs="Arial"/>
        </w:rPr>
        <w:t>BK</w:t>
      </w:r>
      <w:r>
        <w:rPr>
          <w:rFonts w:cs="Arial"/>
        </w:rPr>
        <w:t>RLMDIF</w:t>
      </w:r>
      <w:r w:rsidRPr="00000573">
        <w:rPr>
          <w:rFonts w:cs="Arial"/>
        </w:rPr>
        <w:t>über</w:t>
      </w:r>
      <w:proofErr w:type="spellEnd"/>
    </w:p>
    <w:p w14:paraId="2346A3F4" w14:textId="77777777" w:rsidR="007E05AB" w:rsidRDefault="007E05AB" w:rsidP="003C2438">
      <w:pPr>
        <w:spacing w:after="0"/>
      </w:pPr>
    </w:p>
    <w:p w14:paraId="680C7FE9" w14:textId="77777777" w:rsidR="00E157A6" w:rsidRDefault="00EC1CE4" w:rsidP="003C2438">
      <w:pPr>
        <w:spacing w:after="0"/>
      </w:pPr>
      <w:r w:rsidRPr="00EC1CE4">
        <w:rPr>
          <w:noProof/>
        </w:rPr>
        <w:lastRenderedPageBreak/>
        <w:drawing>
          <wp:inline distT="0" distB="0" distL="0" distR="0" wp14:anchorId="23B15B0C" wp14:editId="65FE8EAF">
            <wp:extent cx="5759450" cy="5248711"/>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cstate="print"/>
                    <a:srcRect/>
                    <a:stretch>
                      <a:fillRect/>
                    </a:stretch>
                  </pic:blipFill>
                  <pic:spPr bwMode="auto">
                    <a:xfrm>
                      <a:off x="0" y="0"/>
                      <a:ext cx="5759450" cy="5248711"/>
                    </a:xfrm>
                    <a:prstGeom prst="rect">
                      <a:avLst/>
                    </a:prstGeom>
                    <a:noFill/>
                    <a:ln w="9525">
                      <a:noFill/>
                      <a:miter lim="800000"/>
                      <a:headEnd/>
                      <a:tailEnd/>
                    </a:ln>
                  </pic:spPr>
                </pic:pic>
              </a:graphicData>
            </a:graphic>
          </wp:inline>
        </w:drawing>
      </w:r>
    </w:p>
    <w:p w14:paraId="4293F74B" w14:textId="79C0FDD9" w:rsidR="00E157A6" w:rsidRDefault="00DF612D" w:rsidP="008A385E">
      <w:pPr>
        <w:pStyle w:val="Abbildung"/>
        <w:spacing w:before="360" w:after="240"/>
        <w:rPr>
          <w:b/>
        </w:rPr>
      </w:pPr>
      <w:bookmarkStart w:id="684" w:name="_Ref292882363"/>
      <w:bookmarkStart w:id="685" w:name="_Toc297592857"/>
      <w:bookmarkStart w:id="686" w:name="_Toc296694344"/>
      <w:bookmarkStart w:id="687" w:name="_Toc357091983"/>
      <w:bookmarkStart w:id="688" w:name="_Toc390346577"/>
      <w:bookmarkStart w:id="689" w:name="_Toc412562648"/>
      <w:bookmarkStart w:id="690" w:name="_Toc437530338"/>
      <w:bookmarkStart w:id="691" w:name="_Toc111118609"/>
      <w:bookmarkStart w:id="692" w:name="_Toc111196155"/>
      <w:r w:rsidRPr="005E563F">
        <w:rPr>
          <w:b/>
        </w:rPr>
        <w:t xml:space="preserve">Abbildung </w:t>
      </w:r>
      <w:r w:rsidR="00561FFA" w:rsidRPr="005E563F">
        <w:rPr>
          <w:b/>
        </w:rPr>
        <w:fldChar w:fldCharType="begin"/>
      </w:r>
      <w:r w:rsidR="002A17C0" w:rsidRPr="005E563F">
        <w:rPr>
          <w:b/>
        </w:rPr>
        <w:instrText xml:space="preserve"> SEQ Abbildung \* ARABIC </w:instrText>
      </w:r>
      <w:r w:rsidR="00561FFA" w:rsidRPr="005E563F">
        <w:rPr>
          <w:b/>
        </w:rPr>
        <w:fldChar w:fldCharType="separate"/>
      </w:r>
      <w:r w:rsidR="00D400FA">
        <w:rPr>
          <w:b/>
        </w:rPr>
        <w:t>26</w:t>
      </w:r>
      <w:r w:rsidR="00561FFA" w:rsidRPr="005E563F">
        <w:rPr>
          <w:b/>
        </w:rPr>
        <w:fldChar w:fldCharType="end"/>
      </w:r>
      <w:bookmarkEnd w:id="684"/>
      <w:r w:rsidRPr="005E563F">
        <w:rPr>
          <w:b/>
        </w:rPr>
        <w:t>: Beispiel für die kaskadische Bilanzkreiskonstruktion einer Gasqualität</w:t>
      </w:r>
      <w:bookmarkEnd w:id="685"/>
      <w:bookmarkEnd w:id="686"/>
      <w:bookmarkEnd w:id="687"/>
      <w:bookmarkEnd w:id="688"/>
      <w:bookmarkEnd w:id="689"/>
      <w:bookmarkEnd w:id="690"/>
      <w:bookmarkEnd w:id="691"/>
      <w:bookmarkEnd w:id="692"/>
    </w:p>
    <w:p w14:paraId="4182D66E" w14:textId="77777777" w:rsidR="00BE7A26" w:rsidRDefault="00BE7A26" w:rsidP="00BE7A26">
      <w:pPr>
        <w:pStyle w:val="berschrift2"/>
        <w:spacing w:before="480"/>
        <w:ind w:left="567" w:hanging="567"/>
      </w:pPr>
      <w:bookmarkStart w:id="693" w:name="_Toc342569813"/>
      <w:bookmarkStart w:id="694" w:name="_Toc342569822"/>
      <w:bookmarkStart w:id="695" w:name="_Toc342569823"/>
      <w:bookmarkStart w:id="696" w:name="_Toc342569824"/>
      <w:bookmarkStart w:id="697" w:name="_Toc342569825"/>
      <w:bookmarkStart w:id="698" w:name="_Toc342569826"/>
      <w:bookmarkStart w:id="699" w:name="_Toc342569828"/>
      <w:bookmarkStart w:id="700" w:name="_Toc342569830"/>
      <w:bookmarkStart w:id="701" w:name="_Toc342569831"/>
      <w:bookmarkStart w:id="702" w:name="_Toc342569832"/>
      <w:bookmarkStart w:id="703" w:name="_Toc342569835"/>
      <w:bookmarkStart w:id="704" w:name="_Toc342569836"/>
      <w:bookmarkStart w:id="705" w:name="_Toc433972867"/>
      <w:bookmarkStart w:id="706" w:name="_Toc433973876"/>
      <w:bookmarkStart w:id="707" w:name="_Toc433974867"/>
      <w:bookmarkStart w:id="708" w:name="_Toc433972870"/>
      <w:bookmarkStart w:id="709" w:name="_Toc433973879"/>
      <w:bookmarkStart w:id="710" w:name="_Toc433974870"/>
      <w:bookmarkStart w:id="711" w:name="_Toc433972871"/>
      <w:bookmarkStart w:id="712" w:name="_Toc433973880"/>
      <w:bookmarkStart w:id="713" w:name="_Toc433974871"/>
      <w:bookmarkStart w:id="714" w:name="_Toc433972872"/>
      <w:bookmarkStart w:id="715" w:name="_Toc433973881"/>
      <w:bookmarkStart w:id="716" w:name="_Toc433974872"/>
      <w:bookmarkStart w:id="717" w:name="_Toc433972873"/>
      <w:bookmarkStart w:id="718" w:name="_Toc433973882"/>
      <w:bookmarkStart w:id="719" w:name="_Toc433974873"/>
      <w:bookmarkStart w:id="720" w:name="_Toc433972874"/>
      <w:bookmarkStart w:id="721" w:name="_Toc433973883"/>
      <w:bookmarkStart w:id="722" w:name="_Toc433974874"/>
      <w:bookmarkStart w:id="723" w:name="_Toc433972876"/>
      <w:bookmarkStart w:id="724" w:name="_Toc433973885"/>
      <w:bookmarkStart w:id="725" w:name="_Toc433974876"/>
      <w:bookmarkStart w:id="726" w:name="_Toc433972877"/>
      <w:bookmarkStart w:id="727" w:name="_Toc433973886"/>
      <w:bookmarkStart w:id="728" w:name="_Toc433974877"/>
      <w:bookmarkStart w:id="729" w:name="_Toc433972878"/>
      <w:bookmarkStart w:id="730" w:name="_Toc433973887"/>
      <w:bookmarkStart w:id="731" w:name="_Toc433974878"/>
      <w:bookmarkStart w:id="732" w:name="_Toc433972881"/>
      <w:bookmarkStart w:id="733" w:name="_Toc433973890"/>
      <w:bookmarkStart w:id="734" w:name="_Toc433974881"/>
      <w:bookmarkStart w:id="735" w:name="_Ref454808226"/>
      <w:bookmarkStart w:id="736" w:name="_Ref454808247"/>
      <w:bookmarkStart w:id="737" w:name="_Ref454808267"/>
      <w:bookmarkStart w:id="738" w:name="_Ref454808403"/>
      <w:bookmarkStart w:id="739" w:name="_Toc111118501"/>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t>Untertägige Verpflichtungen</w:t>
      </w:r>
      <w:r w:rsidRPr="008F312A">
        <w:t xml:space="preserve"> für Erdgasbilanzkreise</w:t>
      </w:r>
      <w:bookmarkEnd w:id="735"/>
      <w:bookmarkEnd w:id="736"/>
      <w:bookmarkEnd w:id="737"/>
      <w:bookmarkEnd w:id="738"/>
      <w:bookmarkEnd w:id="739"/>
    </w:p>
    <w:p w14:paraId="5369202A" w14:textId="77777777" w:rsidR="005E67F7" w:rsidRDefault="005E67F7" w:rsidP="003C2438">
      <w:r w:rsidRPr="000F3C00">
        <w:t>Im Rahmen des untertägigen Anreizsystems saldiert der MGV in jeder Stunde alle allokierten Ein- und Ausspeisungen je Rechnungsbilanzkreis. Etwaige Salden (Abweichun</w:t>
      </w:r>
      <w:r w:rsidRPr="0045245E">
        <w:t>g</w:t>
      </w:r>
      <w:r w:rsidRPr="00677174">
        <w:t xml:space="preserve">en </w:t>
      </w:r>
      <w:r>
        <w:t xml:space="preserve">pro </w:t>
      </w:r>
      <w:proofErr w:type="spellStart"/>
      <w:r>
        <w:t>Stun</w:t>
      </w:r>
      <w:proofErr w:type="spellEnd"/>
      <w:r w:rsidR="00D10151">
        <w:t>-</w:t>
      </w:r>
      <w:r>
        <w:t xml:space="preserve">de </w:t>
      </w:r>
      <w:r w:rsidRPr="000F3C00">
        <w:t xml:space="preserve">zwischen Ein- und Ausspeisungen) werden über den </w:t>
      </w:r>
      <w:proofErr w:type="spellStart"/>
      <w:r w:rsidRPr="000F3C00">
        <w:t>Gastag</w:t>
      </w:r>
      <w:proofErr w:type="spellEnd"/>
      <w:r w:rsidRPr="000F3C00">
        <w:t xml:space="preserve"> kumuliert betrachtet. Für die kumulierte Abweichung hat der BKV, unter Berücksichtigung einer </w:t>
      </w:r>
      <w:r w:rsidR="00824524">
        <w:t>ZRT-abhängigen</w:t>
      </w:r>
      <w:r w:rsidR="00824524" w:rsidRPr="000F3C00">
        <w:t xml:space="preserve"> </w:t>
      </w:r>
      <w:r w:rsidRPr="000F3C00">
        <w:t>Toleranz, einen Flexibilitätskostenbeitrag in Euro je MWh an den MGV zu zahlen</w:t>
      </w:r>
      <w:r>
        <w:t xml:space="preserve">. </w:t>
      </w:r>
      <w:r w:rsidR="000013F7">
        <w:t xml:space="preserve">Die Toleranz ergibt sich aus der Aggregation der ausgespeisten Tagesmenge gleichverteilt für den gesamten </w:t>
      </w:r>
      <w:proofErr w:type="spellStart"/>
      <w:r w:rsidR="000013F7">
        <w:t>Gastag</w:t>
      </w:r>
      <w:proofErr w:type="spellEnd"/>
      <w:r w:rsidR="000013F7">
        <w:t xml:space="preserve">. </w:t>
      </w:r>
      <w:r>
        <w:t xml:space="preserve">Der Flexibilitätskostenbeitrag wird allerdings nur vom MGV gegenüber dem BKV des Rechnungsbilanzkreises erhoben, wenn durch einen </w:t>
      </w:r>
      <w:r>
        <w:lastRenderedPageBreak/>
        <w:t>gegenläufigen Regelenergieeinsatz Kosten für das Marktgebiet entstanden sind.</w:t>
      </w:r>
      <w:r w:rsidR="00176E7F">
        <w:t xml:space="preserve"> Untertägige Verpflichtungen finden auf Biogas-BK keine Anwendung.</w:t>
      </w:r>
    </w:p>
    <w:p w14:paraId="0303BBCF" w14:textId="6811E701" w:rsidR="009070F6" w:rsidRDefault="009070F6" w:rsidP="009070F6">
      <w:bookmarkStart w:id="740" w:name="_Toc410129192"/>
      <w:r>
        <w:t>Die Berechnung der Toleranzen und des Flexibilitätskostenbeitrags erfolgt auf Rechnungsbilanzkreisebene. Dabei werden die kumulierten stündlichen Salden zwischen Ein- und Ausspeisungen aller untergeordneten Bilanzkreise mit dem kumulierten stündlichen Saldo zwischen Ein- und Ausspeisungen des Rechnungsbilanzkreises verrechnet. Des Weiteren erfolgt eine Meldung der sich aus untergeordneten Bilanzkreisen ergebenden Toleranzen und des kumulierten Betrags der stündlichen Überschreitungen an übergeordnete Bilanzkreise.</w:t>
      </w:r>
    </w:p>
    <w:p w14:paraId="4148B1CA" w14:textId="77777777" w:rsidR="009070F6" w:rsidRDefault="00BC02FB" w:rsidP="009070F6">
      <w:pPr>
        <w:keepNext/>
      </w:pPr>
      <w:bookmarkStart w:id="741" w:name="_Toc412661347"/>
      <w:r w:rsidRPr="00BC02FB">
        <w:rPr>
          <w:noProof/>
        </w:rPr>
        <w:drawing>
          <wp:inline distT="0" distB="0" distL="0" distR="0" wp14:anchorId="71B4B9AC" wp14:editId="3D43DD1E">
            <wp:extent cx="5759450" cy="3686925"/>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59450" cy="3686925"/>
                    </a:xfrm>
                    <a:prstGeom prst="rect">
                      <a:avLst/>
                    </a:prstGeom>
                    <a:noFill/>
                  </pic:spPr>
                </pic:pic>
              </a:graphicData>
            </a:graphic>
          </wp:inline>
        </w:drawing>
      </w:r>
    </w:p>
    <w:p w14:paraId="1CD97811" w14:textId="30433D3C" w:rsidR="009070F6" w:rsidRPr="00B76A90" w:rsidRDefault="009070F6" w:rsidP="009070F6">
      <w:pPr>
        <w:pStyle w:val="Abbildung"/>
        <w:spacing w:before="360" w:after="240"/>
        <w:rPr>
          <w:b/>
        </w:rPr>
      </w:pPr>
      <w:bookmarkStart w:id="742" w:name="_Toc437530339"/>
      <w:bookmarkStart w:id="743" w:name="_Toc111118610"/>
      <w:bookmarkStart w:id="744" w:name="_Toc111196156"/>
      <w:r w:rsidRPr="00B76A90">
        <w:rPr>
          <w:b/>
        </w:rPr>
        <w:t xml:space="preserve">Abbildung </w:t>
      </w:r>
      <w:r w:rsidR="00561FFA" w:rsidRPr="00B76A90">
        <w:rPr>
          <w:b/>
        </w:rPr>
        <w:fldChar w:fldCharType="begin"/>
      </w:r>
      <w:r w:rsidRPr="00B76A90">
        <w:rPr>
          <w:b/>
        </w:rPr>
        <w:instrText xml:space="preserve"> SEQ Abbildung \* ARABIC </w:instrText>
      </w:r>
      <w:r w:rsidR="00561FFA" w:rsidRPr="00B76A90">
        <w:rPr>
          <w:b/>
        </w:rPr>
        <w:fldChar w:fldCharType="separate"/>
      </w:r>
      <w:r w:rsidR="00D400FA">
        <w:rPr>
          <w:b/>
        </w:rPr>
        <w:t>27</w:t>
      </w:r>
      <w:r w:rsidR="00561FFA" w:rsidRPr="00B76A90">
        <w:rPr>
          <w:b/>
        </w:rPr>
        <w:fldChar w:fldCharType="end"/>
      </w:r>
      <w:r w:rsidRPr="00B76A90">
        <w:rPr>
          <w:b/>
        </w:rPr>
        <w:t>:</w:t>
      </w:r>
      <w:r w:rsidRPr="005304C6">
        <w:rPr>
          <w:b/>
          <w:bCs/>
        </w:rPr>
        <w:t xml:space="preserve"> </w:t>
      </w:r>
      <w:r w:rsidRPr="00D10151">
        <w:rPr>
          <w:b/>
          <w:bCs/>
        </w:rPr>
        <w:t>Kaskadische Bilanzkreiskonstruktion</w:t>
      </w:r>
      <w:r>
        <w:rPr>
          <w:b/>
          <w:bCs/>
        </w:rPr>
        <w:t xml:space="preserve"> – Zeitreihen Untertägige Verpflichtung</w:t>
      </w:r>
      <w:bookmarkEnd w:id="742"/>
      <w:bookmarkEnd w:id="743"/>
      <w:bookmarkEnd w:id="744"/>
    </w:p>
    <w:p w14:paraId="5DDFDAF2" w14:textId="77777777" w:rsidR="005E67F7" w:rsidRPr="00CC495C" w:rsidRDefault="005E67F7" w:rsidP="003C2438">
      <w:pPr>
        <w:pStyle w:val="berschrift3"/>
        <w:tabs>
          <w:tab w:val="num" w:pos="1106"/>
        </w:tabs>
        <w:spacing w:before="480"/>
        <w:ind w:left="1134" w:hanging="1094"/>
      </w:pPr>
      <w:bookmarkStart w:id="745" w:name="_Toc111118502"/>
      <w:r>
        <w:t>Ermittlung von Toleranzen</w:t>
      </w:r>
      <w:bookmarkEnd w:id="740"/>
      <w:bookmarkEnd w:id="741"/>
      <w:r w:rsidR="00902DAD">
        <w:t xml:space="preserve"> für </w:t>
      </w:r>
      <w:r w:rsidR="001E03E5">
        <w:t>Zeitreihentypen</w:t>
      </w:r>
      <w:bookmarkEnd w:id="745"/>
    </w:p>
    <w:p w14:paraId="6FDF6DA6" w14:textId="77777777" w:rsidR="005E67F7" w:rsidRDefault="005E67F7" w:rsidP="003C2438">
      <w:pPr>
        <w:spacing w:before="120"/>
      </w:pPr>
      <w:r w:rsidRPr="00AF50DC">
        <w:t xml:space="preserve">Der MGV ermittelt Toleranzen auf Basis der in den </w:t>
      </w:r>
      <w:r>
        <w:t>BK</w:t>
      </w:r>
      <w:r w:rsidRPr="00AF50DC">
        <w:t xml:space="preserve"> allokierten RLM-Zeitreihentypen </w:t>
      </w:r>
      <w:proofErr w:type="spellStart"/>
      <w:r w:rsidRPr="00AF50DC">
        <w:t>RLMmT</w:t>
      </w:r>
      <w:proofErr w:type="spellEnd"/>
      <w:r w:rsidRPr="00AF50DC">
        <w:t xml:space="preserve"> und </w:t>
      </w:r>
      <w:proofErr w:type="spellStart"/>
      <w:r w:rsidRPr="00AF50DC">
        <w:t>RLMoT</w:t>
      </w:r>
      <w:proofErr w:type="spellEnd"/>
      <w:r w:rsidRPr="00AF50DC">
        <w:t xml:space="preserve">. </w:t>
      </w:r>
      <w:r>
        <w:t>Relevant ist nur die allokierte</w:t>
      </w:r>
      <w:r w:rsidR="006A64D8">
        <w:t>,</w:t>
      </w:r>
      <w:r>
        <w:t xml:space="preserve"> ersatzwertkorrigierte </w:t>
      </w:r>
      <w:r w:rsidR="00393C2F">
        <w:t xml:space="preserve">und mit Bilanzierungsbrennwert umgewertete </w:t>
      </w:r>
      <w:r>
        <w:t>Entnahmemenge in einen BK.</w:t>
      </w:r>
    </w:p>
    <w:p w14:paraId="697E5D2F" w14:textId="1612CC98" w:rsidR="00E157A6" w:rsidRDefault="007478B4" w:rsidP="003C2438">
      <w:pPr>
        <w:pStyle w:val="Aufzhlungszeichen"/>
        <w:numPr>
          <w:ilvl w:val="0"/>
          <w:numId w:val="0"/>
        </w:numPr>
      </w:pPr>
      <w:r>
        <w:lastRenderedPageBreak/>
        <w:t>Für alle</w:t>
      </w:r>
      <w:r w:rsidR="005E67F7">
        <w:t xml:space="preserve"> </w:t>
      </w:r>
      <w:r w:rsidR="006A64D8">
        <w:t>RLM</w:t>
      </w:r>
      <w:r w:rsidR="00A21C28" w:rsidRPr="00A21C28">
        <w:t xml:space="preserve"> </w:t>
      </w:r>
      <w:r w:rsidR="00A21C28">
        <w:t>Marktlokationen</w:t>
      </w:r>
      <w:r>
        <w:t xml:space="preserve"> (</w:t>
      </w:r>
      <w:proofErr w:type="spellStart"/>
      <w:r>
        <w:t>RLMmT</w:t>
      </w:r>
      <w:proofErr w:type="spellEnd"/>
      <w:r>
        <w:t xml:space="preserve"> und </w:t>
      </w:r>
      <w:proofErr w:type="spellStart"/>
      <w:r>
        <w:t>RLMoT</w:t>
      </w:r>
      <w:proofErr w:type="spellEnd"/>
      <w:r>
        <w:t>)</w:t>
      </w:r>
      <w:r w:rsidR="00902DAD">
        <w:t xml:space="preserve"> </w:t>
      </w:r>
      <w:r w:rsidR="005E67F7">
        <w:t xml:space="preserve">wird </w:t>
      </w:r>
      <w:r w:rsidR="009A24D3">
        <w:t xml:space="preserve">eine </w:t>
      </w:r>
      <w:r w:rsidR="005E67F7">
        <w:t>Toleranz</w:t>
      </w:r>
      <w:r>
        <w:t xml:space="preserve"> in Höhe von</w:t>
      </w:r>
      <w:r w:rsidR="002D20C0" w:rsidRPr="00000573">
        <w:rPr>
          <w:rFonts w:cs="Arial"/>
        </w:rPr>
        <w:br/>
      </w:r>
      <w:r>
        <w:t>+</w:t>
      </w:r>
      <w:r w:rsidR="002D20C0">
        <w:t xml:space="preserve"> / - </w:t>
      </w:r>
      <w:r>
        <w:t>7,5</w:t>
      </w:r>
      <w:r w:rsidR="002D20C0">
        <w:t xml:space="preserve"> </w:t>
      </w:r>
      <w:r>
        <w:t>%</w:t>
      </w:r>
      <w:r w:rsidR="005E67F7">
        <w:t xml:space="preserve"> der</w:t>
      </w:r>
      <w:r>
        <w:t xml:space="preserve"> je BK aggregierten</w:t>
      </w:r>
      <w:r w:rsidR="005E67F7">
        <w:t xml:space="preserve"> ausgespeisten</w:t>
      </w:r>
      <w:r>
        <w:t xml:space="preserve"> </w:t>
      </w:r>
      <w:r w:rsidR="005E67F7">
        <w:t xml:space="preserve">Tagesmenge auf jede Stunde innerhalb des ganzen </w:t>
      </w:r>
      <w:proofErr w:type="spellStart"/>
      <w:r w:rsidR="005E67F7">
        <w:t>Gastages</w:t>
      </w:r>
      <w:proofErr w:type="spellEnd"/>
      <w:r w:rsidR="005E67F7">
        <w:t xml:space="preserve"> gleichverteilt („Toleranzband“).</w:t>
      </w:r>
    </w:p>
    <w:p w14:paraId="2FC9B2DC" w14:textId="77777777" w:rsidR="005E67F7" w:rsidRPr="00CC495C" w:rsidRDefault="005E67F7" w:rsidP="003C2438">
      <w:pPr>
        <w:pStyle w:val="berschrift3"/>
        <w:tabs>
          <w:tab w:val="num" w:pos="1106"/>
        </w:tabs>
        <w:spacing w:before="480"/>
        <w:ind w:left="1134" w:hanging="1094"/>
      </w:pPr>
      <w:bookmarkStart w:id="746" w:name="_Toc410129193"/>
      <w:bookmarkStart w:id="747" w:name="_Toc412661348"/>
      <w:bookmarkStart w:id="748" w:name="_Toc111118503"/>
      <w:r>
        <w:t>Berechnung der Flexibilitätskosten</w:t>
      </w:r>
      <w:bookmarkEnd w:id="746"/>
      <w:bookmarkEnd w:id="747"/>
      <w:bookmarkEnd w:id="748"/>
    </w:p>
    <w:p w14:paraId="67DF7324" w14:textId="27905845" w:rsidR="005E67F7" w:rsidRDefault="005E67F7" w:rsidP="003C2438">
      <w:r w:rsidRPr="0004520F">
        <w:t>Die Menge, für die der Flexibilitätskostenbeitrag zu entrichten ist, wird als „bilanzielle Flexibilitätsmenge“ bezeichnet. Die bilanzielle Flexibilitätsmenge wird richtungsunabhängig addiert, d.</w:t>
      </w:r>
      <w:r w:rsidR="00E143BB">
        <w:t> </w:t>
      </w:r>
      <w:r w:rsidRPr="0004520F">
        <w:t xml:space="preserve">h. stündliche Über- und Unterspeisungen werden – nach Abzug einer eventuell gewährten Toleranz – </w:t>
      </w:r>
      <w:r>
        <w:t xml:space="preserve">dem Betrag nach durch den MGV </w:t>
      </w:r>
      <w:r w:rsidRPr="0004520F">
        <w:t>addiert.</w:t>
      </w:r>
    </w:p>
    <w:p w14:paraId="02512863" w14:textId="67972036" w:rsidR="006E3950" w:rsidRDefault="005E67F7" w:rsidP="007F76BC">
      <w:pPr>
        <w:pStyle w:val="Listenabsatz"/>
        <w:numPr>
          <w:ilvl w:val="0"/>
          <w:numId w:val="47"/>
        </w:numPr>
        <w:ind w:left="284" w:hanging="284"/>
        <w:contextualSpacing w:val="0"/>
      </w:pPr>
      <w:r w:rsidRPr="0004520F">
        <w:t xml:space="preserve">Die Flexibilitätskosten für den </w:t>
      </w:r>
      <w:r>
        <w:t>BKV</w:t>
      </w:r>
      <w:r w:rsidRPr="0004520F">
        <w:t xml:space="preserve"> ergeben sich aus dem Flexibilitätskostenbeitrag multipliziert mit der bilanziellen Flexibilitätsmenge.</w:t>
      </w:r>
    </w:p>
    <w:p w14:paraId="7E871E8D" w14:textId="2BBBACF5" w:rsidR="006E3950" w:rsidRDefault="005E67F7" w:rsidP="007F76BC">
      <w:pPr>
        <w:pStyle w:val="Listenabsatz"/>
        <w:numPr>
          <w:ilvl w:val="0"/>
          <w:numId w:val="47"/>
        </w:numPr>
        <w:ind w:left="284" w:hanging="284"/>
        <w:contextualSpacing w:val="0"/>
      </w:pPr>
      <w:r w:rsidRPr="0004520F">
        <w:t>Der Flexibilitätskostenbeitrag errechnet sich aus den Kosten der Flexibilitätsregelenergie</w:t>
      </w:r>
      <w:r w:rsidR="00D10151">
        <w:t>-</w:t>
      </w:r>
      <w:proofErr w:type="spellStart"/>
      <w:r w:rsidRPr="0004520F">
        <w:t>menge</w:t>
      </w:r>
      <w:proofErr w:type="spellEnd"/>
      <w:r w:rsidRPr="0004520F">
        <w:t xml:space="preserve"> </w:t>
      </w:r>
      <w:r>
        <w:t>dividiert</w:t>
      </w:r>
      <w:r w:rsidRPr="0004520F">
        <w:t xml:space="preserve"> durch die Menge an Flexibilitätsregelenergie</w:t>
      </w:r>
      <w:r>
        <w:t>.</w:t>
      </w:r>
    </w:p>
    <w:p w14:paraId="20ABF718" w14:textId="77777777" w:rsidR="006E3950" w:rsidRDefault="005E67F7" w:rsidP="007F76BC">
      <w:pPr>
        <w:pStyle w:val="Listenabsatz"/>
        <w:numPr>
          <w:ilvl w:val="0"/>
          <w:numId w:val="47"/>
        </w:numPr>
        <w:tabs>
          <w:tab w:val="left" w:pos="0"/>
        </w:tabs>
        <w:ind w:left="284" w:hanging="284"/>
        <w:contextualSpacing w:val="0"/>
      </w:pPr>
      <w:r w:rsidRPr="0004520F">
        <w:t>Die Kosten der Flexibilitätsregelenergie wiederum ergeben sich als Differenz zwischen dem mengengewichteten Durchschnittspreis der Regelenergieeinkäufe abzüglich des mengengewichteten Durchschnittspreises der Regelenergieverkäufe multipliziert mit dem kleineren Betrag der gegenläufigen Regelenergiemengen.</w:t>
      </w:r>
    </w:p>
    <w:p w14:paraId="00332578" w14:textId="59E6F7B6" w:rsidR="006E3950" w:rsidRDefault="005E67F7" w:rsidP="007F76BC">
      <w:pPr>
        <w:pStyle w:val="Listenabsatz"/>
        <w:numPr>
          <w:ilvl w:val="0"/>
          <w:numId w:val="47"/>
        </w:numPr>
        <w:tabs>
          <w:tab w:val="left" w:pos="0"/>
        </w:tabs>
        <w:ind w:left="284" w:hanging="284"/>
        <w:contextualSpacing w:val="0"/>
      </w:pPr>
      <w:r w:rsidRPr="0004520F">
        <w:t xml:space="preserve">Die Menge der Flexibilitätsregelenergie ergibt sich aus dem kleineren Betrag der </w:t>
      </w:r>
      <w:r w:rsidR="001073DB" w:rsidRPr="0004520F">
        <w:t>gegenläufig</w:t>
      </w:r>
      <w:r w:rsidR="001073DB">
        <w:t xml:space="preserve"> über MOL Rang 1 beschafften</w:t>
      </w:r>
      <w:r w:rsidR="001073DB" w:rsidRPr="0004520F">
        <w:t xml:space="preserve"> </w:t>
      </w:r>
      <w:r w:rsidRPr="0004520F">
        <w:t>Regelenergiemenge multipliziert mit zwei</w:t>
      </w:r>
      <w:r w:rsidR="006A64D8">
        <w:t>, da die Menge einmal verkauft und einmal gekauft wurde</w:t>
      </w:r>
      <w:r w:rsidRPr="0004520F">
        <w:t>.</w:t>
      </w:r>
    </w:p>
    <w:p w14:paraId="45312697" w14:textId="0A587A09" w:rsidR="00E157A6" w:rsidRDefault="00D1748E" w:rsidP="006700A0">
      <w:pPr>
        <w:tabs>
          <w:tab w:val="left" w:pos="0"/>
        </w:tabs>
      </w:pPr>
      <w:r>
        <w:t>Der</w:t>
      </w:r>
      <w:r w:rsidR="005E67F7" w:rsidRPr="000F3C00">
        <w:t xml:space="preserve"> </w:t>
      </w:r>
      <w:r w:rsidR="005E67F7">
        <w:t>MGV</w:t>
      </w:r>
      <w:r w:rsidR="005E67F7" w:rsidRPr="000F3C00">
        <w:t xml:space="preserve"> </w:t>
      </w:r>
      <w:r>
        <w:t xml:space="preserve">erhebt </w:t>
      </w:r>
      <w:r w:rsidR="005E67F7" w:rsidRPr="000F3C00">
        <w:t>nur an den Tagen einen Flexibilitätskostenbeitrag, an denen im Marktgebiet ein gegenläufiger Regelenergieeins</w:t>
      </w:r>
      <w:r w:rsidR="005E67F7">
        <w:t>atz (Einkauf und Verkauf von Re</w:t>
      </w:r>
      <w:r w:rsidR="005E67F7" w:rsidRPr="000F3C00">
        <w:t xml:space="preserve">gelenergie) über MOL Rang 1 vorgelegen hat und dem </w:t>
      </w:r>
      <w:r w:rsidR="005E67F7">
        <w:t xml:space="preserve">MGV </w:t>
      </w:r>
      <w:r w:rsidR="005E67F7" w:rsidRPr="000F3C00">
        <w:t xml:space="preserve">hierdurch Kosten entstanden sind. An </w:t>
      </w:r>
      <w:proofErr w:type="spellStart"/>
      <w:r w:rsidR="005E67F7" w:rsidRPr="000F3C00">
        <w:t>Gastagen</w:t>
      </w:r>
      <w:proofErr w:type="spellEnd"/>
      <w:r w:rsidR="005E67F7" w:rsidRPr="000F3C00">
        <w:t>, an denen diese beiden Kriterien nicht erfüllt werden, ist kein Flexibilitätskostenbeitrag zu er</w:t>
      </w:r>
      <w:r w:rsidR="006700A0">
        <w:t>heben.</w:t>
      </w:r>
    </w:p>
    <w:p w14:paraId="09A238F7" w14:textId="77777777" w:rsidR="005E67F7" w:rsidRDefault="005E67F7" w:rsidP="006700A0">
      <w:pPr>
        <w:pStyle w:val="berschrift3"/>
        <w:tabs>
          <w:tab w:val="num" w:pos="1106"/>
        </w:tabs>
        <w:spacing w:before="480"/>
        <w:ind w:left="1134" w:hanging="1094"/>
      </w:pPr>
      <w:bookmarkStart w:id="749" w:name="_Toc410129194"/>
      <w:bookmarkStart w:id="750" w:name="_Toc412661349"/>
      <w:bookmarkStart w:id="751" w:name="_Toc111118504"/>
      <w:r>
        <w:t>Beispiel zur Berechnung der Flexibilitätskosten</w:t>
      </w:r>
      <w:bookmarkEnd w:id="749"/>
      <w:bookmarkEnd w:id="750"/>
      <w:bookmarkEnd w:id="751"/>
    </w:p>
    <w:p w14:paraId="366B85CF" w14:textId="77777777" w:rsidR="00692E23" w:rsidRPr="00692E23" w:rsidRDefault="005E67F7" w:rsidP="006700A0">
      <w:pPr>
        <w:pStyle w:val="Aufzhlungszeichen"/>
        <w:keepNext/>
        <w:numPr>
          <w:ilvl w:val="0"/>
          <w:numId w:val="0"/>
        </w:numPr>
        <w:tabs>
          <w:tab w:val="left" w:pos="0"/>
        </w:tabs>
        <w:spacing w:before="240"/>
      </w:pPr>
      <w:r>
        <w:t>In dem Folgenden Beispiel werden die erforderlichen Schritte zur Berechnung der Flexibilitätskosten zwischen MGV und BKV dargestellt.</w:t>
      </w:r>
      <w:r w:rsidR="00561FFA" w:rsidRPr="00B027D5">
        <w:fldChar w:fldCharType="begin"/>
      </w:r>
      <w:r w:rsidR="00FD24EB" w:rsidRPr="00B027D5">
        <w:instrText xml:space="preserve"> REF _Ref412060919 \h  \* MERGEFORMAT </w:instrText>
      </w:r>
      <w:r w:rsidR="00561FFA" w:rsidRPr="00B027D5">
        <w:fldChar w:fldCharType="separate"/>
      </w:r>
    </w:p>
    <w:p w14:paraId="791E14C2" w14:textId="552A707E" w:rsidR="00E157A6" w:rsidRDefault="00692E23" w:rsidP="003C2438">
      <w:r w:rsidRPr="00692E23">
        <w:t>Abbildung</w:t>
      </w:r>
      <w:r w:rsidRPr="00692E23">
        <w:rPr>
          <w:noProof/>
        </w:rPr>
        <w:t xml:space="preserve"> 28</w:t>
      </w:r>
      <w:r w:rsidR="00561FFA" w:rsidRPr="00B027D5">
        <w:fldChar w:fldCharType="end"/>
      </w:r>
      <w:r w:rsidR="0012763D" w:rsidRPr="00B027D5">
        <w:t xml:space="preserve"> </w:t>
      </w:r>
      <w:r w:rsidR="00781F23" w:rsidRPr="00B027D5">
        <w:t>s</w:t>
      </w:r>
      <w:r w:rsidR="00781F23">
        <w:t xml:space="preserve">tellt </w:t>
      </w:r>
      <w:r w:rsidR="005E67F7">
        <w:t>das zugehörige Zahlenbeispiel dar.</w:t>
      </w:r>
    </w:p>
    <w:p w14:paraId="120F5782" w14:textId="77777777" w:rsidR="005E67F7" w:rsidRDefault="005E67F7" w:rsidP="003C2438">
      <w:pPr>
        <w:pStyle w:val="Aufzhlungszeichen"/>
        <w:numPr>
          <w:ilvl w:val="0"/>
          <w:numId w:val="0"/>
        </w:numPr>
        <w:ind w:left="993" w:hanging="993"/>
        <w:rPr>
          <w:u w:val="single"/>
        </w:rPr>
      </w:pPr>
      <w:r w:rsidRPr="00677174">
        <w:rPr>
          <w:u w:val="single"/>
        </w:rPr>
        <w:t xml:space="preserve">Schritt </w:t>
      </w:r>
      <w:r>
        <w:rPr>
          <w:u w:val="single"/>
        </w:rPr>
        <w:t>I. (Ermittlung von Ein- und Ausspeisungen)</w:t>
      </w:r>
      <w:r w:rsidRPr="00677174">
        <w:rPr>
          <w:u w:val="single"/>
        </w:rPr>
        <w:t>:</w:t>
      </w:r>
    </w:p>
    <w:p w14:paraId="719CC19B" w14:textId="77777777" w:rsidR="00E157A6" w:rsidRDefault="005E67F7" w:rsidP="003C2438">
      <w:pPr>
        <w:pStyle w:val="Aufzhlungszeichen"/>
      </w:pPr>
      <w:r>
        <w:t>Die Tagessummen der bilanzkreisrelevanten Ein- und Ausspeisungen werden je BK durch den MGV ermittelt</w:t>
      </w:r>
      <w:r w:rsidR="009530FA">
        <w:t xml:space="preserve"> (BKSALD)</w:t>
      </w:r>
      <w:r w:rsidR="00D10151">
        <w:t>.</w:t>
      </w:r>
    </w:p>
    <w:p w14:paraId="25BC5E08" w14:textId="0CB9F09D" w:rsidR="005E67F7" w:rsidRDefault="005E67F7" w:rsidP="003C2438">
      <w:pPr>
        <w:pStyle w:val="Aufzhlungszeichen"/>
        <w:numPr>
          <w:ilvl w:val="0"/>
          <w:numId w:val="0"/>
        </w:numPr>
        <w:ind w:left="993" w:hanging="993"/>
        <w:rPr>
          <w:u w:val="single"/>
        </w:rPr>
      </w:pPr>
      <w:r>
        <w:rPr>
          <w:u w:val="single"/>
        </w:rPr>
        <w:t>Schritt II. (Ermittlung kumulierter Bilanzkreis-Saldo):</w:t>
      </w:r>
    </w:p>
    <w:p w14:paraId="46702329" w14:textId="77777777" w:rsidR="005E67F7" w:rsidRDefault="005E67F7" w:rsidP="003C2438">
      <w:pPr>
        <w:pStyle w:val="Aufzhlungszeichen"/>
      </w:pPr>
      <w:r>
        <w:lastRenderedPageBreak/>
        <w:t>Bezogen auf die Tagessumme der RLM Ausspeisemengen (</w:t>
      </w:r>
      <w:proofErr w:type="spellStart"/>
      <w:r>
        <w:t>RLMmT</w:t>
      </w:r>
      <w:proofErr w:type="spellEnd"/>
      <w:r w:rsidR="006A64D8">
        <w:t xml:space="preserve"> und </w:t>
      </w:r>
      <w:proofErr w:type="spellStart"/>
      <w:r>
        <w:t>RLMoT</w:t>
      </w:r>
      <w:proofErr w:type="spellEnd"/>
      <w:r>
        <w:t>) erhält der BKV je Stun</w:t>
      </w:r>
      <w:r w:rsidR="008F0645">
        <w:t xml:space="preserve">de eine Toleranz </w:t>
      </w:r>
      <w:proofErr w:type="spellStart"/>
      <w:r w:rsidR="008F0645">
        <w:t>i.H.V</w:t>
      </w:r>
      <w:proofErr w:type="spellEnd"/>
      <w:r w:rsidR="008F0645">
        <w:t xml:space="preserve"> +/- 7,5 </w:t>
      </w:r>
      <w:r>
        <w:t>Prozent</w:t>
      </w:r>
      <w:r w:rsidR="00D10151">
        <w:t>.</w:t>
      </w:r>
    </w:p>
    <w:p w14:paraId="5701B5F5" w14:textId="77777777" w:rsidR="005E67F7" w:rsidRDefault="005E67F7" w:rsidP="003C2438">
      <w:pPr>
        <w:pStyle w:val="Aufzhlungszeichen"/>
      </w:pPr>
      <w:r>
        <w:t xml:space="preserve">Dadurch steht dem BKV ein stündliches Toleranzband in gleicher Höhe für den gesamten </w:t>
      </w:r>
      <w:proofErr w:type="spellStart"/>
      <w:r>
        <w:t>Gastag</w:t>
      </w:r>
      <w:proofErr w:type="spellEnd"/>
      <w:r>
        <w:t xml:space="preserve"> zur Verfügung</w:t>
      </w:r>
      <w:r w:rsidR="009530FA">
        <w:t xml:space="preserve"> (BKTOL)</w:t>
      </w:r>
      <w:r w:rsidR="00D10151">
        <w:t>.</w:t>
      </w:r>
    </w:p>
    <w:p w14:paraId="77AE5E94" w14:textId="77777777" w:rsidR="00E157A6" w:rsidRDefault="005E67F7" w:rsidP="003C2438">
      <w:pPr>
        <w:pStyle w:val="Aufzhlungszeichen"/>
      </w:pPr>
      <w:r>
        <w:t xml:space="preserve">Zudem ermittelt der MGV für jede Stunde innerhalb eines </w:t>
      </w:r>
      <w:proofErr w:type="spellStart"/>
      <w:r>
        <w:t>Gastages</w:t>
      </w:r>
      <w:proofErr w:type="spellEnd"/>
      <w:r>
        <w:t xml:space="preserve"> </w:t>
      </w:r>
      <w:r w:rsidR="006A64D8">
        <w:t xml:space="preserve">den </w:t>
      </w:r>
      <w:r>
        <w:t xml:space="preserve">Saldo aus Ein- und Ausspeisungen innerhalb des BK und kumuliert die BK-Salden bis zum Ende des </w:t>
      </w:r>
      <w:proofErr w:type="spellStart"/>
      <w:r>
        <w:t>Gastages</w:t>
      </w:r>
      <w:proofErr w:type="spellEnd"/>
      <w:r w:rsidR="009530FA">
        <w:t xml:space="preserve"> (BKKUM)</w:t>
      </w:r>
      <w:r w:rsidR="00D10151">
        <w:t>.</w:t>
      </w:r>
    </w:p>
    <w:p w14:paraId="776F4727" w14:textId="77777777" w:rsidR="005E67F7" w:rsidRDefault="005E67F7" w:rsidP="003C2438">
      <w:pPr>
        <w:pStyle w:val="Aufzhlungszeichen"/>
        <w:numPr>
          <w:ilvl w:val="0"/>
          <w:numId w:val="0"/>
        </w:numPr>
        <w:rPr>
          <w:u w:val="single"/>
        </w:rPr>
      </w:pPr>
      <w:r w:rsidRPr="00677174">
        <w:rPr>
          <w:u w:val="single"/>
        </w:rPr>
        <w:t xml:space="preserve">Schritt </w:t>
      </w:r>
      <w:r>
        <w:rPr>
          <w:u w:val="single"/>
        </w:rPr>
        <w:t>III.</w:t>
      </w:r>
      <w:r w:rsidRPr="00677174">
        <w:rPr>
          <w:u w:val="single"/>
        </w:rPr>
        <w:t xml:space="preserve"> (bilanzielle Flexibilitätsmenge):</w:t>
      </w:r>
    </w:p>
    <w:p w14:paraId="030998E2" w14:textId="77777777" w:rsidR="005E67F7" w:rsidRDefault="005E67F7" w:rsidP="003C2438">
      <w:pPr>
        <w:pStyle w:val="Aufzhlungszeichen"/>
      </w:pPr>
      <w:r>
        <w:t>Für die jeweiligen Stunden in denen die kumulierten BK-Salden oberhalb des Toleranzbandes liegen</w:t>
      </w:r>
      <w:r w:rsidR="009530FA">
        <w:t xml:space="preserve"> (UETOL)</w:t>
      </w:r>
      <w:r>
        <w:t>, werden die Überschreitungsmengen bis zur Toleranzhöhe als bilanzie</w:t>
      </w:r>
      <w:r w:rsidR="00D10151">
        <w:t>lle Flexibilitätsmenge erfasst.</w:t>
      </w:r>
    </w:p>
    <w:p w14:paraId="223AD75E" w14:textId="77777777" w:rsidR="00F9380C" w:rsidRDefault="005E67F7" w:rsidP="003C2438">
      <w:pPr>
        <w:pStyle w:val="Aufzhlungszeichen"/>
        <w:tabs>
          <w:tab w:val="left" w:pos="0"/>
        </w:tabs>
      </w:pPr>
      <w:r>
        <w:t xml:space="preserve">Die bilanziellen Flexibilitätsmengen je Stunde werden bis zum Ende des </w:t>
      </w:r>
      <w:proofErr w:type="spellStart"/>
      <w:r>
        <w:t>Gastages</w:t>
      </w:r>
      <w:proofErr w:type="spellEnd"/>
      <w:r>
        <w:t xml:space="preserve"> kumuliert</w:t>
      </w:r>
      <w:r w:rsidR="00D561CE">
        <w:t xml:space="preserve"> (BKFLEX)</w:t>
      </w:r>
      <w:r>
        <w:t>.</w:t>
      </w:r>
      <w:r w:rsidRPr="00ED354D">
        <w:t xml:space="preserve"> </w:t>
      </w:r>
      <w:r>
        <w:t>Eine Unterschreitung des Toleranzbandes führt hingegen nicht zu einer Reduzierung der kumulierten bilanziellen Flexibilitätsmengen</w:t>
      </w:r>
      <w:r w:rsidR="00D10151">
        <w:rPr>
          <w:noProof/>
          <w:lang w:eastAsia="en-US"/>
        </w:rPr>
        <w:t>.</w:t>
      </w:r>
    </w:p>
    <w:p w14:paraId="4664ECA5" w14:textId="77777777" w:rsidR="00BE05A8" w:rsidRDefault="00321885" w:rsidP="006700A0">
      <w:pPr>
        <w:pStyle w:val="Aufzhlungszeichen"/>
        <w:keepNext/>
        <w:numPr>
          <w:ilvl w:val="0"/>
          <w:numId w:val="0"/>
        </w:numPr>
        <w:tabs>
          <w:tab w:val="left" w:pos="0"/>
        </w:tabs>
        <w:spacing w:before="240"/>
        <w:rPr>
          <w:b/>
          <w:noProof/>
        </w:rPr>
      </w:pPr>
      <w:r>
        <w:rPr>
          <w:noProof/>
        </w:rPr>
        <w:lastRenderedPageBreak/>
        <w:drawing>
          <wp:inline distT="0" distB="0" distL="0" distR="0" wp14:anchorId="6F869572" wp14:editId="1920368B">
            <wp:extent cx="5734654" cy="5012575"/>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srcRect l="1443"/>
                    <a:stretch>
                      <a:fillRect/>
                    </a:stretch>
                  </pic:blipFill>
                  <pic:spPr bwMode="auto">
                    <a:xfrm>
                      <a:off x="0" y="0"/>
                      <a:ext cx="5734655" cy="5012576"/>
                    </a:xfrm>
                    <a:prstGeom prst="rect">
                      <a:avLst/>
                    </a:prstGeom>
                    <a:noFill/>
                    <a:ln w="9525">
                      <a:noFill/>
                      <a:miter lim="800000"/>
                      <a:headEnd/>
                      <a:tailEnd/>
                    </a:ln>
                  </pic:spPr>
                </pic:pic>
              </a:graphicData>
            </a:graphic>
          </wp:inline>
        </w:drawing>
      </w:r>
      <w:bookmarkStart w:id="752" w:name="_Ref412060919"/>
    </w:p>
    <w:p w14:paraId="28D748F7" w14:textId="4F5DC033" w:rsidR="00F9380C" w:rsidRPr="00B76A90" w:rsidRDefault="007F32CC" w:rsidP="006700A0">
      <w:pPr>
        <w:pStyle w:val="Aufzhlungszeichen"/>
        <w:keepNext/>
        <w:numPr>
          <w:ilvl w:val="0"/>
          <w:numId w:val="0"/>
        </w:numPr>
        <w:tabs>
          <w:tab w:val="left" w:pos="0"/>
        </w:tabs>
        <w:spacing w:before="360"/>
        <w:rPr>
          <w:b/>
          <w:noProof/>
        </w:rPr>
      </w:pPr>
      <w:bookmarkStart w:id="753" w:name="_Ref439852180"/>
      <w:bookmarkStart w:id="754" w:name="_Toc412562650"/>
      <w:bookmarkStart w:id="755" w:name="_Toc437530340"/>
      <w:bookmarkStart w:id="756" w:name="_Toc111118611"/>
      <w:bookmarkStart w:id="757" w:name="_Toc111196157"/>
      <w:r w:rsidRPr="00B76A90">
        <w:rPr>
          <w:b/>
          <w:noProof/>
        </w:rPr>
        <w:t xml:space="preserve">Abbildung </w:t>
      </w:r>
      <w:r w:rsidR="00561FFA" w:rsidRPr="00B76A90">
        <w:rPr>
          <w:b/>
          <w:noProof/>
        </w:rPr>
        <w:fldChar w:fldCharType="begin"/>
      </w:r>
      <w:r w:rsidRPr="00B76A90">
        <w:rPr>
          <w:b/>
          <w:noProof/>
        </w:rPr>
        <w:instrText xml:space="preserve"> SEQ Abbildung \* ARABIC </w:instrText>
      </w:r>
      <w:r w:rsidR="00561FFA" w:rsidRPr="00B76A90">
        <w:rPr>
          <w:b/>
          <w:noProof/>
        </w:rPr>
        <w:fldChar w:fldCharType="separate"/>
      </w:r>
      <w:r w:rsidR="007A098D">
        <w:rPr>
          <w:b/>
          <w:noProof/>
        </w:rPr>
        <w:t>28</w:t>
      </w:r>
      <w:r w:rsidR="00561FFA" w:rsidRPr="00B76A90">
        <w:rPr>
          <w:b/>
          <w:noProof/>
        </w:rPr>
        <w:fldChar w:fldCharType="end"/>
      </w:r>
      <w:bookmarkEnd w:id="752"/>
      <w:bookmarkEnd w:id="753"/>
      <w:r w:rsidRPr="00B76A90">
        <w:rPr>
          <w:b/>
          <w:noProof/>
        </w:rPr>
        <w:t>: Ermittlung der bilanziellen Flexibi</w:t>
      </w:r>
      <w:r w:rsidR="003430DE" w:rsidRPr="00B76A90">
        <w:rPr>
          <w:b/>
          <w:noProof/>
        </w:rPr>
        <w:t>li</w:t>
      </w:r>
      <w:r w:rsidRPr="00B76A90">
        <w:rPr>
          <w:b/>
          <w:noProof/>
        </w:rPr>
        <w:t>tätsmenge</w:t>
      </w:r>
      <w:bookmarkEnd w:id="754"/>
      <w:bookmarkEnd w:id="755"/>
      <w:bookmarkEnd w:id="756"/>
      <w:bookmarkEnd w:id="757"/>
    </w:p>
    <w:p w14:paraId="6616E918" w14:textId="77777777" w:rsidR="006F748C" w:rsidRPr="00845FEB" w:rsidRDefault="006F748C" w:rsidP="003C2438">
      <w:r w:rsidRPr="00845FEB">
        <w:br w:type="page"/>
      </w:r>
    </w:p>
    <w:p w14:paraId="17F934DC" w14:textId="7E300148" w:rsidR="005E67F7" w:rsidRPr="00AA6D39" w:rsidRDefault="005E67F7" w:rsidP="003C2438">
      <w:pPr>
        <w:tabs>
          <w:tab w:val="left" w:pos="0"/>
        </w:tabs>
        <w:rPr>
          <w:u w:val="single"/>
        </w:rPr>
      </w:pPr>
      <w:r>
        <w:rPr>
          <w:u w:val="single"/>
        </w:rPr>
        <w:lastRenderedPageBreak/>
        <w:t>Schritt IV. (Berechnung des Flexibilitätskostenbeitrages; siehe</w:t>
      </w:r>
      <w:r w:rsidR="00AA6D39">
        <w:rPr>
          <w:u w:val="single"/>
        </w:rPr>
        <w:t xml:space="preserve"> </w:t>
      </w:r>
      <w:r w:rsidR="0011373C">
        <w:fldChar w:fldCharType="begin"/>
      </w:r>
      <w:r w:rsidR="0011373C">
        <w:instrText xml:space="preserve"> REF _Ref412060881 \h  \* MERGEFORMAT </w:instrText>
      </w:r>
      <w:r w:rsidR="0011373C">
        <w:fldChar w:fldCharType="separate"/>
      </w:r>
      <w:r w:rsidR="00692E23" w:rsidRPr="00692E23">
        <w:rPr>
          <w:u w:val="single"/>
        </w:rPr>
        <w:t xml:space="preserve">Abbildung </w:t>
      </w:r>
      <w:r w:rsidR="00692E23" w:rsidRPr="00692E23">
        <w:rPr>
          <w:noProof/>
          <w:u w:val="single"/>
        </w:rPr>
        <w:t>29</w:t>
      </w:r>
      <w:r w:rsidR="0011373C">
        <w:fldChar w:fldCharType="end"/>
      </w:r>
      <w:r w:rsidRPr="00AA6D39">
        <w:rPr>
          <w:u w:val="single"/>
        </w:rPr>
        <w:t>)</w:t>
      </w:r>
    </w:p>
    <w:p w14:paraId="4E6D880E" w14:textId="77777777" w:rsidR="005E67F7" w:rsidRDefault="005E67F7" w:rsidP="003C2438">
      <w:pPr>
        <w:pStyle w:val="Aufzhlungszeichen"/>
      </w:pPr>
      <w:r>
        <w:t xml:space="preserve">Der MGV berechnet das Minimum aus An- und Verkaufsmenge von externer Regelenergie im MOL Rang 1 an einem </w:t>
      </w:r>
      <w:proofErr w:type="spellStart"/>
      <w:r>
        <w:t>Gastag</w:t>
      </w:r>
      <w:proofErr w:type="spellEnd"/>
      <w:r>
        <w:t xml:space="preserve"> und multipliziert dies mit zwei zur Ermittlung der Menge der Flexibilitätsregelenergie</w:t>
      </w:r>
      <w:r w:rsidR="00FB406E">
        <w:t>.</w:t>
      </w:r>
    </w:p>
    <w:p w14:paraId="5B095A66" w14:textId="77777777" w:rsidR="005E67F7" w:rsidRDefault="005E67F7" w:rsidP="003C2438">
      <w:pPr>
        <w:pStyle w:val="Aufzhlungszeichen"/>
      </w:pPr>
      <w:r>
        <w:t>Zur Ermittlung der Kosten der Flexibilitätsregelenergie wird das Minimum aus An- und Verkaufsmenge jeweils mit dem mengengewichteten Durchschnittspreis für Ankäufe und dem mengengewichteten Durchschnittspreis für Verkäufe multipliziert und die so ermittelten anteiligen Erlöse der Regelenergie von den anteiligen Kosten für Regelenergie abgezogen.</w:t>
      </w:r>
    </w:p>
    <w:p w14:paraId="10DDE8AE" w14:textId="77777777" w:rsidR="005E67F7" w:rsidRDefault="005E67F7" w:rsidP="003C2438">
      <w:pPr>
        <w:pStyle w:val="Aufzhlungszeichen"/>
      </w:pPr>
      <w:r>
        <w:t>Der Flexibilitätskostenbeitrag berechnet sich aus den Netto-Kosten für Flexibilitätsregelenergie dividiert durch die Flexibilitätsregelenergiemenge</w:t>
      </w:r>
      <w:r w:rsidR="00FB406E">
        <w:t>.</w:t>
      </w:r>
    </w:p>
    <w:p w14:paraId="2C3404B9" w14:textId="77777777" w:rsidR="00E157A6" w:rsidRDefault="00D718A1" w:rsidP="00874593">
      <w:pPr>
        <w:keepNext/>
        <w:tabs>
          <w:tab w:val="left" w:pos="0"/>
        </w:tabs>
        <w:spacing w:before="240"/>
      </w:pPr>
      <w:r w:rsidRPr="00D718A1">
        <w:rPr>
          <w:noProof/>
        </w:rPr>
        <w:drawing>
          <wp:inline distT="0" distB="0" distL="0" distR="0" wp14:anchorId="03D93D5A" wp14:editId="40136AC8">
            <wp:extent cx="5759450" cy="3021045"/>
            <wp:effectExtent l="0" t="0" r="0" b="0"/>
            <wp:docPr id="5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cstate="print"/>
                    <a:srcRect/>
                    <a:stretch>
                      <a:fillRect/>
                    </a:stretch>
                  </pic:blipFill>
                  <pic:spPr bwMode="auto">
                    <a:xfrm>
                      <a:off x="0" y="0"/>
                      <a:ext cx="5759450" cy="3021045"/>
                    </a:xfrm>
                    <a:prstGeom prst="rect">
                      <a:avLst/>
                    </a:prstGeom>
                    <a:noFill/>
                    <a:ln w="9525">
                      <a:noFill/>
                      <a:miter lim="800000"/>
                      <a:headEnd/>
                      <a:tailEnd/>
                    </a:ln>
                  </pic:spPr>
                </pic:pic>
              </a:graphicData>
            </a:graphic>
          </wp:inline>
        </w:drawing>
      </w:r>
    </w:p>
    <w:p w14:paraId="62A5F8CF" w14:textId="7221B464" w:rsidR="006F748C" w:rsidRPr="00B2339F" w:rsidRDefault="005E67F7" w:rsidP="00B2339F">
      <w:pPr>
        <w:pStyle w:val="Abbildung"/>
        <w:spacing w:before="360" w:after="240"/>
        <w:rPr>
          <w:b/>
          <w:bCs/>
        </w:rPr>
      </w:pPr>
      <w:bookmarkStart w:id="758" w:name="_Ref412060881"/>
      <w:bookmarkStart w:id="759" w:name="_Toc412562651"/>
      <w:bookmarkStart w:id="760" w:name="_Toc437530341"/>
      <w:bookmarkStart w:id="761" w:name="_Toc111118612"/>
      <w:bookmarkStart w:id="762" w:name="_Toc111196158"/>
      <w:r w:rsidRPr="00B2339F">
        <w:rPr>
          <w:b/>
          <w:bCs/>
        </w:rPr>
        <w:t xml:space="preserve">Abbildung </w:t>
      </w:r>
      <w:r w:rsidR="00561FFA" w:rsidRPr="00B2339F">
        <w:rPr>
          <w:b/>
          <w:bCs/>
        </w:rPr>
        <w:fldChar w:fldCharType="begin"/>
      </w:r>
      <w:r w:rsidRPr="00B2339F">
        <w:rPr>
          <w:b/>
          <w:bCs/>
        </w:rPr>
        <w:instrText xml:space="preserve"> SEQ Abbildung \* ARABIC </w:instrText>
      </w:r>
      <w:r w:rsidR="00561FFA" w:rsidRPr="00B2339F">
        <w:rPr>
          <w:b/>
          <w:bCs/>
        </w:rPr>
        <w:fldChar w:fldCharType="separate"/>
      </w:r>
      <w:r w:rsidR="007A098D">
        <w:rPr>
          <w:b/>
          <w:bCs/>
        </w:rPr>
        <w:t>29</w:t>
      </w:r>
      <w:r w:rsidR="00561FFA" w:rsidRPr="00B2339F">
        <w:rPr>
          <w:b/>
          <w:bCs/>
        </w:rPr>
        <w:fldChar w:fldCharType="end"/>
      </w:r>
      <w:bookmarkEnd w:id="758"/>
      <w:r w:rsidRPr="00B2339F">
        <w:rPr>
          <w:b/>
          <w:bCs/>
        </w:rPr>
        <w:t>: Berechnung des Flexibilitätskostenbeitrages</w:t>
      </w:r>
      <w:bookmarkEnd w:id="759"/>
      <w:bookmarkEnd w:id="760"/>
      <w:bookmarkEnd w:id="761"/>
      <w:bookmarkEnd w:id="762"/>
    </w:p>
    <w:p w14:paraId="1447019B" w14:textId="77777777" w:rsidR="005E67F7" w:rsidRDefault="005E67F7" w:rsidP="003C2438">
      <w:pPr>
        <w:rPr>
          <w:u w:val="single"/>
        </w:rPr>
      </w:pPr>
      <w:r w:rsidRPr="00677174">
        <w:rPr>
          <w:u w:val="single"/>
        </w:rPr>
        <w:t xml:space="preserve">Schritt </w:t>
      </w:r>
      <w:r>
        <w:rPr>
          <w:u w:val="single"/>
        </w:rPr>
        <w:t>V.</w:t>
      </w:r>
      <w:r w:rsidRPr="00677174">
        <w:rPr>
          <w:u w:val="single"/>
        </w:rPr>
        <w:t xml:space="preserve"> (Abrechnung der bilanziellen Flexibilitätsmenge):</w:t>
      </w:r>
    </w:p>
    <w:p w14:paraId="03155A13" w14:textId="77777777" w:rsidR="00E157A6" w:rsidRDefault="005E67F7" w:rsidP="003C2438">
      <w:pPr>
        <w:pStyle w:val="Aufzhlungszeichen"/>
      </w:pPr>
      <w:r>
        <w:t xml:space="preserve">Die sich je Rechnungsbilanzkreis ergebende kumulierte bilanzielle </w:t>
      </w:r>
      <w:proofErr w:type="spellStart"/>
      <w:r>
        <w:t>Flexibiltiätsmenge</w:t>
      </w:r>
      <w:proofErr w:type="spellEnd"/>
      <w:r>
        <w:t xml:space="preserve"> am Ende des </w:t>
      </w:r>
      <w:proofErr w:type="spellStart"/>
      <w:r>
        <w:t>Gastages</w:t>
      </w:r>
      <w:proofErr w:type="spellEnd"/>
      <w:r>
        <w:t xml:space="preserve"> wird vom MGV gegenüber dem entsprechenden BKV mit dem Flexibilitätskostenbeitrag des </w:t>
      </w:r>
      <w:proofErr w:type="spellStart"/>
      <w:r>
        <w:t>Gastages</w:t>
      </w:r>
      <w:proofErr w:type="spellEnd"/>
      <w:r>
        <w:t xml:space="preserve"> abgerechnet.</w:t>
      </w:r>
    </w:p>
    <w:p w14:paraId="652D384F" w14:textId="77777777" w:rsidR="007E05AB" w:rsidRDefault="00DF612D" w:rsidP="00874593">
      <w:pPr>
        <w:pStyle w:val="berschrift2"/>
        <w:tabs>
          <w:tab w:val="clear" w:pos="851"/>
          <w:tab w:val="num" w:pos="-4962"/>
        </w:tabs>
        <w:spacing w:before="480"/>
        <w:ind w:left="981" w:hanging="981"/>
      </w:pPr>
      <w:bookmarkStart w:id="763" w:name="_Ref320632285"/>
      <w:bookmarkStart w:id="764" w:name="_Toc284323664"/>
      <w:bookmarkStart w:id="765" w:name="_Toc284334342"/>
      <w:bookmarkStart w:id="766" w:name="_Toc285005316"/>
      <w:bookmarkStart w:id="767" w:name="_Toc296694123"/>
      <w:bookmarkStart w:id="768" w:name="_Toc391540188"/>
      <w:bookmarkStart w:id="769" w:name="_Toc412661350"/>
      <w:bookmarkStart w:id="770" w:name="_Toc111118505"/>
      <w:r w:rsidRPr="00D2445B">
        <w:lastRenderedPageBreak/>
        <w:t>Biogasbilanzierung</w:t>
      </w:r>
      <w:bookmarkEnd w:id="763"/>
      <w:bookmarkEnd w:id="764"/>
      <w:bookmarkEnd w:id="765"/>
      <w:bookmarkEnd w:id="766"/>
      <w:bookmarkEnd w:id="767"/>
      <w:bookmarkEnd w:id="768"/>
      <w:bookmarkEnd w:id="769"/>
      <w:bookmarkEnd w:id="770"/>
    </w:p>
    <w:p w14:paraId="12D60B64" w14:textId="77777777" w:rsidR="00DF612D" w:rsidRPr="00CC495C" w:rsidRDefault="00DF612D" w:rsidP="003C2438">
      <w:pPr>
        <w:pStyle w:val="berschrift3"/>
        <w:spacing w:before="480"/>
        <w:ind w:left="953" w:hanging="913"/>
      </w:pPr>
      <w:bookmarkStart w:id="771" w:name="_Toc280808867"/>
      <w:bookmarkStart w:id="772" w:name="_Toc284323665"/>
      <w:bookmarkStart w:id="773" w:name="_Toc284334343"/>
      <w:bookmarkStart w:id="774" w:name="_Toc285005317"/>
      <w:bookmarkStart w:id="775" w:name="_Ref287297841"/>
      <w:bookmarkStart w:id="776" w:name="_Toc319395073"/>
      <w:bookmarkStart w:id="777" w:name="_Toc296694124"/>
      <w:bookmarkStart w:id="778" w:name="_Toc391540189"/>
      <w:bookmarkStart w:id="779" w:name="_Toc412661351"/>
      <w:bookmarkStart w:id="780" w:name="_Toc111118506"/>
      <w:r w:rsidRPr="00CC495C">
        <w:t>Bilanzierungszeitraum</w:t>
      </w:r>
      <w:bookmarkEnd w:id="771"/>
      <w:bookmarkEnd w:id="772"/>
      <w:bookmarkEnd w:id="773"/>
      <w:bookmarkEnd w:id="774"/>
      <w:bookmarkEnd w:id="775"/>
      <w:bookmarkEnd w:id="776"/>
      <w:bookmarkEnd w:id="777"/>
      <w:r>
        <w:t xml:space="preserve"> für Biogasbilanzkreise</w:t>
      </w:r>
      <w:bookmarkEnd w:id="778"/>
      <w:bookmarkEnd w:id="779"/>
      <w:bookmarkEnd w:id="780"/>
    </w:p>
    <w:p w14:paraId="387FB9E5" w14:textId="77777777" w:rsidR="00DF612D" w:rsidRPr="00FF566E" w:rsidRDefault="00DF612D" w:rsidP="003C2438">
      <w:r w:rsidRPr="00FF566E">
        <w:t>Der Bilanzierungszeitraum eines Biogas</w:t>
      </w:r>
      <w:r>
        <w:t>-BK</w:t>
      </w:r>
      <w:r w:rsidRPr="00FF566E">
        <w:t xml:space="preserve"> ist mit max. </w:t>
      </w:r>
      <w:r>
        <w:t>zwölf Monaten</w:t>
      </w:r>
      <w:r w:rsidRPr="00FF566E">
        <w:t xml:space="preserve"> definiert. Spätestens nach </w:t>
      </w:r>
      <w:r>
        <w:t>zwölf Monaten</w:t>
      </w:r>
      <w:r w:rsidRPr="00FF566E">
        <w:t xml:space="preserve"> wird der Bilanzkreis vom MGV abgerechnet. Der Biogas</w:t>
      </w:r>
      <w:r>
        <w:t>-BK</w:t>
      </w:r>
      <w:r w:rsidRPr="00FF566E">
        <w:t xml:space="preserve"> kann </w:t>
      </w:r>
      <w:r>
        <w:t>jedoch auch über mehrere Bilanzierungszeiträume</w:t>
      </w:r>
      <w:r w:rsidRPr="00FF566E">
        <w:t xml:space="preserve"> und dementsprechend über eine</w:t>
      </w:r>
      <w:r>
        <w:t>n</w:t>
      </w:r>
      <w:r w:rsidRPr="00FF566E">
        <w:t xml:space="preserve"> längeren Zeitraum genutzt werden.</w:t>
      </w:r>
    </w:p>
    <w:p w14:paraId="170B535F" w14:textId="77777777" w:rsidR="00DF612D" w:rsidRDefault="00DF612D" w:rsidP="003C2438">
      <w:r>
        <w:t>Es ist möglich, im Biogas-Bilanzkreisvertrag eine Rumpfbilanzierung für die erste Bilanzierungsperiode festzulegen. D</w:t>
      </w:r>
      <w:r w:rsidRPr="00FF566E">
        <w:t xml:space="preserve">er BKV </w:t>
      </w:r>
      <w:r>
        <w:t xml:space="preserve">teilt </w:t>
      </w:r>
      <w:r w:rsidRPr="00FF566E">
        <w:t xml:space="preserve">dem MGV im Fristenmonat vor der ersten Biogaseinspeisung oder </w:t>
      </w:r>
      <w:r>
        <w:t>-</w:t>
      </w:r>
      <w:r w:rsidRPr="00FF566E">
        <w:t>ausspeisung das Ende des Bilanzierungszeitraums schriftlich mit</w:t>
      </w:r>
      <w:r>
        <w:t xml:space="preserve"> bzw. vereinbart dies bereits beim Abschluss des Biogas-Bilanzkreisvertrages.</w:t>
      </w:r>
    </w:p>
    <w:p w14:paraId="288A1A70" w14:textId="77777777" w:rsidR="00E157A6" w:rsidRDefault="00DF612D" w:rsidP="003C2438">
      <w:r>
        <w:t>Aus Gründen der zeitlichen Synchronität mit den Vorgaben des EEG bietet sich das Kalenderjahr als Bilanzierungszeitraum an.</w:t>
      </w:r>
    </w:p>
    <w:p w14:paraId="5524F3A2" w14:textId="77777777" w:rsidR="00F9380C" w:rsidRDefault="006439B4" w:rsidP="00874593">
      <w:pPr>
        <w:pStyle w:val="berschrift3"/>
        <w:spacing w:before="480"/>
        <w:ind w:left="953" w:hanging="913"/>
      </w:pPr>
      <w:bookmarkStart w:id="781" w:name="_Toc111118507"/>
      <w:r>
        <w:t>Bilanzierung von RLM-Allokationen für Biogasbilanzkreise</w:t>
      </w:r>
      <w:bookmarkEnd w:id="781"/>
    </w:p>
    <w:p w14:paraId="05A3697E" w14:textId="0301CC55" w:rsidR="00E157A6" w:rsidRDefault="006439B4" w:rsidP="003C2438">
      <w:r>
        <w:t xml:space="preserve">Der NB übermittelt gemäß </w:t>
      </w:r>
      <w:r w:rsidR="004B77C7">
        <w:t xml:space="preserve">Kap. </w:t>
      </w:r>
      <w:r w:rsidR="00561FFA">
        <w:fldChar w:fldCharType="begin"/>
      </w:r>
      <w:r>
        <w:instrText xml:space="preserve"> REF _Ref428796613 \r \h </w:instrText>
      </w:r>
      <w:r w:rsidR="00561FFA">
        <w:fldChar w:fldCharType="separate"/>
      </w:r>
      <w:r w:rsidR="00A04C50">
        <w:t>5.5.2</w:t>
      </w:r>
      <w:r w:rsidR="00561FFA">
        <w:fldChar w:fldCharType="end"/>
      </w:r>
      <w:r>
        <w:t xml:space="preserve"> an M+12 WT dem MGV </w:t>
      </w:r>
      <w:r>
        <w:rPr>
          <w:rFonts w:cs="Arial"/>
        </w:rPr>
        <w:t>die ALOCAT-Nachrichten für RLM-Allokationen sowohl für den mit Bilanzierungsbrennwert umgewerteten RLM-Lastgang als auch für den mit Abrechnungsbrennwert umgewerteten RLM-Lastgang.</w:t>
      </w:r>
    </w:p>
    <w:p w14:paraId="6912BFDE" w14:textId="2DB0E2A4" w:rsidR="00377C30" w:rsidRDefault="00377C30" w:rsidP="003C2438">
      <w:pPr>
        <w:spacing w:before="120"/>
        <w:rPr>
          <w:rFonts w:cs="Arial"/>
        </w:rPr>
      </w:pPr>
      <w:r w:rsidRPr="004628C2">
        <w:rPr>
          <w:rFonts w:cs="Arial"/>
        </w:rPr>
        <w:t xml:space="preserve">Der </w:t>
      </w:r>
      <w:r>
        <w:rPr>
          <w:rFonts w:cs="Arial"/>
        </w:rPr>
        <w:t>MGV</w:t>
      </w:r>
      <w:r w:rsidRPr="004628C2">
        <w:rPr>
          <w:rFonts w:cs="Arial"/>
        </w:rPr>
        <w:t xml:space="preserve"> übermittelt </w:t>
      </w:r>
      <w:r>
        <w:rPr>
          <w:rFonts w:cs="Arial"/>
        </w:rPr>
        <w:t xml:space="preserve">die vorläufigen </w:t>
      </w:r>
      <w:r w:rsidRPr="004628C2">
        <w:rPr>
          <w:rFonts w:cs="Arial"/>
        </w:rPr>
        <w:t>BK-Stat</w:t>
      </w:r>
      <w:r>
        <w:rPr>
          <w:rFonts w:cs="Arial"/>
        </w:rPr>
        <w:t>us</w:t>
      </w:r>
      <w:r w:rsidRPr="004628C2">
        <w:rPr>
          <w:rFonts w:cs="Arial"/>
        </w:rPr>
        <w:t xml:space="preserve"> für den Tag D am Tag D+1</w:t>
      </w:r>
      <w:r>
        <w:rPr>
          <w:rFonts w:cs="Arial"/>
        </w:rPr>
        <w:t>,</w:t>
      </w:r>
      <w:r w:rsidRPr="004628C2">
        <w:rPr>
          <w:rFonts w:cs="Arial"/>
        </w:rPr>
        <w:t xml:space="preserve"> </w:t>
      </w:r>
      <w:r>
        <w:rPr>
          <w:rFonts w:cs="Arial"/>
        </w:rPr>
        <w:t>bis spätestens 16:</w:t>
      </w:r>
      <w:r w:rsidRPr="00C95E78">
        <w:rPr>
          <w:rFonts w:cs="Arial"/>
        </w:rPr>
        <w:t>30 Uhr</w:t>
      </w:r>
      <w:r>
        <w:rPr>
          <w:rFonts w:cs="Arial"/>
        </w:rPr>
        <w:t xml:space="preserve">, </w:t>
      </w:r>
      <w:r w:rsidRPr="004628C2">
        <w:rPr>
          <w:rFonts w:cs="Arial"/>
        </w:rPr>
        <w:t xml:space="preserve">an den </w:t>
      </w:r>
      <w:r>
        <w:rPr>
          <w:rFonts w:cs="Arial"/>
        </w:rPr>
        <w:t>BKV</w:t>
      </w:r>
      <w:r>
        <w:rPr>
          <w:rFonts w:cs="Arial"/>
          <w:i/>
        </w:rPr>
        <w:t>.</w:t>
      </w:r>
      <w:r>
        <w:rPr>
          <w:rFonts w:cs="Arial"/>
        </w:rPr>
        <w:t xml:space="preserve"> Am Tag M+15 WT und zum Zeitpunkt der Rechnungslegung übermittelt der MGV den endgültigen BK-Status für den kompletten Monat basierend auf den mit Abrechnungsbrennwert </w:t>
      </w:r>
      <w:r w:rsidR="007C4D9E">
        <w:t>umgewertete</w:t>
      </w:r>
      <w:r w:rsidR="007C4D9E" w:rsidRPr="00F25F9E">
        <w:t xml:space="preserve"> </w:t>
      </w:r>
      <w:r>
        <w:rPr>
          <w:rFonts w:cs="Arial"/>
        </w:rPr>
        <w:t>Mengen.</w:t>
      </w:r>
    </w:p>
    <w:p w14:paraId="0F57913A" w14:textId="77777777" w:rsidR="00DF612D" w:rsidRPr="00CC495C" w:rsidRDefault="00DF612D" w:rsidP="00ED506F">
      <w:pPr>
        <w:pStyle w:val="berschrift3"/>
        <w:spacing w:before="480"/>
        <w:ind w:left="964" w:hanging="924"/>
      </w:pPr>
      <w:bookmarkStart w:id="782" w:name="_Toc280808872"/>
      <w:bookmarkStart w:id="783" w:name="_Toc284323666"/>
      <w:bookmarkStart w:id="784" w:name="_Toc284334344"/>
      <w:bookmarkStart w:id="785" w:name="_Toc285005318"/>
      <w:bookmarkStart w:id="786" w:name="_Ref287297893"/>
      <w:bookmarkStart w:id="787" w:name="_Toc319395074"/>
      <w:bookmarkStart w:id="788" w:name="_Ref320636920"/>
      <w:bookmarkStart w:id="789" w:name="_Toc296694125"/>
      <w:bookmarkStart w:id="790" w:name="_Toc391540190"/>
      <w:bookmarkStart w:id="791" w:name="_Toc412661352"/>
      <w:bookmarkStart w:id="792" w:name="_Toc111118508"/>
      <w:r w:rsidRPr="00CC495C">
        <w:t>Übertragung von Flexibilitäten</w:t>
      </w:r>
      <w:bookmarkEnd w:id="782"/>
      <w:bookmarkEnd w:id="783"/>
      <w:bookmarkEnd w:id="784"/>
      <w:bookmarkEnd w:id="785"/>
      <w:bookmarkEnd w:id="786"/>
      <w:bookmarkEnd w:id="787"/>
      <w:bookmarkEnd w:id="788"/>
      <w:bookmarkEnd w:id="789"/>
      <w:r>
        <w:t xml:space="preserve"> für Biogasbilanzkreise</w:t>
      </w:r>
      <w:bookmarkEnd w:id="790"/>
      <w:bookmarkEnd w:id="791"/>
      <w:bookmarkEnd w:id="792"/>
    </w:p>
    <w:p w14:paraId="2D6B0EED" w14:textId="3F504F1D" w:rsidR="00DF612D" w:rsidRDefault="00DF612D" w:rsidP="003C2438">
      <w:pPr>
        <w:rPr>
          <w:rFonts w:cs="Arial"/>
        </w:rPr>
      </w:pPr>
      <w:r>
        <w:rPr>
          <w:rFonts w:cs="Arial"/>
        </w:rPr>
        <w:t>Nach</w:t>
      </w:r>
      <w:r w:rsidDel="00815124">
        <w:rPr>
          <w:rFonts w:cs="Arial"/>
        </w:rPr>
        <w:t xml:space="preserve"> </w:t>
      </w:r>
      <w:r w:rsidR="00815124">
        <w:rPr>
          <w:rFonts w:cs="Arial"/>
        </w:rPr>
        <w:t>§ </w:t>
      </w:r>
      <w:r>
        <w:rPr>
          <w:rFonts w:cs="Arial"/>
        </w:rPr>
        <w:t xml:space="preserve">35 Abs. 3 </w:t>
      </w:r>
      <w:proofErr w:type="spellStart"/>
      <w:r>
        <w:rPr>
          <w:rFonts w:cs="Arial"/>
        </w:rPr>
        <w:t>GasNZV</w:t>
      </w:r>
      <w:proofErr w:type="spellEnd"/>
      <w:r>
        <w:rPr>
          <w:rFonts w:cs="Arial"/>
        </w:rPr>
        <w:t xml:space="preserve"> gewährte </w:t>
      </w:r>
      <w:r w:rsidRPr="001F06AB">
        <w:rPr>
          <w:rFonts w:cs="Arial"/>
        </w:rPr>
        <w:t>Flexibilitäten im Sinne von besonderen Biogas</w:t>
      </w:r>
      <w:r>
        <w:rPr>
          <w:rFonts w:cs="Arial"/>
        </w:rPr>
        <w:t>-B</w:t>
      </w:r>
      <w:r w:rsidRPr="001F06AB">
        <w:rPr>
          <w:rFonts w:cs="Arial"/>
        </w:rPr>
        <w:t>ilanz</w:t>
      </w:r>
      <w:r w:rsidR="00612B0B">
        <w:rPr>
          <w:rFonts w:cs="Arial"/>
        </w:rPr>
        <w:t>-</w:t>
      </w:r>
      <w:proofErr w:type="spellStart"/>
      <w:r w:rsidRPr="001F06AB">
        <w:rPr>
          <w:rFonts w:cs="Arial"/>
        </w:rPr>
        <w:t>kreistoleranzen</w:t>
      </w:r>
      <w:proofErr w:type="spellEnd"/>
      <w:r w:rsidRPr="001F06AB">
        <w:rPr>
          <w:rFonts w:cs="Arial"/>
        </w:rPr>
        <w:t xml:space="preserve"> können zwischen Biogas</w:t>
      </w:r>
      <w:r>
        <w:rPr>
          <w:rFonts w:cs="Arial"/>
        </w:rPr>
        <w:t>-B</w:t>
      </w:r>
      <w:r w:rsidRPr="001F06AB">
        <w:rPr>
          <w:rFonts w:cs="Arial"/>
        </w:rPr>
        <w:t>ilanzkreisen am V</w:t>
      </w:r>
      <w:r>
        <w:rPr>
          <w:rFonts w:cs="Arial"/>
        </w:rPr>
        <w:t>H</w:t>
      </w:r>
      <w:r w:rsidRPr="001F06AB">
        <w:rPr>
          <w:rFonts w:cs="Arial"/>
        </w:rPr>
        <w:t>P übertragen werden. Wesentliche Voraussetzungen für die Übertragung von Flexibilitäten sind:</w:t>
      </w:r>
    </w:p>
    <w:p w14:paraId="7F285E0E" w14:textId="77777777" w:rsidR="007E05AB" w:rsidRDefault="00DF612D" w:rsidP="007F76BC">
      <w:pPr>
        <w:pStyle w:val="NummerierteListeohneEinzug"/>
        <w:numPr>
          <w:ilvl w:val="0"/>
          <w:numId w:val="45"/>
        </w:numPr>
        <w:ind w:left="357" w:hanging="357"/>
      </w:pPr>
      <w:r w:rsidRPr="00165F47">
        <w:t>Beide Bilanzkreise sind Biogas-Bilanzkreise</w:t>
      </w:r>
      <w:r w:rsidR="00377FE6">
        <w:t>;</w:t>
      </w:r>
    </w:p>
    <w:p w14:paraId="4AAD359F" w14:textId="77777777" w:rsidR="007E05AB" w:rsidRDefault="00DF612D" w:rsidP="007F76BC">
      <w:pPr>
        <w:pStyle w:val="NummerierteListeohneEinzug"/>
        <w:numPr>
          <w:ilvl w:val="0"/>
          <w:numId w:val="45"/>
        </w:numPr>
        <w:ind w:left="357" w:hanging="357"/>
      </w:pPr>
      <w:r w:rsidRPr="00165F47">
        <w:t>Der Bilanzierungszeitraum beider Biogas-Bilanzkreise endet am gleichen Tag</w:t>
      </w:r>
      <w:r w:rsidR="00377FE6">
        <w:t>;</w:t>
      </w:r>
    </w:p>
    <w:p w14:paraId="71EEFC63" w14:textId="77777777" w:rsidR="007E05AB" w:rsidRDefault="00DF612D" w:rsidP="007F76BC">
      <w:pPr>
        <w:pStyle w:val="NummerierteListeohneEinzug"/>
        <w:numPr>
          <w:ilvl w:val="0"/>
          <w:numId w:val="45"/>
        </w:numPr>
        <w:ind w:left="357" w:hanging="357"/>
      </w:pPr>
      <w:r w:rsidRPr="00165F47">
        <w:t>Die max. zulässige übertragbare Flexibilität wird nicht überschritten.</w:t>
      </w:r>
    </w:p>
    <w:p w14:paraId="785543D1" w14:textId="75F374FB" w:rsidR="00E157A6" w:rsidRDefault="00DF612D" w:rsidP="003C2438">
      <w:pPr>
        <w:pStyle w:val="NummerierteListeohneEinzug"/>
      </w:pPr>
      <w:r w:rsidRPr="00165F47">
        <w:t>Nur Bio-Rechnungs</w:t>
      </w:r>
      <w:r w:rsidR="003D2981" w:rsidRPr="00165F47">
        <w:t>-</w:t>
      </w:r>
      <w:r w:rsidRPr="00165F47">
        <w:t>BK(RBK) können Flexibilitäten übertragen oder empfangen. Eine Übertragung zwischen Biogas-SBK oder Biogas-UBK ist nicht möglich.</w:t>
      </w:r>
    </w:p>
    <w:p w14:paraId="7A17B1D1" w14:textId="77777777" w:rsidR="00DF612D" w:rsidRPr="00CC495C" w:rsidRDefault="00DF612D" w:rsidP="00ED506F">
      <w:pPr>
        <w:pStyle w:val="berschrift3"/>
        <w:spacing w:before="480"/>
        <w:ind w:left="993" w:hanging="953"/>
      </w:pPr>
      <w:bookmarkStart w:id="793" w:name="_Toc280808873"/>
      <w:bookmarkStart w:id="794" w:name="_Toc284323667"/>
      <w:bookmarkStart w:id="795" w:name="_Toc284334345"/>
      <w:bookmarkStart w:id="796" w:name="_Toc285005319"/>
      <w:bookmarkStart w:id="797" w:name="_Toc319395075"/>
      <w:bookmarkStart w:id="798" w:name="_Toc296694126"/>
      <w:bookmarkStart w:id="799" w:name="_Toc391540191"/>
      <w:bookmarkStart w:id="800" w:name="_Ref411947269"/>
      <w:bookmarkStart w:id="801" w:name="_Toc412661353"/>
      <w:bookmarkStart w:id="802" w:name="_Toc111118509"/>
      <w:r w:rsidRPr="00CC495C">
        <w:lastRenderedPageBreak/>
        <w:t>Berechnung der absoluten Flexibilität</w:t>
      </w:r>
      <w:bookmarkEnd w:id="793"/>
      <w:bookmarkEnd w:id="794"/>
      <w:bookmarkEnd w:id="795"/>
      <w:bookmarkEnd w:id="796"/>
      <w:bookmarkEnd w:id="797"/>
      <w:bookmarkEnd w:id="798"/>
      <w:r>
        <w:t xml:space="preserve"> für Biogasbilanzkreise</w:t>
      </w:r>
      <w:bookmarkEnd w:id="799"/>
      <w:bookmarkEnd w:id="800"/>
      <w:bookmarkEnd w:id="801"/>
      <w:bookmarkEnd w:id="802"/>
    </w:p>
    <w:p w14:paraId="7A0D99BB" w14:textId="3C133AFF" w:rsidR="00E157A6" w:rsidRDefault="00E90CD0" w:rsidP="003C2438">
      <w:pPr>
        <w:rPr>
          <w:rFonts w:cs="Arial"/>
        </w:rPr>
      </w:pPr>
      <w:r>
        <w:rPr>
          <w:rFonts w:cs="Arial"/>
        </w:rPr>
        <w:t xml:space="preserve">Bei Beendigung des </w:t>
      </w:r>
      <w:r w:rsidRPr="00E90CD0">
        <w:rPr>
          <w:rFonts w:cs="Arial"/>
        </w:rPr>
        <w:t>Bilanzierungszeitraum</w:t>
      </w:r>
      <w:r w:rsidR="007C53FF">
        <w:rPr>
          <w:rFonts w:cs="Arial"/>
        </w:rPr>
        <w:t>s</w:t>
      </w:r>
      <w:r w:rsidRPr="00E90CD0">
        <w:rPr>
          <w:rFonts w:cs="Arial"/>
        </w:rPr>
        <w:t xml:space="preserve"> eines Biogas-Bilanzkreises </w:t>
      </w:r>
      <w:r>
        <w:rPr>
          <w:rFonts w:cs="Arial"/>
        </w:rPr>
        <w:t xml:space="preserve">und Vorliegen der </w:t>
      </w:r>
      <w:r w:rsidRPr="00E90CD0">
        <w:rPr>
          <w:rFonts w:cs="Arial"/>
        </w:rPr>
        <w:t xml:space="preserve">Abrechnungsdaten </w:t>
      </w:r>
      <w:r>
        <w:rPr>
          <w:rFonts w:cs="Arial"/>
        </w:rPr>
        <w:t>(</w:t>
      </w:r>
      <w:r w:rsidR="00D31BE8">
        <w:rPr>
          <w:rFonts w:cs="Arial"/>
        </w:rPr>
        <w:t>Ende Bilanzierungszeitraum+</w:t>
      </w:r>
      <w:r>
        <w:rPr>
          <w:rFonts w:cs="Arial"/>
        </w:rPr>
        <w:t>2M</w:t>
      </w:r>
      <w:r w:rsidR="00F81C99">
        <w:rPr>
          <w:rFonts w:cs="Arial"/>
        </w:rPr>
        <w:t>-</w:t>
      </w:r>
      <w:r>
        <w:rPr>
          <w:rFonts w:cs="Arial"/>
        </w:rPr>
        <w:t xml:space="preserve">10WT) </w:t>
      </w:r>
      <w:r w:rsidR="00DF612D">
        <w:rPr>
          <w:rFonts w:cs="Arial"/>
        </w:rPr>
        <w:t xml:space="preserve">ermittelt der MGV den absoluten Betrag der Flexibilität pro Biogas-RBK und teilt sie dem jeweiligen BKV mit. Für die Ermittlung des absoluten Betrages der Flexibilität werden nur physische </w:t>
      </w:r>
      <w:proofErr w:type="spellStart"/>
      <w:r w:rsidR="00DF612D">
        <w:rPr>
          <w:rFonts w:cs="Arial"/>
        </w:rPr>
        <w:t>Biogaseinspeisemen</w:t>
      </w:r>
      <w:proofErr w:type="spellEnd"/>
      <w:r w:rsidR="00612B0B">
        <w:rPr>
          <w:rFonts w:cs="Arial"/>
        </w:rPr>
        <w:t>-</w:t>
      </w:r>
      <w:r w:rsidR="00DF612D">
        <w:rPr>
          <w:rFonts w:cs="Arial"/>
        </w:rPr>
        <w:t xml:space="preserve">gen </w:t>
      </w:r>
      <w:r w:rsidR="004A27A7">
        <w:rPr>
          <w:rFonts w:cs="Arial"/>
        </w:rPr>
        <w:t>und/</w:t>
      </w:r>
      <w:r w:rsidR="002B3788">
        <w:rPr>
          <w:rFonts w:cs="Arial"/>
        </w:rPr>
        <w:t xml:space="preserve">oder physische </w:t>
      </w:r>
      <w:proofErr w:type="spellStart"/>
      <w:r w:rsidR="002B3788">
        <w:rPr>
          <w:rFonts w:cs="Arial"/>
        </w:rPr>
        <w:t>Wasserstoffeinspeisemengen</w:t>
      </w:r>
      <w:proofErr w:type="spellEnd"/>
      <w:r w:rsidR="002B3788">
        <w:rPr>
          <w:rFonts w:cs="Arial"/>
        </w:rPr>
        <w:t xml:space="preserve"> </w:t>
      </w:r>
      <w:r w:rsidR="00DF612D">
        <w:rPr>
          <w:rFonts w:cs="Arial"/>
        </w:rPr>
        <w:t>pro Biogas-RBK berücksichtigt</w:t>
      </w:r>
      <w:r w:rsidR="00D91772">
        <w:rPr>
          <w:rFonts w:cs="Arial"/>
        </w:rPr>
        <w:t xml:space="preserve">, welche mit </w:t>
      </w:r>
      <w:r w:rsidR="002B3788">
        <w:rPr>
          <w:rFonts w:cs="Arial"/>
        </w:rPr>
        <w:t>den</w:t>
      </w:r>
      <w:r w:rsidR="00D91772">
        <w:rPr>
          <w:rFonts w:cs="Arial"/>
        </w:rPr>
        <w:t xml:space="preserve"> Zeitreihentyp</w:t>
      </w:r>
      <w:r w:rsidR="002B3788">
        <w:rPr>
          <w:rFonts w:cs="Arial"/>
        </w:rPr>
        <w:t>en</w:t>
      </w:r>
      <w:r w:rsidR="00D91772">
        <w:rPr>
          <w:rFonts w:cs="Arial"/>
        </w:rPr>
        <w:t xml:space="preserve"> </w:t>
      </w:r>
      <w:r w:rsidR="004A27A7">
        <w:rPr>
          <w:rFonts w:cs="Arial"/>
        </w:rPr>
        <w:t>„</w:t>
      </w:r>
      <w:r w:rsidR="00D91772">
        <w:rPr>
          <w:rFonts w:cs="Arial"/>
        </w:rPr>
        <w:t>Entry Biogas</w:t>
      </w:r>
      <w:r w:rsidR="004A27A7">
        <w:rPr>
          <w:rFonts w:cs="Arial"/>
        </w:rPr>
        <w:t>“</w:t>
      </w:r>
      <w:r w:rsidR="00D91772">
        <w:rPr>
          <w:rFonts w:cs="Arial"/>
        </w:rPr>
        <w:t xml:space="preserve"> </w:t>
      </w:r>
      <w:r w:rsidR="004A27A7">
        <w:rPr>
          <w:rFonts w:cs="Arial"/>
        </w:rPr>
        <w:t>und/</w:t>
      </w:r>
      <w:r w:rsidR="002B3788">
        <w:rPr>
          <w:rFonts w:cs="Arial"/>
        </w:rPr>
        <w:t xml:space="preserve">oder </w:t>
      </w:r>
      <w:r w:rsidR="004A27A7">
        <w:rPr>
          <w:rFonts w:cs="Arial"/>
        </w:rPr>
        <w:t>„</w:t>
      </w:r>
      <w:r w:rsidR="002B3788">
        <w:rPr>
          <w:rFonts w:cs="Arial"/>
        </w:rPr>
        <w:t>Entry Wasserstoff</w:t>
      </w:r>
      <w:r w:rsidR="004A27A7">
        <w:rPr>
          <w:rFonts w:cs="Arial"/>
        </w:rPr>
        <w:t>“</w:t>
      </w:r>
      <w:r w:rsidR="002B3788">
        <w:rPr>
          <w:rFonts w:cs="Arial"/>
        </w:rPr>
        <w:t xml:space="preserve"> </w:t>
      </w:r>
      <w:r w:rsidR="00D91772">
        <w:rPr>
          <w:rFonts w:cs="Arial"/>
        </w:rPr>
        <w:t>allokiert wurden</w:t>
      </w:r>
      <w:r w:rsidR="00DF612D">
        <w:rPr>
          <w:rFonts w:cs="Arial"/>
        </w:rPr>
        <w:t>. Einspeisemengen am VHP oder aus Speichern bleiben für die Ermittlung außen vor. Der absolute Betrag der Flexibilität beträgt 25 % der physischen Einspeisemenge innerhalb des Bilanzierungszeitraums in kWh in den Biogas-Bilanzkreis. Es werden alle physischen Biogas</w:t>
      </w:r>
      <w:r w:rsidR="002B3788">
        <w:rPr>
          <w:rFonts w:cs="Arial"/>
        </w:rPr>
        <w:t xml:space="preserve">- bzw. </w:t>
      </w:r>
      <w:proofErr w:type="spellStart"/>
      <w:r w:rsidR="002B3788">
        <w:rPr>
          <w:rFonts w:cs="Arial"/>
        </w:rPr>
        <w:t>Wasserstoff</w:t>
      </w:r>
      <w:r w:rsidR="00DF612D">
        <w:rPr>
          <w:rFonts w:cs="Arial"/>
        </w:rPr>
        <w:t>einspeisemengen</w:t>
      </w:r>
      <w:proofErr w:type="spellEnd"/>
      <w:r w:rsidR="00DF612D">
        <w:rPr>
          <w:rFonts w:cs="Arial"/>
        </w:rPr>
        <w:t xml:space="preserve"> in Biogas-</w:t>
      </w:r>
      <w:r w:rsidR="00377FE6">
        <w:rPr>
          <w:rFonts w:cs="Arial"/>
        </w:rPr>
        <w:t>SBK</w:t>
      </w:r>
      <w:r w:rsidR="00DF612D">
        <w:rPr>
          <w:rFonts w:cs="Arial"/>
        </w:rPr>
        <w:t xml:space="preserve"> auf den zugehörigen Biogas-</w:t>
      </w:r>
      <w:r w:rsidR="00377FE6">
        <w:rPr>
          <w:rFonts w:cs="Arial"/>
        </w:rPr>
        <w:t xml:space="preserve">BK </w:t>
      </w:r>
      <w:r w:rsidR="00DF612D">
        <w:rPr>
          <w:rFonts w:cs="Arial"/>
        </w:rPr>
        <w:t>aggregiert. Gleiches gilt für die Aggregation der Biogas-</w:t>
      </w:r>
      <w:r w:rsidR="00377FE6">
        <w:rPr>
          <w:rFonts w:cs="Arial"/>
        </w:rPr>
        <w:t xml:space="preserve">UBK </w:t>
      </w:r>
      <w:r w:rsidR="00DF612D">
        <w:rPr>
          <w:rFonts w:cs="Arial"/>
        </w:rPr>
        <w:t>auf den Biogas-</w:t>
      </w:r>
      <w:r w:rsidR="00377FE6">
        <w:rPr>
          <w:rFonts w:cs="Arial"/>
        </w:rPr>
        <w:t>RBK</w:t>
      </w:r>
      <w:r w:rsidR="00DF612D">
        <w:rPr>
          <w:rFonts w:cs="Arial"/>
        </w:rPr>
        <w:t xml:space="preserve">. </w:t>
      </w:r>
      <w:r w:rsidR="00E14930">
        <w:rPr>
          <w:rFonts w:cs="Arial"/>
        </w:rPr>
        <w:t xml:space="preserve">Der MGV verwendet die am Ende des Bilanzierungszeitraums vorliegende Bilanzkreisverbindung zur Berechnung der absoluten Flexibilitäten. </w:t>
      </w:r>
      <w:r w:rsidR="00D91772">
        <w:rPr>
          <w:rFonts w:cs="Arial"/>
        </w:rPr>
        <w:t xml:space="preserve">Innerhalb von </w:t>
      </w:r>
      <w:r w:rsidR="00D91772" w:rsidRPr="00D91772">
        <w:rPr>
          <w:rFonts w:cs="Arial"/>
        </w:rPr>
        <w:t>6</w:t>
      </w:r>
      <w:r w:rsidR="00D91772">
        <w:rPr>
          <w:rFonts w:cs="Arial"/>
        </w:rPr>
        <w:t xml:space="preserve"> </w:t>
      </w:r>
      <w:r w:rsidR="00D91772" w:rsidRPr="00D91772">
        <w:rPr>
          <w:rFonts w:cs="Arial"/>
        </w:rPr>
        <w:t>WT nach Ende des Bilanzierungs</w:t>
      </w:r>
      <w:r w:rsidR="00D31BE8">
        <w:rPr>
          <w:rFonts w:cs="Arial"/>
        </w:rPr>
        <w:t>zeitraums +</w:t>
      </w:r>
      <w:r w:rsidR="00D91772" w:rsidRPr="00D91772">
        <w:rPr>
          <w:rFonts w:cs="Arial"/>
        </w:rPr>
        <w:t>2M</w:t>
      </w:r>
      <w:r w:rsidR="00F81C99">
        <w:rPr>
          <w:rFonts w:cs="Arial"/>
        </w:rPr>
        <w:t>-</w:t>
      </w:r>
      <w:r w:rsidR="00D91772" w:rsidRPr="00D91772">
        <w:rPr>
          <w:rFonts w:cs="Arial"/>
        </w:rPr>
        <w:t>10WT</w:t>
      </w:r>
      <w:r w:rsidR="00D91772">
        <w:rPr>
          <w:rFonts w:cs="Arial"/>
        </w:rPr>
        <w:t xml:space="preserve"> teilt der MGV dem BKV die</w:t>
      </w:r>
      <w:r w:rsidR="00D91772" w:rsidRPr="00D91772">
        <w:rPr>
          <w:rFonts w:cs="Arial"/>
        </w:rPr>
        <w:t xml:space="preserve"> absolute Flexibilität </w:t>
      </w:r>
      <w:r w:rsidR="00310DAE">
        <w:rPr>
          <w:rFonts w:cs="Arial"/>
        </w:rPr>
        <w:t>BIOFLEX</w:t>
      </w:r>
      <w:r w:rsidR="00310DAE" w:rsidRPr="00D91772">
        <w:rPr>
          <w:rFonts w:cs="Arial"/>
        </w:rPr>
        <w:t xml:space="preserve"> </w:t>
      </w:r>
      <w:r w:rsidR="00D91772" w:rsidRPr="00D91772">
        <w:rPr>
          <w:rFonts w:cs="Arial"/>
        </w:rPr>
        <w:t>in kWh</w:t>
      </w:r>
      <w:r w:rsidR="00D91772">
        <w:rPr>
          <w:rFonts w:cs="Arial"/>
        </w:rPr>
        <w:t xml:space="preserve"> im Format IMBNOT mit.</w:t>
      </w:r>
    </w:p>
    <w:p w14:paraId="76CF900B" w14:textId="77777777" w:rsidR="00DF612D" w:rsidRPr="00CC495C" w:rsidRDefault="00DF612D" w:rsidP="00ED506F">
      <w:pPr>
        <w:pStyle w:val="berschrift3"/>
        <w:tabs>
          <w:tab w:val="num" w:pos="1106"/>
        </w:tabs>
        <w:spacing w:before="480"/>
        <w:ind w:left="1134" w:hanging="1094"/>
      </w:pPr>
      <w:bookmarkStart w:id="803" w:name="_Toc280808874"/>
      <w:bookmarkStart w:id="804" w:name="_Toc284323668"/>
      <w:bookmarkStart w:id="805" w:name="_Toc284334346"/>
      <w:bookmarkStart w:id="806" w:name="_Toc285005320"/>
      <w:bookmarkStart w:id="807" w:name="_Ref296673413"/>
      <w:bookmarkStart w:id="808" w:name="_Toc319395076"/>
      <w:bookmarkStart w:id="809" w:name="_Toc296694127"/>
      <w:bookmarkStart w:id="810" w:name="_Toc391540192"/>
      <w:bookmarkStart w:id="811" w:name="_Toc412661354"/>
      <w:bookmarkStart w:id="812" w:name="_Toc111118510"/>
      <w:r w:rsidRPr="00CC495C">
        <w:t>Regeln der Flexibilitätsübertragung</w:t>
      </w:r>
      <w:bookmarkEnd w:id="803"/>
      <w:bookmarkEnd w:id="804"/>
      <w:bookmarkEnd w:id="805"/>
      <w:bookmarkEnd w:id="806"/>
      <w:bookmarkEnd w:id="807"/>
      <w:bookmarkEnd w:id="808"/>
      <w:bookmarkEnd w:id="809"/>
      <w:bookmarkEnd w:id="810"/>
      <w:bookmarkEnd w:id="811"/>
      <w:bookmarkEnd w:id="812"/>
      <w:r w:rsidRPr="00CC495C">
        <w:t xml:space="preserve"> </w:t>
      </w:r>
    </w:p>
    <w:p w14:paraId="13D5F29B" w14:textId="17DBC55C" w:rsidR="00DF612D" w:rsidRDefault="00DF612D" w:rsidP="003C2438">
      <w:r>
        <w:t xml:space="preserve">Der BKV hat die Möglichkeit, seinen </w:t>
      </w:r>
      <w:proofErr w:type="gramStart"/>
      <w:r>
        <w:t>Bilanzkreis</w:t>
      </w:r>
      <w:proofErr w:type="gramEnd"/>
      <w:r>
        <w:t xml:space="preserve"> ohne die Übertragung der Flexibilitäten </w:t>
      </w:r>
      <w:r w:rsidRPr="006F1313">
        <w:t xml:space="preserve">abrechnen zu lassen oder ab dem Tag </w:t>
      </w:r>
      <w:r>
        <w:t>+2M-4WT nach Ende des Bilanzierungszeitraums</w:t>
      </w:r>
      <w:r w:rsidRPr="006F1313">
        <w:t xml:space="preserve"> </w:t>
      </w:r>
      <w:r w:rsidR="00E143BB" w:rsidRPr="006F1313">
        <w:t>20</w:t>
      </w:r>
      <w:r w:rsidR="00E143BB">
        <w:t> </w:t>
      </w:r>
      <w:r w:rsidRPr="006F1313">
        <w:t xml:space="preserve">WT lang </w:t>
      </w:r>
      <w:r>
        <w:t>dem MGV die Höhe der jeweiligen</w:t>
      </w:r>
      <w:r w:rsidRPr="006F1313">
        <w:t xml:space="preserve"> Übertragung der Flexibi</w:t>
      </w:r>
      <w:r>
        <w:t>litäten mitzuteilen.</w:t>
      </w:r>
    </w:p>
    <w:p w14:paraId="11C8DA7C" w14:textId="652F1DC8" w:rsidR="00DF612D" w:rsidRPr="003031C1" w:rsidRDefault="00DF612D" w:rsidP="003C2438">
      <w:pPr>
        <w:pStyle w:val="Aufzhlungszeichen"/>
      </w:pPr>
      <w:r w:rsidRPr="003031C1">
        <w:t>Dazu richtet der MGV für jeden BKV pro Biogas-RBK ein Flexibilitätskonto ein. Dieses Konto enthält tagesscharf den aktuellen Stand der Flexibilität. Der initiale Wert ist die vom MGV zuvor ermittelte absolute Flexibilität.</w:t>
      </w:r>
    </w:p>
    <w:p w14:paraId="61728709" w14:textId="1A9801F0" w:rsidR="00DF612D" w:rsidRDefault="00DF612D" w:rsidP="003C2438">
      <w:r>
        <w:t xml:space="preserve">Gemäß dem BDEW-Leitfaden „Bilanzierung Biogas“, der die Vorschrift des </w:t>
      </w:r>
      <w:r w:rsidDel="00815124">
        <w:t>§</w:t>
      </w:r>
      <w:r w:rsidR="00815124">
        <w:t> </w:t>
      </w:r>
      <w:r>
        <w:t xml:space="preserve">35 </w:t>
      </w:r>
      <w:proofErr w:type="spellStart"/>
      <w:r>
        <w:t>GasNZV</w:t>
      </w:r>
      <w:proofErr w:type="spellEnd"/>
      <w:r>
        <w:t xml:space="preserve"> konkretisiert, darf es bei der Übertragung von Flexibilität zwischen Biogas-Bilanzkreisen nicht zu einer Erhöhung des Flexibilitätsrahmens kommen.</w:t>
      </w:r>
    </w:p>
    <w:p w14:paraId="01B342C2" w14:textId="33F2F548" w:rsidR="00DF612D" w:rsidRPr="00601309" w:rsidRDefault="00DF612D" w:rsidP="003C2438">
      <w:r>
        <w:t xml:space="preserve">Der Bilanzkreisverantwortliche kann innerhalb der 20 WT täglich nur maximal den Tagesstartwert des Flexibilitätskontos an Flexibilität übertragen. Am Ende der 20 WT wird dem BKV der finale Stand des Kontos durch den MGV mitgeteilt. Nach Ablauf dieser Frist werden die Bilanzkreise mit dem </w:t>
      </w:r>
      <w:r w:rsidRPr="00601309">
        <w:t>dann vorliegenden Endsaldo abgerechnet.</w:t>
      </w:r>
    </w:p>
    <w:p w14:paraId="5514C1D3" w14:textId="77777777" w:rsidR="00DF612D" w:rsidRPr="00C927F7" w:rsidRDefault="00DF612D" w:rsidP="003C2438">
      <w:r w:rsidRPr="00601309">
        <w:t>Den jeweiligen Saldo</w:t>
      </w:r>
      <w:r>
        <w:t xml:space="preserve"> des Flexibilitätskontos </w:t>
      </w:r>
      <w:r w:rsidRPr="00601309">
        <w:t xml:space="preserve">teilt der MGV dem BKV innerhalb der 20 WT täglich bis spätestens 21:00 Uhr des Vortrages mit. Dieser Saldo ist der Tagesstartwert </w:t>
      </w:r>
      <w:r w:rsidR="004A27A7">
        <w:t xml:space="preserve">des </w:t>
      </w:r>
      <w:r w:rsidR="00530656">
        <w:t>nächsten Tag</w:t>
      </w:r>
      <w:r w:rsidR="004A27A7">
        <w:t>es</w:t>
      </w:r>
      <w:r w:rsidR="00530656">
        <w:t xml:space="preserve">. Die BKV teilen </w:t>
      </w:r>
      <w:r w:rsidR="008F0645">
        <w:t xml:space="preserve">die gewünschte </w:t>
      </w:r>
      <w:r w:rsidRPr="00601309">
        <w:t xml:space="preserve">Übertragung der Flexibilität je abgebenden und aufnehmenden Bilanzkreispaar bis 17:00 Uhr des jeweiligen Tages mit. </w:t>
      </w:r>
      <w:r w:rsidR="00B3746A">
        <w:t xml:space="preserve">Der </w:t>
      </w:r>
      <w:r w:rsidR="006B4FDC">
        <w:t xml:space="preserve">MGV </w:t>
      </w:r>
      <w:r w:rsidR="00612B0B">
        <w:t>sendet dem BKV pro eingegangene</w:t>
      </w:r>
      <w:r w:rsidR="00B3746A">
        <w:t xml:space="preserve"> Nachricht eine Empfangsbestätigung. Weiterhin</w:t>
      </w:r>
      <w:r w:rsidRPr="00601309">
        <w:t xml:space="preserve"> prüft </w:t>
      </w:r>
      <w:r w:rsidR="00B3746A">
        <w:t xml:space="preserve">der MGV </w:t>
      </w:r>
      <w:r w:rsidRPr="00601309">
        <w:rPr>
          <w:u w:val="single"/>
        </w:rPr>
        <w:t>täglich</w:t>
      </w:r>
      <w:r w:rsidR="00F9380C" w:rsidRPr="00F9380C">
        <w:t xml:space="preserve"> </w:t>
      </w:r>
      <w:r w:rsidRPr="00601309">
        <w:t>die eingegangenen</w:t>
      </w:r>
      <w:r>
        <w:t xml:space="preserve"> Nachrichten mit den nachfolgend beschriebenen Prüfungsschrit</w:t>
      </w:r>
      <w:r w:rsidR="00D50CB9">
        <w:t>ten (Bedingung 1-</w:t>
      </w:r>
      <w:r>
        <w:t>6).</w:t>
      </w:r>
    </w:p>
    <w:p w14:paraId="185CA216" w14:textId="77777777" w:rsidR="007E05AB" w:rsidRDefault="00DF612D" w:rsidP="007F76BC">
      <w:pPr>
        <w:pStyle w:val="Listenabsatz"/>
        <w:numPr>
          <w:ilvl w:val="0"/>
          <w:numId w:val="58"/>
        </w:numPr>
        <w:contextualSpacing w:val="0"/>
      </w:pPr>
      <w:r w:rsidRPr="00165F47">
        <w:lastRenderedPageBreak/>
        <w:t>Die Frist zur Mitteilung von Flexibilitätsübertragungen wird eingehalten.</w:t>
      </w:r>
    </w:p>
    <w:p w14:paraId="34C2D5B9" w14:textId="0AB89C15" w:rsidR="007E05AB" w:rsidRDefault="00DF612D" w:rsidP="007F76BC">
      <w:pPr>
        <w:pStyle w:val="Listenabsatz"/>
        <w:numPr>
          <w:ilvl w:val="0"/>
          <w:numId w:val="58"/>
        </w:numPr>
        <w:contextualSpacing w:val="0"/>
      </w:pPr>
      <w:r w:rsidRPr="00165F47">
        <w:t>Beide Bilanzkreise sind Biogas-Rechnungs-Bilanzkreise.</w:t>
      </w:r>
    </w:p>
    <w:p w14:paraId="318DE8BC" w14:textId="77777777" w:rsidR="007E05AB" w:rsidRDefault="00DF612D" w:rsidP="007F76BC">
      <w:pPr>
        <w:pStyle w:val="Listenabsatz"/>
        <w:numPr>
          <w:ilvl w:val="0"/>
          <w:numId w:val="58"/>
        </w:numPr>
        <w:contextualSpacing w:val="0"/>
      </w:pPr>
      <w:r w:rsidRPr="00165F47">
        <w:t>Der Bilanzierungszeitraum der beiden Biogas-Rechnungs-Bilanzkreise endet am gleichen Tag.</w:t>
      </w:r>
    </w:p>
    <w:p w14:paraId="2C263590" w14:textId="77777777" w:rsidR="007E05AB" w:rsidRDefault="00DF612D" w:rsidP="007F76BC">
      <w:pPr>
        <w:pStyle w:val="Listenabsatz"/>
        <w:numPr>
          <w:ilvl w:val="0"/>
          <w:numId w:val="58"/>
        </w:numPr>
        <w:contextualSpacing w:val="0"/>
      </w:pPr>
      <w:r w:rsidRPr="00165F47">
        <w:t>Die beiden Biogas-Rechnungs-Bilanzkreisnummern in den korrespondierenden Mitteilungen stimmen überein. Sofern diese Bedingung nicht erfüllt</w:t>
      </w:r>
      <w:r w:rsidR="00D50CB9">
        <w:t xml:space="preserve"> ist, erfolgt eine Kürzung auf </w:t>
      </w:r>
      <w:r w:rsidR="00315714">
        <w:t>n</w:t>
      </w:r>
      <w:r w:rsidR="00D50CB9">
        <w:t>ull</w:t>
      </w:r>
      <w:r w:rsidRPr="00165F47">
        <w:t>.</w:t>
      </w:r>
    </w:p>
    <w:p w14:paraId="50E190CE" w14:textId="77777777" w:rsidR="007E05AB" w:rsidRDefault="00DF612D" w:rsidP="007F76BC">
      <w:pPr>
        <w:pStyle w:val="Listenabsatz"/>
        <w:numPr>
          <w:ilvl w:val="0"/>
          <w:numId w:val="58"/>
        </w:numPr>
        <w:contextualSpacing w:val="0"/>
      </w:pPr>
      <w:r w:rsidRPr="00165F47">
        <w:t xml:space="preserve">Die Höhe der mitgeteilten Flexibilitätsübertragung eines Biogas-Bilanzkreispaares muss übereinstimmen </w:t>
      </w:r>
      <w:proofErr w:type="spellStart"/>
      <w:r w:rsidRPr="00165F47">
        <w:t>Flexüber</w:t>
      </w:r>
      <w:proofErr w:type="spellEnd"/>
      <w:r w:rsidRPr="00165F47">
        <w:t xml:space="preserve">, ab = </w:t>
      </w:r>
      <w:proofErr w:type="spellStart"/>
      <w:r w:rsidRPr="00165F47">
        <w:t>Flexüber</w:t>
      </w:r>
      <w:proofErr w:type="spellEnd"/>
      <w:r w:rsidRPr="00165F47">
        <w:t>, auf. Wenn die Werte nicht übereinstimmen, dann wird der höhere Wert eingekürzt auf den geringeren der beiden Werte („</w:t>
      </w:r>
      <w:proofErr w:type="spellStart"/>
      <w:r w:rsidRPr="00165F47">
        <w:t>lesser</w:t>
      </w:r>
      <w:proofErr w:type="spellEnd"/>
      <w:r w:rsidRPr="00165F47">
        <w:t xml:space="preserve"> </w:t>
      </w:r>
      <w:proofErr w:type="spellStart"/>
      <w:r w:rsidRPr="00165F47">
        <w:t>rule</w:t>
      </w:r>
      <w:proofErr w:type="spellEnd"/>
      <w:r w:rsidRPr="00165F47">
        <w:t>“).</w:t>
      </w:r>
    </w:p>
    <w:p w14:paraId="787D1137" w14:textId="77777777" w:rsidR="007E05AB" w:rsidRDefault="00DF612D" w:rsidP="007F76BC">
      <w:pPr>
        <w:pStyle w:val="Listenabsatz"/>
        <w:numPr>
          <w:ilvl w:val="0"/>
          <w:numId w:val="58"/>
        </w:numPr>
        <w:contextualSpacing w:val="0"/>
      </w:pPr>
      <w:r w:rsidRPr="00165F47">
        <w:t xml:space="preserve">Pro Biogas-Rechnungs-Bilanzkreis muss täglich innerhalb der 20 WT die Summe aller übertragenen Flexibilitäten </w:t>
      </w:r>
      <w:proofErr w:type="spellStart"/>
      <w:r w:rsidRPr="00165F47">
        <w:t>Flexüber</w:t>
      </w:r>
      <w:proofErr w:type="spellEnd"/>
      <w:r w:rsidRPr="00165F47">
        <w:t xml:space="preserve"> an andere Biogas-Bilanzkreise kleiner oder gleich des jeweiligen Tagesstartwertes der Flexibilität sein.</w:t>
      </w:r>
    </w:p>
    <w:p w14:paraId="710A57C6" w14:textId="77777777" w:rsidR="00DF612D" w:rsidRPr="000F1B45" w:rsidRDefault="00DF612D" w:rsidP="00ED506F">
      <w:r w:rsidRPr="000F1B45">
        <w:t xml:space="preserve">Sollte eine </w:t>
      </w:r>
      <w:r w:rsidR="00C35876">
        <w:t xml:space="preserve">der ersten drei </w:t>
      </w:r>
      <w:r w:rsidRPr="000F1B45">
        <w:t>Bedingung</w:t>
      </w:r>
      <w:r w:rsidR="00C35876">
        <w:t>en</w:t>
      </w:r>
      <w:r w:rsidRPr="000F1B45">
        <w:t xml:space="preserve"> nicht erfüllt sein, so wird die dazugehö</w:t>
      </w:r>
      <w:r>
        <w:t xml:space="preserve">rige Flexibilitätsübertragung </w:t>
      </w:r>
      <w:r w:rsidRPr="000F1B45">
        <w:t xml:space="preserve">abgelehnt. </w:t>
      </w:r>
      <w:r w:rsidR="00C35876">
        <w:t>Bei</w:t>
      </w:r>
      <w:r w:rsidRPr="000F1B45">
        <w:t xml:space="preserve"> Bedingung 4</w:t>
      </w:r>
      <w:r w:rsidR="00C35876">
        <w:t>, 5 und 6</w:t>
      </w:r>
      <w:r w:rsidRPr="000F1B45">
        <w:t xml:space="preserve"> findet eine Kürzung der Menge statt.</w:t>
      </w:r>
    </w:p>
    <w:p w14:paraId="34D63D3E" w14:textId="77777777" w:rsidR="004259E3" w:rsidRPr="000F1B45" w:rsidRDefault="004259E3" w:rsidP="00ED506F">
      <w:r>
        <w:t xml:space="preserve">Sofern eine Nachricht des BKV mindestens eine der ersten drei </w:t>
      </w:r>
      <w:r w:rsidR="0031234B">
        <w:t>Bedingungen</w:t>
      </w:r>
      <w:r>
        <w:t xml:space="preserve"> nicht erfüllt</w:t>
      </w:r>
      <w:r w:rsidR="008865A3">
        <w:t>,</w:t>
      </w:r>
      <w:r>
        <w:t xml:space="preserve"> sendet der MGV an den BKV diesbezüglich eine Ablehnungsmeldung.</w:t>
      </w:r>
    </w:p>
    <w:p w14:paraId="19F8462C" w14:textId="77777777" w:rsidR="00DF612D" w:rsidRPr="000664D2" w:rsidRDefault="00DF612D" w:rsidP="00ED506F">
      <w:pPr>
        <w:rPr>
          <w:rFonts w:cs="Arial"/>
        </w:rPr>
      </w:pPr>
      <w:r w:rsidRPr="000F1B45">
        <w:rPr>
          <w:rFonts w:cs="Arial"/>
        </w:rPr>
        <w:t xml:space="preserve">Die Bedingungen 1 bis 3 werden direkt beim Eingang der Nachrichten geprüft. Die BKV melden die Flexibilitätsübertragung zwischen zwei RBK </w:t>
      </w:r>
      <w:r w:rsidR="00D50CB9">
        <w:rPr>
          <w:rFonts w:cs="Arial"/>
        </w:rPr>
        <w:t>mit</w:t>
      </w:r>
      <w:r w:rsidRPr="000F1B45">
        <w:rPr>
          <w:rFonts w:cs="Arial"/>
        </w:rPr>
        <w:t xml:space="preserve"> jeweils einer Nachricht. Als Inhalte müssen die Bilanzierungsperiode, die Bilanzkreiscodes sowie die Übertragungsmenge genannt sein. Eine Nachricht darf nur jeweils eine Flexibilitätsübertragung an einen anderen Bilanzkreis enthalten.</w:t>
      </w:r>
    </w:p>
    <w:p w14:paraId="64A8C6DF" w14:textId="67488BB2" w:rsidR="00DF612D" w:rsidRPr="007D6984" w:rsidRDefault="00DF612D" w:rsidP="00ED506F">
      <w:r w:rsidRPr="007D6984">
        <w:t>Nachrichten innerhalb eines Tages mit Bezug auf dasselbe RBK-Paar überschreiben sich. Nachrichten mit Bezug auf dasselbe RBK-Paar mit verschiedenen Eingangstagen bleiben separat erhalten und ergänzen sich.</w:t>
      </w:r>
    </w:p>
    <w:p w14:paraId="4CE8C915" w14:textId="5B2D6798" w:rsidR="00DF612D" w:rsidRPr="007D6984" w:rsidRDefault="00DF612D" w:rsidP="00ED506F">
      <w:r w:rsidRPr="007D6984">
        <w:t xml:space="preserve">Die Bedingungen 4-6 </w:t>
      </w:r>
      <w:r w:rsidR="00D1748E">
        <w:t xml:space="preserve">werden durch den MGV nach 17:00 Uhr </w:t>
      </w:r>
      <w:r w:rsidRPr="007D6984">
        <w:t>geprüft. Bei ungleichen Übertragungsmengen findet durch den MGV eine Kürzung der abgestimmten Übertragungsmenge gemäß „</w:t>
      </w:r>
      <w:proofErr w:type="spellStart"/>
      <w:r w:rsidR="00843F48">
        <w:t>l</w:t>
      </w:r>
      <w:r w:rsidR="000E634C">
        <w:t>esser</w:t>
      </w:r>
      <w:proofErr w:type="spellEnd"/>
      <w:r w:rsidRPr="007D6984">
        <w:t xml:space="preserve"> </w:t>
      </w:r>
      <w:proofErr w:type="spellStart"/>
      <w:r w:rsidRPr="007D6984">
        <w:t>rule</w:t>
      </w:r>
      <w:proofErr w:type="spellEnd"/>
      <w:r w:rsidRPr="007D6984">
        <w:t>“ statt.</w:t>
      </w:r>
    </w:p>
    <w:p w14:paraId="19771781" w14:textId="6852B9B7" w:rsidR="00DF612D" w:rsidRPr="007D6984" w:rsidRDefault="00D1748E" w:rsidP="00ED506F">
      <w:r>
        <w:t xml:space="preserve">Der </w:t>
      </w:r>
      <w:r w:rsidR="00DF612D" w:rsidRPr="007D6984">
        <w:t xml:space="preserve">MGV </w:t>
      </w:r>
      <w:r>
        <w:t xml:space="preserve">verarbeitet </w:t>
      </w:r>
      <w:r w:rsidR="00DF612D" w:rsidRPr="007D6984">
        <w:t>die Mitteilungspaare der Flexibilitätsübertragung sukzessive nach der Reihenfolge des Eingangs. Dabei definiert der Eingangszeitpunkt der dazugehörigen Ge</w:t>
      </w:r>
      <w:r w:rsidR="008F0645">
        <w:t xml:space="preserve">gennachricht </w:t>
      </w:r>
      <w:r w:rsidR="00DF612D" w:rsidRPr="007D6984">
        <w:t>beim MGV die Reihenfolge. Bei der Überschreibung von Nachrichten innerhalb eines Tages gilt der Eingangszeitpunkt der überschreibenden Nachricht. Führt die Mitteilung einer</w:t>
      </w:r>
      <w:r w:rsidR="008F0645">
        <w:t xml:space="preserve"> Flexibilitätsabgabe insgesamt </w:t>
      </w:r>
      <w:r w:rsidR="00DF612D" w:rsidRPr="007D6984">
        <w:t>zu einer Übertragungsmenge, die höher ist als der Tagesstartwert des abgebenden RBK, wird diese abgelehnt.</w:t>
      </w:r>
    </w:p>
    <w:p w14:paraId="08CD606C" w14:textId="49CA8A3D" w:rsidR="00DF612D" w:rsidRPr="007D6984" w:rsidRDefault="00DF612D" w:rsidP="00ED506F">
      <w:r w:rsidRPr="007D6984">
        <w:lastRenderedPageBreak/>
        <w:t>Eine Ablehnung einer Mitteilung führt nicht zum vollständigen Stopp des Übertragungsprozesses für den Tag.</w:t>
      </w:r>
    </w:p>
    <w:p w14:paraId="49F8B752" w14:textId="24476A6E" w:rsidR="00DF612D" w:rsidRPr="007D6984" w:rsidRDefault="00DF612D" w:rsidP="00ED506F">
      <w:r w:rsidRPr="007D6984">
        <w:t xml:space="preserve">Im Falle einer positiven Übertragung der Flexibilität versendet der MGV eine Antwortnachricht an den jeweiligen BKV mit dem übertragenen Flexibilitätswert bis </w:t>
      </w:r>
      <w:r w:rsidR="00474FE2">
        <w:t xml:space="preserve">18 </w:t>
      </w:r>
      <w:r w:rsidRPr="007D6984">
        <w:t>Uhr des jeweiligen Tages, im Falle der Ablehnung erfolgt bis zum gleichen Zeitpunkt eine Mitteilung an den jeweiligen BKV mit einem Übertragungswert von Null. Die Übertragungen werden in der Reihenfolge abgearbeitet</w:t>
      </w:r>
      <w:r w:rsidR="009A61AF">
        <w:t>,</w:t>
      </w:r>
      <w:r w:rsidRPr="007D6984">
        <w:t xml:space="preserve"> in der für eine Meldung beide gegenläufigen Nachrichten eingegangen sind – d.</w:t>
      </w:r>
      <w:r w:rsidR="0065115A">
        <w:t> </w:t>
      </w:r>
      <w:r w:rsidRPr="007D6984">
        <w:t>h. die spätere Meldung ist ausschlaggebend.</w:t>
      </w:r>
    </w:p>
    <w:p w14:paraId="659DA572" w14:textId="2837057A" w:rsidR="00DF612D" w:rsidRPr="000F1B45" w:rsidRDefault="00DF612D" w:rsidP="00ED506F">
      <w:pPr>
        <w:rPr>
          <w:rFonts w:cs="Arial"/>
        </w:rPr>
      </w:pPr>
      <w:r w:rsidRPr="000F1B45">
        <w:rPr>
          <w:rFonts w:cs="Arial"/>
        </w:rPr>
        <w:t>Die abgelehnte Übertragung kann am Folgetag bei Vorhandensein von ausreichend Flexibilität zu diesem Zeitpunkt wiederholt werden. Die erfolgreiche Übertragung des Vortags darf nicht wiederholt werden da sonst die Flexibilität doppelt übertragen wird.</w:t>
      </w:r>
      <w:r>
        <w:rPr>
          <w:rFonts w:cs="Arial"/>
        </w:rPr>
        <w:t xml:space="preserve"> </w:t>
      </w:r>
      <w:r w:rsidRPr="000F1B45">
        <w:rPr>
          <w:rFonts w:cs="Arial"/>
        </w:rPr>
        <w:t>Eine Mitteilung mit einer Übertragungshöhe, die die im Konto vorhandene Flexibilität übersteigt</w:t>
      </w:r>
      <w:r w:rsidR="00791055">
        <w:rPr>
          <w:rFonts w:cs="Arial"/>
        </w:rPr>
        <w:t>,</w:t>
      </w:r>
      <w:r w:rsidRPr="000F1B45">
        <w:rPr>
          <w:rFonts w:cs="Arial"/>
        </w:rPr>
        <w:t xml:space="preserve"> wird abgelehnt, eine zeitlich dahinter liegende, di</w:t>
      </w:r>
      <w:r>
        <w:rPr>
          <w:rFonts w:cs="Arial"/>
        </w:rPr>
        <w:t>e noch passt, wird angenommen.</w:t>
      </w:r>
    </w:p>
    <w:p w14:paraId="6BE0EC64" w14:textId="77777777" w:rsidR="00DF612D" w:rsidRDefault="00DF612D" w:rsidP="00ED506F">
      <w:pPr>
        <w:rPr>
          <w:rFonts w:cs="Arial"/>
        </w:rPr>
      </w:pPr>
      <w:r w:rsidRPr="000F1B45">
        <w:rPr>
          <w:rFonts w:cs="Arial"/>
        </w:rPr>
        <w:t>Aus den täglich abgegebenen und aufgenommenen Flexibilitätsübertragungsmengen ergibt sich der nachfolgende neue Tagesstartwert der Flexibilität des jeweiligen Biogas-RBK des nächsten Tages.</w:t>
      </w:r>
    </w:p>
    <w:p w14:paraId="18A225B8" w14:textId="578C89D2" w:rsidR="00377FE6" w:rsidRPr="00B2339F" w:rsidRDefault="00377FE6" w:rsidP="00003CB7">
      <w:pPr>
        <w:spacing w:after="0"/>
        <w:rPr>
          <w:b/>
          <w:bCs/>
        </w:rPr>
      </w:pPr>
      <w:bookmarkStart w:id="813" w:name="_Toc280702174"/>
      <w:bookmarkStart w:id="814" w:name="_Toc285005408"/>
      <w:bookmarkStart w:id="815" w:name="_Toc285313965"/>
      <w:bookmarkStart w:id="816" w:name="_Toc285126088"/>
      <w:bookmarkStart w:id="817" w:name="_Toc296694349"/>
    </w:p>
    <w:p w14:paraId="33A5F304" w14:textId="77777777" w:rsidR="007E05AB" w:rsidRDefault="00DF612D" w:rsidP="00B2339F">
      <w:pPr>
        <w:pStyle w:val="berschrift2"/>
        <w:spacing w:before="480"/>
        <w:ind w:left="567" w:hanging="567"/>
      </w:pPr>
      <w:bookmarkStart w:id="818" w:name="_Toc280808878"/>
      <w:bookmarkStart w:id="819" w:name="_Toc284323671"/>
      <w:bookmarkStart w:id="820" w:name="_Toc284334348"/>
      <w:bookmarkStart w:id="821" w:name="_Toc285005322"/>
      <w:bookmarkStart w:id="822" w:name="_Ref291640624"/>
      <w:bookmarkStart w:id="823" w:name="_Toc319395078"/>
      <w:bookmarkStart w:id="824" w:name="_Toc296694129"/>
      <w:bookmarkStart w:id="825" w:name="_Toc391540193"/>
      <w:bookmarkStart w:id="826" w:name="_Toc412661355"/>
      <w:bookmarkStart w:id="827" w:name="_Toc111118511"/>
      <w:bookmarkEnd w:id="813"/>
      <w:bookmarkEnd w:id="814"/>
      <w:bookmarkEnd w:id="815"/>
      <w:bookmarkEnd w:id="816"/>
      <w:bookmarkEnd w:id="817"/>
      <w:r w:rsidRPr="00A87A77">
        <w:t>Speicherung von Biogas</w:t>
      </w:r>
      <w:bookmarkEnd w:id="818"/>
      <w:bookmarkEnd w:id="819"/>
      <w:bookmarkEnd w:id="820"/>
      <w:bookmarkEnd w:id="821"/>
      <w:bookmarkEnd w:id="822"/>
      <w:bookmarkEnd w:id="823"/>
      <w:bookmarkEnd w:id="824"/>
      <w:bookmarkEnd w:id="825"/>
      <w:bookmarkEnd w:id="826"/>
      <w:bookmarkEnd w:id="827"/>
    </w:p>
    <w:p w14:paraId="0068B547" w14:textId="6E8EBB4C" w:rsidR="00DF612D" w:rsidRDefault="00DF612D" w:rsidP="003C2438">
      <w:pPr>
        <w:rPr>
          <w:rFonts w:cs="Arial"/>
        </w:rPr>
      </w:pPr>
      <w:r>
        <w:rPr>
          <w:rFonts w:cs="Arial"/>
        </w:rPr>
        <w:t>Die Einspeicherung in oder die Ausspeicherung aus einem Speicher darf nicht dazu führen, dass die besondere Eigenschaft eines Biogas-BK verloren geht. Um das zu gewährleisten, muss der BKV – analog wie bei der Mengenübertragung in den Kapiteln zuvor beschrieben – große Sorgfalt darauflegen, dass nur von Biogas-BK an besondere Biogas-Speicherkonten nominiert wird. Natürlich können Biogasmengen auch in ein Erdgas-Speicherkonto übertragen werden, dadurch verlieren sie aber</w:t>
      </w:r>
      <w:r w:rsidRPr="008547C0">
        <w:rPr>
          <w:rFonts w:cs="Arial"/>
        </w:rPr>
        <w:t xml:space="preserve"> </w:t>
      </w:r>
      <w:r>
        <w:rPr>
          <w:rFonts w:cs="Arial"/>
        </w:rPr>
        <w:t xml:space="preserve">bei der Ausspeicherung ihre speziellen </w:t>
      </w:r>
      <w:proofErr w:type="spellStart"/>
      <w:r>
        <w:rPr>
          <w:rFonts w:cs="Arial"/>
        </w:rPr>
        <w:t>Biogasflexi</w:t>
      </w:r>
      <w:r w:rsidR="00C07609">
        <w:rPr>
          <w:rFonts w:cs="Arial"/>
        </w:rPr>
        <w:t>-</w:t>
      </w:r>
      <w:r>
        <w:rPr>
          <w:rFonts w:cs="Arial"/>
        </w:rPr>
        <w:t>bilitäten</w:t>
      </w:r>
      <w:proofErr w:type="spellEnd"/>
      <w:r w:rsidRPr="008547C0">
        <w:rPr>
          <w:rFonts w:cs="Arial"/>
        </w:rPr>
        <w:t xml:space="preserve"> </w:t>
      </w:r>
      <w:r>
        <w:rPr>
          <w:rFonts w:cs="Arial"/>
        </w:rPr>
        <w:t>und können nicht mehr in Biogas-BK übertragen werden.</w:t>
      </w:r>
      <w:r w:rsidR="007C1791">
        <w:rPr>
          <w:rFonts w:cs="Arial"/>
        </w:rPr>
        <w:t xml:space="preserve"> Für die </w:t>
      </w:r>
      <w:r w:rsidR="007C1791" w:rsidRPr="00BE17C5">
        <w:rPr>
          <w:rFonts w:cs="Arial"/>
        </w:rPr>
        <w:t xml:space="preserve">Allokation wird der Zeitreihentyp </w:t>
      </w:r>
      <w:proofErr w:type="spellStart"/>
      <w:r w:rsidR="007C1791" w:rsidRPr="00BE17C5">
        <w:rPr>
          <w:rFonts w:cs="Arial"/>
        </w:rPr>
        <w:t>Exitso</w:t>
      </w:r>
      <w:proofErr w:type="spellEnd"/>
      <w:r w:rsidR="007C1791" w:rsidRPr="00BE17C5">
        <w:rPr>
          <w:rFonts w:cs="Arial"/>
        </w:rPr>
        <w:t xml:space="preserve"> und </w:t>
      </w:r>
      <w:proofErr w:type="spellStart"/>
      <w:r w:rsidR="007C1791">
        <w:rPr>
          <w:rFonts w:cs="Arial"/>
        </w:rPr>
        <w:t>Entryso</w:t>
      </w:r>
      <w:proofErr w:type="spellEnd"/>
      <w:r w:rsidR="007C1791" w:rsidRPr="00BE17C5">
        <w:rPr>
          <w:rFonts w:cs="Arial"/>
        </w:rPr>
        <w:t xml:space="preserve"> verwendet.</w:t>
      </w:r>
    </w:p>
    <w:p w14:paraId="4BFF0995" w14:textId="77777777" w:rsidR="00E157A6" w:rsidRDefault="00DF612D" w:rsidP="003C2438">
      <w:pPr>
        <w:rPr>
          <w:rFonts w:cs="Arial"/>
        </w:rPr>
      </w:pPr>
      <w:r>
        <w:rPr>
          <w:rFonts w:cs="Arial"/>
        </w:rPr>
        <w:t>Für die Abwicklung von Einspeisungen in und Ausspeisungen aus Speichern gelten folgende Grundregeln:</w:t>
      </w:r>
    </w:p>
    <w:p w14:paraId="121F7A17" w14:textId="297ABD2A" w:rsidR="00E157A6" w:rsidRDefault="00DF612D" w:rsidP="007F76BC">
      <w:pPr>
        <w:pStyle w:val="Listenabsatz"/>
        <w:numPr>
          <w:ilvl w:val="0"/>
          <w:numId w:val="32"/>
        </w:numPr>
      </w:pPr>
      <w:bookmarkStart w:id="828" w:name="_Toc357091993"/>
      <w:r w:rsidRPr="00D5153E">
        <w:t>Grundsätzlich kann zu keiner Stunde mehr Biogas aus dem Speicher ausgelagert werden als zuvor eingelagert wurde. Der Speicherbetreiber (SSO) kontrolliert, dass das speicherseitige Biogas-Speicherkonto/der Biogas-Speichervertrag nicht negativ wird.</w:t>
      </w:r>
      <w:bookmarkEnd w:id="828"/>
    </w:p>
    <w:p w14:paraId="5C9B87DD" w14:textId="64B7C6C0" w:rsidR="00E157A6" w:rsidRDefault="00DF612D" w:rsidP="007F76BC">
      <w:pPr>
        <w:pStyle w:val="Listenabsatz"/>
        <w:numPr>
          <w:ilvl w:val="0"/>
          <w:numId w:val="32"/>
        </w:numPr>
      </w:pPr>
      <w:bookmarkStart w:id="829" w:name="_Toc357091994"/>
      <w:r w:rsidRPr="00D5153E">
        <w:t>Für die operative Abwicklung der Ein- und Auslagerung von Biogas in den Speicher müssen im Vorfeld ein Speichervertrag abgeschlossen werden durch einen Speicherkunden und besondere Biogas-Konten vom SSO für die Speicherung von Biogas vergeben werden. Die Ein- und Ausspeisung aus dem Netz kann nur unter der besonderen Biogas-Bilanzkreisnummer erfolgen.</w:t>
      </w:r>
      <w:bookmarkEnd w:id="829"/>
    </w:p>
    <w:p w14:paraId="55B81C60" w14:textId="7950B36D" w:rsidR="00E157A6" w:rsidRDefault="00DF612D" w:rsidP="007F76BC">
      <w:pPr>
        <w:pStyle w:val="Listenabsatz"/>
        <w:numPr>
          <w:ilvl w:val="0"/>
          <w:numId w:val="32"/>
        </w:numPr>
      </w:pPr>
      <w:bookmarkStart w:id="830" w:name="_Toc357091995"/>
      <w:r w:rsidRPr="00D5153E">
        <w:lastRenderedPageBreak/>
        <w:t>Der SSO lässt eine Einspeisung in den Speicher in ein besonderes speicherseitiges Biogas-Konto nur dann zu, wenn der abgebende Bilanzkreis im Netz des NB ein Biogas-BK ist.</w:t>
      </w:r>
      <w:bookmarkEnd w:id="830"/>
    </w:p>
    <w:p w14:paraId="132568B8" w14:textId="28004A38" w:rsidR="00E157A6" w:rsidRDefault="00DF612D" w:rsidP="007F76BC">
      <w:pPr>
        <w:pStyle w:val="Listenabsatz"/>
        <w:numPr>
          <w:ilvl w:val="0"/>
          <w:numId w:val="32"/>
        </w:numPr>
      </w:pPr>
      <w:bookmarkStart w:id="831" w:name="_Toc357091996"/>
      <w:r w:rsidRPr="00D5153E">
        <w:t>Der NB lässt eine Einspeisung aus einem Speicher in einen Biogas-BK nur dann zu, wenn das abgebende Speicherkonto ein Biogas-Speicherkonto ist.</w:t>
      </w:r>
      <w:bookmarkEnd w:id="831"/>
    </w:p>
    <w:p w14:paraId="1D2F0628" w14:textId="77777777" w:rsidR="00E157A6" w:rsidRDefault="00DF612D" w:rsidP="007F76BC">
      <w:pPr>
        <w:pStyle w:val="Listenabsatz"/>
        <w:numPr>
          <w:ilvl w:val="0"/>
          <w:numId w:val="32"/>
        </w:numPr>
      </w:pPr>
      <w:bookmarkStart w:id="832" w:name="_Toc357091997"/>
      <w:r w:rsidRPr="00D5153E">
        <w:t>Das vom SSO eingerichtete Biogas-Speicherkonto erhält die gleiche Laufzeit wie der Biogas-BK, vorausgesetzt der Speichervertrag mit dem SSO besteht mindestens bis zum Ende der Laufzeit des Biogas-BK. Der Speicherkunde teilt dem SSO die Laufzeit des Biogas-BK im Vorfeld schriftlich mit.</w:t>
      </w:r>
      <w:bookmarkEnd w:id="832"/>
    </w:p>
    <w:p w14:paraId="300BDF8F" w14:textId="2E2C164B" w:rsidR="00E157A6" w:rsidRDefault="00DF612D" w:rsidP="007F76BC">
      <w:pPr>
        <w:pStyle w:val="Listenabsatz"/>
        <w:numPr>
          <w:ilvl w:val="0"/>
          <w:numId w:val="32"/>
        </w:numPr>
      </w:pPr>
      <w:bookmarkStart w:id="833" w:name="_Toc357091998"/>
      <w:r w:rsidRPr="00D5153E">
        <w:t>Das Biogas kann – je nach Laufzeit des Speichervertrages – auch länger als über einen Bilanzierungs</w:t>
      </w:r>
      <w:r w:rsidR="00705FC0">
        <w:t>zeitraum gespeichert werden, d.</w:t>
      </w:r>
      <w:r w:rsidR="00843F48">
        <w:t> </w:t>
      </w:r>
      <w:r w:rsidRPr="00D5153E">
        <w:t>h. es kann in das folgende Kalenderjahr oder GWJ übertragen werden. Hierzu ist es erforderlich, dass der Speicherkunde die Laufzeit des entsprechenden Biogas-Speicherkontos verlängert. Mit einer Verlängerung der Laufzeit erhält das Biogas-Speicherkonto eine neue speicherseitige Bilanzspeicherkontonummer.</w:t>
      </w:r>
      <w:bookmarkEnd w:id="833"/>
    </w:p>
    <w:p w14:paraId="528C3F2C" w14:textId="77777777" w:rsidR="00E157A6" w:rsidRDefault="00DF612D" w:rsidP="007F76BC">
      <w:pPr>
        <w:pStyle w:val="Listenabsatz"/>
        <w:numPr>
          <w:ilvl w:val="0"/>
          <w:numId w:val="32"/>
        </w:numPr>
      </w:pPr>
      <w:bookmarkStart w:id="834" w:name="_Toc357091999"/>
      <w:r w:rsidRPr="00D5153E">
        <w:t>Das nach der Biogas-Bilanzierungsperiode im Speicher verbleibende nicht ausgelagerte Biogas kann in der nächsten Bilanzierungsperiode in einen Biogas-Bilanzkreis wieder ausgespeist werden. Der Speicherkunde teilt dem NB und dem SSO die neue Biogas-Bilanzkreisnummer mit.</w:t>
      </w:r>
      <w:bookmarkEnd w:id="834"/>
    </w:p>
    <w:p w14:paraId="69606D19" w14:textId="77777777" w:rsidR="00E157A6" w:rsidRDefault="00DF612D" w:rsidP="007F76BC">
      <w:pPr>
        <w:pStyle w:val="Listenabsatz"/>
        <w:numPr>
          <w:ilvl w:val="0"/>
          <w:numId w:val="32"/>
        </w:numPr>
      </w:pPr>
      <w:bookmarkStart w:id="835" w:name="_Toc357092000"/>
      <w:r w:rsidRPr="00D5153E">
        <w:t>Der Speicherkunde hat zusätzlich die Option, das in einem Biogas-Speicherkonto gespeicherte Biogas in ein Erdgas-Speicherkonto zu übertragen. Mit der Übertragung verliert das Biogas den besonderen Biogas-Status und kann nicht mehr in einen Biogas-BK ausgespeist werden. Für die Übertragung gelten die jeweilig</w:t>
      </w:r>
      <w:r w:rsidR="00FA1ECC">
        <w:t>en Regelungen der einzelnen SSO</w:t>
      </w:r>
      <w:r w:rsidRPr="00D5153E">
        <w:t>.</w:t>
      </w:r>
      <w:bookmarkEnd w:id="835"/>
    </w:p>
    <w:p w14:paraId="33464A6C" w14:textId="6C600DD1" w:rsidR="005B6EBC" w:rsidRDefault="00DF612D" w:rsidP="007F76BC">
      <w:pPr>
        <w:pStyle w:val="Listenabsatz"/>
        <w:numPr>
          <w:ilvl w:val="0"/>
          <w:numId w:val="32"/>
        </w:numPr>
      </w:pPr>
      <w:bookmarkStart w:id="836" w:name="_Toc357092001"/>
      <w:r w:rsidRPr="00D5153E">
        <w:t xml:space="preserve">Für die Nominierungen von Biogas für die Ein- und Auslagerung werden spezielle </w:t>
      </w:r>
      <w:proofErr w:type="spellStart"/>
      <w:r w:rsidRPr="00D5153E">
        <w:t>Ship</w:t>
      </w:r>
      <w:r w:rsidR="002F7CBA">
        <w:t>-</w:t>
      </w:r>
      <w:r w:rsidRPr="00D5153E">
        <w:t>percodepaare</w:t>
      </w:r>
      <w:proofErr w:type="spellEnd"/>
      <w:r w:rsidRPr="00D5153E">
        <w:t xml:space="preserve"> zugeordnet. Dabei ist der netzseitige </w:t>
      </w:r>
      <w:proofErr w:type="spellStart"/>
      <w:r w:rsidRPr="00D5153E">
        <w:t>Shippercode</w:t>
      </w:r>
      <w:proofErr w:type="spellEnd"/>
      <w:r w:rsidRPr="00D5153E">
        <w:t xml:space="preserve"> identisch mit der Biogas-Bilanzkreisnummer. Der speicherseitige </w:t>
      </w:r>
      <w:proofErr w:type="spellStart"/>
      <w:r w:rsidRPr="00D5153E">
        <w:t>Shippercode</w:t>
      </w:r>
      <w:proofErr w:type="spellEnd"/>
      <w:r w:rsidRPr="00D5153E">
        <w:t xml:space="preserve"> soll identisch mit der vom SSO vergebenen Kontonummer des besonderen speicherseitigen Biogas-Kontos sein, sofern der SSO die Einrichtung eines speicherseitigen Biogas-Kontos zulässt.</w:t>
      </w:r>
      <w:bookmarkStart w:id="837" w:name="_Toc357092002"/>
      <w:bookmarkEnd w:id="836"/>
    </w:p>
    <w:p w14:paraId="2AA1F21E" w14:textId="77777777" w:rsidR="00AC39DD" w:rsidRDefault="00DF612D" w:rsidP="007F76BC">
      <w:pPr>
        <w:pStyle w:val="Listenabsatz"/>
        <w:numPr>
          <w:ilvl w:val="0"/>
          <w:numId w:val="32"/>
        </w:numPr>
      </w:pPr>
      <w:r w:rsidRPr="00D5153E">
        <w:t>Weitere Festlegungen im Rahmen der operativen Abwicklung sind in den Allgemeinen Geschäftsbedingungen des jeweiligen SSO geregelt.</w:t>
      </w:r>
      <w:bookmarkEnd w:id="837"/>
    </w:p>
    <w:p w14:paraId="05AC1E09" w14:textId="77777777" w:rsidR="00DB0BC2" w:rsidRDefault="00DB0BC2" w:rsidP="003C2438">
      <w:pPr>
        <w:rPr>
          <w:rFonts w:cs="Arial"/>
        </w:rPr>
      </w:pPr>
      <w:r>
        <w:rPr>
          <w:rFonts w:cs="Arial"/>
        </w:rPr>
        <w:br w:type="page"/>
      </w:r>
    </w:p>
    <w:p w14:paraId="3708F2E5" w14:textId="77777777" w:rsidR="007E05AB" w:rsidRDefault="000B528B" w:rsidP="00B2339F">
      <w:pPr>
        <w:pStyle w:val="berschrift1"/>
      </w:pPr>
      <w:bookmarkStart w:id="838" w:name="_Toc346537681"/>
      <w:bookmarkStart w:id="839" w:name="_Toc346537843"/>
      <w:bookmarkStart w:id="840" w:name="_Toc346785041"/>
      <w:bookmarkStart w:id="841" w:name="_Toc346868168"/>
      <w:bookmarkStart w:id="842" w:name="_Toc347920176"/>
      <w:bookmarkStart w:id="843" w:name="_Toc347921416"/>
      <w:bookmarkStart w:id="844" w:name="_Toc347921474"/>
      <w:bookmarkStart w:id="845" w:name="_Toc347921696"/>
      <w:bookmarkStart w:id="846" w:name="_Toc347926656"/>
      <w:bookmarkStart w:id="847" w:name="_Toc347995044"/>
      <w:bookmarkStart w:id="848" w:name="_Toc347995151"/>
      <w:bookmarkStart w:id="849" w:name="_Toc347997822"/>
      <w:bookmarkStart w:id="850" w:name="_Toc347997929"/>
      <w:bookmarkStart w:id="851" w:name="_Ref348534236"/>
      <w:bookmarkStart w:id="852" w:name="_Toc391540194"/>
      <w:bookmarkStart w:id="853" w:name="_Toc412661356"/>
      <w:bookmarkStart w:id="854" w:name="_Toc111118512"/>
      <w:bookmarkEnd w:id="838"/>
      <w:bookmarkEnd w:id="839"/>
      <w:bookmarkEnd w:id="840"/>
      <w:bookmarkEnd w:id="841"/>
      <w:bookmarkEnd w:id="842"/>
      <w:bookmarkEnd w:id="843"/>
      <w:bookmarkEnd w:id="844"/>
      <w:bookmarkEnd w:id="845"/>
      <w:bookmarkEnd w:id="846"/>
      <w:bookmarkEnd w:id="847"/>
      <w:bookmarkEnd w:id="848"/>
      <w:bookmarkEnd w:id="849"/>
      <w:bookmarkEnd w:id="850"/>
      <w:r>
        <w:lastRenderedPageBreak/>
        <w:t>Konvertierung und Konvertierungsumlage</w:t>
      </w:r>
      <w:bookmarkEnd w:id="851"/>
      <w:bookmarkEnd w:id="852"/>
      <w:bookmarkEnd w:id="853"/>
      <w:bookmarkEnd w:id="854"/>
    </w:p>
    <w:p w14:paraId="6D5B1ACC" w14:textId="77777777" w:rsidR="007E05AB" w:rsidRDefault="000B528B" w:rsidP="00B2339F">
      <w:pPr>
        <w:pStyle w:val="berschrift2"/>
        <w:spacing w:before="480"/>
        <w:ind w:left="567" w:hanging="567"/>
      </w:pPr>
      <w:bookmarkStart w:id="855" w:name="_Toc391540195"/>
      <w:bookmarkStart w:id="856" w:name="_Toc412661357"/>
      <w:bookmarkStart w:id="857" w:name="_Toc111118513"/>
      <w:r>
        <w:t>Grundsätze der Konvertierung</w:t>
      </w:r>
      <w:bookmarkEnd w:id="855"/>
      <w:bookmarkEnd w:id="856"/>
      <w:bookmarkEnd w:id="857"/>
    </w:p>
    <w:p w14:paraId="5B1FFB9E" w14:textId="554DBCAB" w:rsidR="006B3C70" w:rsidRPr="0096765E" w:rsidRDefault="006B3C70" w:rsidP="006B3C70">
      <w:r>
        <w:t xml:space="preserve">Bilanzkreisverantwortliche erhalten </w:t>
      </w:r>
      <w:r w:rsidR="00474FE2">
        <w:t xml:space="preserve">gemäß der Festlegungen BK7-11-002 und BK7-16-050 der Bundesnetzagentur </w:t>
      </w:r>
      <w:r>
        <w:t>die Möglichkeit einer qualitätsübergreifenden Gasbilanzierung</w:t>
      </w:r>
      <w:r w:rsidR="00474FE2">
        <w:t xml:space="preserve"> im Marktgebiet</w:t>
      </w:r>
      <w:r>
        <w:t xml:space="preserve">. Zudem </w:t>
      </w:r>
      <w:r w:rsidRPr="0041148F">
        <w:t xml:space="preserve">existiert </w:t>
      </w:r>
      <w:r w:rsidR="00474FE2">
        <w:t xml:space="preserve">im </w:t>
      </w:r>
      <w:r>
        <w:t xml:space="preserve">Marktgebiet </w:t>
      </w:r>
      <w:r w:rsidRPr="0041148F">
        <w:t>nur ein virtueller Handelspunkt (VHP) an dem sowohl L-Gas als auch H-Gas gehandelt wird.</w:t>
      </w:r>
    </w:p>
    <w:p w14:paraId="7504D1CF" w14:textId="02D1783C" w:rsidR="000B528B" w:rsidRDefault="000B528B" w:rsidP="003C2438">
      <w:r w:rsidRPr="0096765E">
        <w:t xml:space="preserve">Jede </w:t>
      </w:r>
      <w:r w:rsidR="00A21C28" w:rsidRPr="006C7938">
        <w:t>Marktlokation</w:t>
      </w:r>
      <w:r w:rsidR="00A21C28">
        <w:t xml:space="preserve"> </w:t>
      </w:r>
      <w:r w:rsidRPr="0096765E">
        <w:t xml:space="preserve">wird durch den NB </w:t>
      </w:r>
      <w:r>
        <w:t xml:space="preserve">einem Bilanzkreis mit </w:t>
      </w:r>
      <w:r w:rsidRPr="0096765E">
        <w:t xml:space="preserve">der </w:t>
      </w:r>
      <w:r>
        <w:t>entsprechenden</w:t>
      </w:r>
      <w:r w:rsidRPr="0096765E">
        <w:t xml:space="preserve"> Gasqualität zugeordnet</w:t>
      </w:r>
      <w:r>
        <w:t>. Dies ist abhängig von der vorherrschenden Gasqualität im Netz.</w:t>
      </w:r>
      <w:r w:rsidR="00480422">
        <w:t xml:space="preserve"> Dies gilt auch für </w:t>
      </w:r>
      <w:proofErr w:type="spellStart"/>
      <w:r w:rsidR="00480422">
        <w:t>Bio</w:t>
      </w:r>
      <w:r>
        <w:t>gaseinspeisepunkte</w:t>
      </w:r>
      <w:proofErr w:type="spellEnd"/>
      <w:r>
        <w:t>.</w:t>
      </w:r>
    </w:p>
    <w:p w14:paraId="54F1E43D" w14:textId="077BC1F0" w:rsidR="00C90667" w:rsidRDefault="000B528B" w:rsidP="003C2438">
      <w:r w:rsidRPr="00DF612D">
        <w:t xml:space="preserve">Die Möglichkeiten einer qualitätsübergreifenden Bilanzierung </w:t>
      </w:r>
      <w:r>
        <w:t>können über die</w:t>
      </w:r>
      <w:r w:rsidRPr="00DF612D">
        <w:t xml:space="preserve"> Einrichtung einer Rechnungs-/Unterbilanzkreisstruktur</w:t>
      </w:r>
      <w:r>
        <w:t xml:space="preserve"> durch die </w:t>
      </w:r>
      <w:r w:rsidR="000E634C">
        <w:t>BKV</w:t>
      </w:r>
      <w:r w:rsidR="000E634C" w:rsidRPr="00DF612D">
        <w:t xml:space="preserve"> </w:t>
      </w:r>
      <w:r w:rsidRPr="00DF612D">
        <w:t>genutzt</w:t>
      </w:r>
      <w:r>
        <w:t xml:space="preserve"> werden. </w:t>
      </w:r>
      <w:r w:rsidR="006B6979">
        <w:t>Bei Nutzung der Möglichkeiten einer qualitätsübergreifenden Bilanzierung, werden diese Konvertierungsmengen mit einem Konvertierungsentgelt</w:t>
      </w:r>
      <w:r w:rsidR="00386512">
        <w:t xml:space="preserve"> </w:t>
      </w:r>
      <w:r w:rsidR="006B6979">
        <w:t>gegenüber dem BKV abgerechnet.</w:t>
      </w:r>
    </w:p>
    <w:p w14:paraId="5ECDE3AE" w14:textId="1F07CE74" w:rsidR="006B6979" w:rsidRDefault="006B6979" w:rsidP="006B6979">
      <w:r>
        <w:t>Darüber hinaus kann der MGV eine Konvertierungsumlage</w:t>
      </w:r>
      <w:r w:rsidR="00386512">
        <w:t xml:space="preserve"> (gemäß</w:t>
      </w:r>
      <w:r w:rsidR="00AF5747">
        <w:t xml:space="preserve"> </w:t>
      </w:r>
      <w:r w:rsidR="00561FFA">
        <w:fldChar w:fldCharType="begin"/>
      </w:r>
      <w:r w:rsidR="00AF5747">
        <w:instrText xml:space="preserve"> REF _Ref446347454 \r \h </w:instrText>
      </w:r>
      <w:r w:rsidR="00561FFA">
        <w:fldChar w:fldCharType="separate"/>
      </w:r>
      <w:r w:rsidR="00692E23">
        <w:t>7.6</w:t>
      </w:r>
      <w:r w:rsidR="00561FFA">
        <w:fldChar w:fldCharType="end"/>
      </w:r>
      <w:r w:rsidR="00386512">
        <w:t>)</w:t>
      </w:r>
      <w:r>
        <w:t xml:space="preserve"> gegenüber den BKV erheben.</w:t>
      </w:r>
    </w:p>
    <w:p w14:paraId="1BA47D27" w14:textId="3288FFEF" w:rsidR="000B528B" w:rsidRDefault="000B528B" w:rsidP="00C90667">
      <w:pPr>
        <w:tabs>
          <w:tab w:val="left" w:pos="5387"/>
        </w:tabs>
      </w:pPr>
      <w:r w:rsidRPr="0096765E">
        <w:t xml:space="preserve">Bei der Übertragung von Gasmengen am </w:t>
      </w:r>
      <w:r>
        <w:t>VHP</w:t>
      </w:r>
      <w:r w:rsidRPr="0096765E">
        <w:t xml:space="preserve"> ist zu beachten, dass dieses ausschließlich zwischen Bilanzkreisen gleicher </w:t>
      </w:r>
      <w:proofErr w:type="spellStart"/>
      <w:r w:rsidRPr="0096765E">
        <w:t>Gasart</w:t>
      </w:r>
      <w:proofErr w:type="spellEnd"/>
      <w:r w:rsidRPr="0096765E">
        <w:t xml:space="preserve"> möglich ist (H-Gas zu H-Gas und L-Gas zu L-Gas).</w:t>
      </w:r>
    </w:p>
    <w:p w14:paraId="10620D13" w14:textId="77777777" w:rsidR="00846E18" w:rsidRDefault="00846E18" w:rsidP="003C2438">
      <w:r>
        <w:rPr>
          <w:noProof/>
        </w:rPr>
        <w:drawing>
          <wp:anchor distT="0" distB="0" distL="114300" distR="114300" simplePos="0" relativeHeight="251658240" behindDoc="1" locked="0" layoutInCell="1" allowOverlap="1" wp14:anchorId="4A89F91C" wp14:editId="2A268356">
            <wp:simplePos x="0" y="0"/>
            <wp:positionH relativeFrom="column">
              <wp:posOffset>-102988</wp:posOffset>
            </wp:positionH>
            <wp:positionV relativeFrom="paragraph">
              <wp:posOffset>218868</wp:posOffset>
            </wp:positionV>
            <wp:extent cx="5890438" cy="2828261"/>
            <wp:effectExtent l="0" t="0" r="0" b="0"/>
            <wp:wrapNone/>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6" cstate="print"/>
                    <a:srcRect/>
                    <a:stretch>
                      <a:fillRect/>
                    </a:stretch>
                  </pic:blipFill>
                  <pic:spPr bwMode="auto">
                    <a:xfrm>
                      <a:off x="0" y="0"/>
                      <a:ext cx="5890438" cy="2828261"/>
                    </a:xfrm>
                    <a:prstGeom prst="rect">
                      <a:avLst/>
                    </a:prstGeom>
                    <a:noFill/>
                    <a:ln w="9525">
                      <a:noFill/>
                      <a:miter lim="800000"/>
                      <a:headEnd/>
                      <a:tailEnd/>
                    </a:ln>
                  </pic:spPr>
                </pic:pic>
              </a:graphicData>
            </a:graphic>
          </wp:anchor>
        </w:drawing>
      </w:r>
    </w:p>
    <w:p w14:paraId="1C9C4575" w14:textId="77777777" w:rsidR="007E05AB" w:rsidRDefault="007E05AB" w:rsidP="003C2438">
      <w:pPr>
        <w:spacing w:after="0"/>
        <w:rPr>
          <w:noProof/>
        </w:rPr>
      </w:pPr>
    </w:p>
    <w:p w14:paraId="32214BC8" w14:textId="77777777" w:rsidR="00846E18" w:rsidRDefault="00846E18" w:rsidP="003C2438">
      <w:pPr>
        <w:spacing w:after="0"/>
        <w:rPr>
          <w:noProof/>
        </w:rPr>
      </w:pPr>
    </w:p>
    <w:p w14:paraId="42650CED" w14:textId="77777777" w:rsidR="00846E18" w:rsidRDefault="00846E18" w:rsidP="003C2438">
      <w:pPr>
        <w:spacing w:after="0"/>
        <w:rPr>
          <w:noProof/>
        </w:rPr>
      </w:pPr>
    </w:p>
    <w:p w14:paraId="39ADAEB3" w14:textId="77777777" w:rsidR="00846E18" w:rsidRDefault="00846E18" w:rsidP="003C2438">
      <w:pPr>
        <w:spacing w:after="0"/>
        <w:rPr>
          <w:noProof/>
        </w:rPr>
      </w:pPr>
    </w:p>
    <w:p w14:paraId="5713D142" w14:textId="77777777" w:rsidR="00846E18" w:rsidRDefault="00846E18" w:rsidP="003C2438">
      <w:pPr>
        <w:spacing w:after="0"/>
        <w:rPr>
          <w:noProof/>
        </w:rPr>
      </w:pPr>
    </w:p>
    <w:p w14:paraId="2E4FAEB7" w14:textId="77777777" w:rsidR="00846E18" w:rsidRDefault="00846E18" w:rsidP="003C2438">
      <w:pPr>
        <w:spacing w:after="0"/>
        <w:rPr>
          <w:noProof/>
        </w:rPr>
      </w:pPr>
    </w:p>
    <w:p w14:paraId="41EE5EDF" w14:textId="77777777" w:rsidR="00846E18" w:rsidRDefault="00846E18" w:rsidP="003C2438">
      <w:pPr>
        <w:spacing w:after="0"/>
        <w:rPr>
          <w:noProof/>
        </w:rPr>
      </w:pPr>
    </w:p>
    <w:p w14:paraId="70BA7A49" w14:textId="77777777" w:rsidR="00846E18" w:rsidRDefault="00846E18" w:rsidP="003C2438">
      <w:pPr>
        <w:spacing w:after="0"/>
        <w:rPr>
          <w:noProof/>
        </w:rPr>
      </w:pPr>
    </w:p>
    <w:p w14:paraId="3CF2243A" w14:textId="77777777" w:rsidR="00846E18" w:rsidRDefault="00846E18" w:rsidP="003C2438">
      <w:pPr>
        <w:spacing w:after="0"/>
        <w:rPr>
          <w:noProof/>
        </w:rPr>
      </w:pPr>
    </w:p>
    <w:p w14:paraId="30649984" w14:textId="77777777" w:rsidR="00846E18" w:rsidRDefault="00846E18" w:rsidP="003C2438">
      <w:pPr>
        <w:spacing w:after="0"/>
        <w:rPr>
          <w:noProof/>
        </w:rPr>
      </w:pPr>
    </w:p>
    <w:p w14:paraId="1E622BA1" w14:textId="77777777" w:rsidR="00846E18" w:rsidRDefault="00846E18" w:rsidP="003C2438">
      <w:pPr>
        <w:spacing w:after="0"/>
        <w:rPr>
          <w:noProof/>
        </w:rPr>
      </w:pPr>
    </w:p>
    <w:p w14:paraId="37308EB0" w14:textId="77777777" w:rsidR="00846E18" w:rsidRDefault="00846E18" w:rsidP="003C2438">
      <w:pPr>
        <w:spacing w:after="0"/>
        <w:rPr>
          <w:noProof/>
        </w:rPr>
      </w:pPr>
    </w:p>
    <w:p w14:paraId="5CDECF8D" w14:textId="77777777" w:rsidR="00846E18" w:rsidRDefault="00846E18" w:rsidP="003C2438">
      <w:pPr>
        <w:spacing w:after="0"/>
        <w:rPr>
          <w:noProof/>
        </w:rPr>
      </w:pPr>
    </w:p>
    <w:p w14:paraId="6ACD375A" w14:textId="77777777" w:rsidR="00E157A6" w:rsidRDefault="00E157A6" w:rsidP="003C2438">
      <w:pPr>
        <w:spacing w:after="0"/>
        <w:rPr>
          <w:noProof/>
        </w:rPr>
      </w:pPr>
    </w:p>
    <w:p w14:paraId="5DD15D72" w14:textId="42C2706F" w:rsidR="00846E18" w:rsidRDefault="000B528B" w:rsidP="00B2339F">
      <w:pPr>
        <w:pStyle w:val="Abbildung"/>
        <w:spacing w:before="360" w:after="240"/>
        <w:rPr>
          <w:b/>
          <w:bCs/>
        </w:rPr>
      </w:pPr>
      <w:bookmarkStart w:id="858" w:name="_Toc357092006"/>
      <w:bookmarkStart w:id="859" w:name="_Toc390346580"/>
      <w:bookmarkStart w:id="860" w:name="_Toc412562653"/>
      <w:bookmarkStart w:id="861" w:name="_Toc437530343"/>
      <w:bookmarkStart w:id="862" w:name="_Toc111118613"/>
      <w:bookmarkStart w:id="863" w:name="_Toc111196159"/>
      <w:r w:rsidRPr="00846E18">
        <w:rPr>
          <w:b/>
          <w:bCs/>
        </w:rPr>
        <w:t xml:space="preserve">Abbildung </w:t>
      </w:r>
      <w:r w:rsidR="00561FFA" w:rsidRPr="00846E18">
        <w:rPr>
          <w:b/>
          <w:bCs/>
        </w:rPr>
        <w:fldChar w:fldCharType="begin"/>
      </w:r>
      <w:r w:rsidRPr="00846E18">
        <w:rPr>
          <w:b/>
          <w:bCs/>
        </w:rPr>
        <w:instrText xml:space="preserve"> SEQ Abbildung \* ARABIC </w:instrText>
      </w:r>
      <w:r w:rsidR="00561FFA" w:rsidRPr="00846E18">
        <w:rPr>
          <w:b/>
          <w:bCs/>
        </w:rPr>
        <w:fldChar w:fldCharType="separate"/>
      </w:r>
      <w:r w:rsidR="007A098D">
        <w:rPr>
          <w:b/>
          <w:bCs/>
        </w:rPr>
        <w:t>30</w:t>
      </w:r>
      <w:r w:rsidR="00561FFA" w:rsidRPr="00846E18">
        <w:rPr>
          <w:b/>
          <w:bCs/>
        </w:rPr>
        <w:fldChar w:fldCharType="end"/>
      </w:r>
      <w:r w:rsidRPr="00846E18">
        <w:rPr>
          <w:b/>
          <w:bCs/>
        </w:rPr>
        <w:t>: Mengenübertragung über den VHP</w:t>
      </w:r>
      <w:bookmarkEnd w:id="858"/>
      <w:bookmarkEnd w:id="859"/>
      <w:bookmarkEnd w:id="860"/>
      <w:bookmarkEnd w:id="861"/>
      <w:bookmarkEnd w:id="862"/>
      <w:bookmarkEnd w:id="863"/>
      <w:r w:rsidR="00846E18">
        <w:rPr>
          <w:b/>
          <w:bCs/>
        </w:rPr>
        <w:tab/>
      </w:r>
    </w:p>
    <w:p w14:paraId="43FAD207" w14:textId="77777777" w:rsidR="00846E18" w:rsidRDefault="00846E18" w:rsidP="003C2438">
      <w:pPr>
        <w:rPr>
          <w:b/>
          <w:bCs/>
          <w:noProof/>
        </w:rPr>
      </w:pPr>
      <w:r>
        <w:rPr>
          <w:b/>
          <w:bCs/>
        </w:rPr>
        <w:br w:type="page"/>
      </w:r>
    </w:p>
    <w:p w14:paraId="08583ACD" w14:textId="77777777" w:rsidR="007E05AB" w:rsidRDefault="000B528B" w:rsidP="00B2339F">
      <w:pPr>
        <w:pStyle w:val="berschrift2"/>
        <w:spacing w:before="0"/>
        <w:ind w:left="567" w:hanging="567"/>
      </w:pPr>
      <w:bookmarkStart w:id="864" w:name="_Toc391540196"/>
      <w:bookmarkStart w:id="865" w:name="_Toc412661358"/>
      <w:bookmarkStart w:id="866" w:name="_Toc111118514"/>
      <w:r>
        <w:lastRenderedPageBreak/>
        <w:t>Qualitätsübergreifende Bilanzierung Erdgas</w:t>
      </w:r>
      <w:bookmarkEnd w:id="864"/>
      <w:bookmarkEnd w:id="865"/>
      <w:bookmarkEnd w:id="866"/>
    </w:p>
    <w:p w14:paraId="3BD47F4C" w14:textId="4CCF2F51" w:rsidR="006B3C70" w:rsidRDefault="006B3C70" w:rsidP="006B3C70">
      <w:bookmarkStart w:id="867" w:name="_Toc410129206"/>
      <w:bookmarkStart w:id="868" w:name="_Toc412661360"/>
      <w:r w:rsidRPr="00515E53">
        <w:t>Gemäß Festlegung BK7-1</w:t>
      </w:r>
      <w:r>
        <w:t>6</w:t>
      </w:r>
      <w:r w:rsidRPr="00515E53">
        <w:t>-0</w:t>
      </w:r>
      <w:r>
        <w:t>50</w:t>
      </w:r>
      <w:r w:rsidRPr="00515E53">
        <w:t xml:space="preserve"> der Bundesnetzagentur haben BKV einen verbindenden Rechnungsbilanzkreis zu führen, wenn Bilanzkreise unterschiedlicher Gasqualität mit dem Status frei zuordenbare Kapazitäten </w:t>
      </w:r>
      <w:r>
        <w:t>eingerichtet</w:t>
      </w:r>
      <w:r w:rsidRPr="00515E53">
        <w:t xml:space="preserve"> wurden. Führt ein BKV nur Bilanzkreise in einer Gasqualität, so müssen diese nicht verbunden werden. Bilanzkreise</w:t>
      </w:r>
      <w:r>
        <w:t xml:space="preserve"> für beschränkt zuordenbare Kapazitäten </w:t>
      </w:r>
      <w:r w:rsidRPr="00515E53">
        <w:t>können nicht miteinander verbunden werden</w:t>
      </w:r>
      <w:r>
        <w:t>.</w:t>
      </w:r>
    </w:p>
    <w:p w14:paraId="6224629F" w14:textId="38FE57F6" w:rsidR="006B3C70" w:rsidRDefault="006B3C70" w:rsidP="006B3C70">
      <w:pPr>
        <w:tabs>
          <w:tab w:val="left" w:pos="0"/>
        </w:tabs>
      </w:pPr>
      <w:r>
        <w:t xml:space="preserve">Gemäß Festlegung BK7-16-050 kann </w:t>
      </w:r>
      <w:r w:rsidR="005D67BB">
        <w:t>seit</w:t>
      </w:r>
      <w:r>
        <w:t xml:space="preserve"> dem 01. April 2017 ein Konvertierungsentgelt nur für die Konvertierungsrichtung H- nach L-Gas erhoben werden. Erhebt der MGV ein Konvertierungsentgelt, werden z</w:t>
      </w:r>
      <w:r w:rsidRPr="00515E53">
        <w:t xml:space="preserve">ur Bestimmung der auf einen Rechnungsbilanzkreisverantwortlichen entfallenden Konvertierungsmengen die im Bilanzierungszeitraum bilanzierten Einspeisemengen und Ausspeisemengen getrennt nach H- und L-Gas über die UBK und den RBK saldiert. </w:t>
      </w:r>
      <w:r w:rsidR="007D5F45" w:rsidRPr="00515E53">
        <w:t xml:space="preserve">Ergibt sich dabei eine Überdeckung </w:t>
      </w:r>
      <w:r w:rsidR="007D5F45">
        <w:t>im H-Gas</w:t>
      </w:r>
      <w:r w:rsidR="007D5F45" w:rsidRPr="00515E53">
        <w:t xml:space="preserve"> und eine Unterdeckung </w:t>
      </w:r>
      <w:r w:rsidR="007D5F45">
        <w:t>im L-Gas</w:t>
      </w:r>
      <w:r w:rsidR="007D5F45" w:rsidRPr="00515E53">
        <w:t xml:space="preserve">, so erhebt der MGV </w:t>
      </w:r>
      <w:r w:rsidR="007D5F45">
        <w:t>von dem Rech</w:t>
      </w:r>
      <w:r w:rsidR="007D5F45" w:rsidRPr="00515E53">
        <w:t>nungsbilanzkreisverantwortlichen auf den kleineren Betr</w:t>
      </w:r>
      <w:r w:rsidR="007D5F45">
        <w:t>ag der beiden Mengen ein Konver</w:t>
      </w:r>
      <w:r w:rsidR="007D5F45" w:rsidRPr="00515E53">
        <w:t>tie</w:t>
      </w:r>
      <w:r w:rsidR="007D5F45">
        <w:t>rungsentgelt je MWh. Im Falle einer Überdeckung im L-Gas und einer Unterdeckung im H-Gas wird kein Konvertierungsentgelt erhoben.</w:t>
      </w:r>
    </w:p>
    <w:p w14:paraId="28E849B3" w14:textId="77777777" w:rsidR="005E67F7" w:rsidRDefault="005E67F7" w:rsidP="00B2339F">
      <w:pPr>
        <w:pStyle w:val="berschrift2"/>
        <w:spacing w:before="480"/>
        <w:ind w:left="567" w:hanging="567"/>
      </w:pPr>
      <w:bookmarkStart w:id="869" w:name="_Toc111118515"/>
      <w:r>
        <w:t>Untertägige Verpflichtung bei einer qualitätsübergreifenden Bilanzierung</w:t>
      </w:r>
      <w:bookmarkEnd w:id="867"/>
      <w:bookmarkEnd w:id="868"/>
      <w:bookmarkEnd w:id="869"/>
    </w:p>
    <w:p w14:paraId="72602CFE" w14:textId="1C75E159" w:rsidR="005E67F7" w:rsidRDefault="005E67F7" w:rsidP="000568EF">
      <w:pPr>
        <w:tabs>
          <w:tab w:val="left" w:pos="0"/>
        </w:tabs>
      </w:pPr>
      <w:r w:rsidRPr="000C0E89">
        <w:t>Analog zur Abwicklung de</w:t>
      </w:r>
      <w:r>
        <w:t>r</w:t>
      </w:r>
      <w:r w:rsidRPr="000C0E89">
        <w:t xml:space="preserve"> </w:t>
      </w:r>
      <w:r>
        <w:t>untertägig</w:t>
      </w:r>
      <w:r w:rsidRPr="000C0E89">
        <w:t xml:space="preserve">en </w:t>
      </w:r>
      <w:r>
        <w:t>Verpflichtung</w:t>
      </w:r>
      <w:r w:rsidRPr="000C0E89">
        <w:t xml:space="preserve"> für Erdgasbilanzkreise </w:t>
      </w:r>
      <w:r>
        <w:t>(</w:t>
      </w:r>
      <w:r w:rsidR="003563E4">
        <w:t xml:space="preserve">Kap. </w:t>
      </w:r>
      <w:r w:rsidR="00561FFA">
        <w:fldChar w:fldCharType="begin"/>
      </w:r>
      <w:r w:rsidR="00005D14">
        <w:instrText xml:space="preserve"> REF _Ref454808403 \r \h </w:instrText>
      </w:r>
      <w:r w:rsidR="00561FFA">
        <w:fldChar w:fldCharType="separate"/>
      </w:r>
      <w:r w:rsidR="00692E23">
        <w:t>6.2</w:t>
      </w:r>
      <w:r w:rsidR="00561FFA">
        <w:fldChar w:fldCharType="end"/>
      </w:r>
      <w:r>
        <w:t>)</w:t>
      </w:r>
      <w:r w:rsidRPr="000C0E89">
        <w:t xml:space="preserve"> werden auch bei qualitätsübergreifender Bilanzierung und Nutzung des Konvertierungssystems die jeweiligen Toleranzen im Rahmen des </w:t>
      </w:r>
      <w:r>
        <w:t>untertägig</w:t>
      </w:r>
      <w:r w:rsidRPr="000C0E89">
        <w:t>en Anreizsystems der einzelnen Kundengruppen (</w:t>
      </w:r>
      <w:proofErr w:type="spellStart"/>
      <w:r w:rsidRPr="000C0E89">
        <w:t>RLMmT</w:t>
      </w:r>
      <w:proofErr w:type="spellEnd"/>
      <w:r w:rsidRPr="000C0E89">
        <w:t xml:space="preserve"> und </w:t>
      </w:r>
      <w:proofErr w:type="spellStart"/>
      <w:r w:rsidRPr="000C0E89">
        <w:t>RLMoT</w:t>
      </w:r>
      <w:proofErr w:type="spellEnd"/>
      <w:r w:rsidRPr="000C0E89">
        <w:t>) aus den UBK (H- und L-Gas</w:t>
      </w:r>
      <w:r>
        <w:t>)</w:t>
      </w:r>
      <w:r w:rsidRPr="000C0E89">
        <w:t xml:space="preserve"> aggregiert im RBK (H- oder L-Gas) berücksichtigt. Dies erfolgt unabhängig von der Gasqualität der Bilanzkreise, in denen die einzelnen Kundengruppen </w:t>
      </w:r>
      <w:r w:rsidR="00902DAD">
        <w:t>zugeordnet</w:t>
      </w:r>
      <w:r w:rsidR="00902DAD" w:rsidRPr="000C0E89">
        <w:t xml:space="preserve"> </w:t>
      </w:r>
      <w:r w:rsidRPr="000C0E89">
        <w:t xml:space="preserve">wurden. </w:t>
      </w:r>
      <w:r>
        <w:t>Die Summe der außerhalb der kumulierten</w:t>
      </w:r>
      <w:r w:rsidRPr="000C0E89">
        <w:t xml:space="preserve"> Toleranz </w:t>
      </w:r>
      <w:r>
        <w:t>liegenden Mengen</w:t>
      </w:r>
      <w:r w:rsidRPr="000C0E89">
        <w:t xml:space="preserve"> </w:t>
      </w:r>
      <w:r>
        <w:t>wird mit dem Flexibilitätskostenbeitrag abgerechnet</w:t>
      </w:r>
      <w:r w:rsidRPr="000C0E89">
        <w:t>.</w:t>
      </w:r>
    </w:p>
    <w:p w14:paraId="6EAB0BB9" w14:textId="77777777" w:rsidR="007E05AB" w:rsidRDefault="000B528B" w:rsidP="003C2438">
      <w:pPr>
        <w:pStyle w:val="berschrift2"/>
        <w:spacing w:before="480"/>
        <w:ind w:left="567" w:hanging="567"/>
      </w:pPr>
      <w:bookmarkStart w:id="870" w:name="_Toc391540198"/>
      <w:bookmarkStart w:id="871" w:name="_Toc412661361"/>
      <w:bookmarkStart w:id="872" w:name="_Toc111118516"/>
      <w:r>
        <w:t xml:space="preserve">Berechnung und Abrechnung der </w:t>
      </w:r>
      <w:r w:rsidRPr="00B07BB2">
        <w:t>Konvertierung</w:t>
      </w:r>
      <w:r>
        <w:t>smenge in Erdgasbilanzkreisen</w:t>
      </w:r>
      <w:bookmarkEnd w:id="870"/>
      <w:bookmarkEnd w:id="871"/>
      <w:bookmarkEnd w:id="872"/>
    </w:p>
    <w:p w14:paraId="32EDB75D" w14:textId="77777777" w:rsidR="00026620" w:rsidRDefault="00026620" w:rsidP="000568EF">
      <w:pPr>
        <w:rPr>
          <w:rFonts w:cs="Arial"/>
        </w:rPr>
      </w:pPr>
      <w:bookmarkStart w:id="873" w:name="_Toc284323672"/>
      <w:bookmarkStart w:id="874" w:name="_Toc284334349"/>
      <w:bookmarkStart w:id="875" w:name="_Toc285005323"/>
      <w:bookmarkStart w:id="876" w:name="_Toc296694130"/>
      <w:bookmarkStart w:id="877" w:name="_Toc391540201"/>
      <w:r>
        <w:rPr>
          <w:rFonts w:cs="Arial"/>
        </w:rPr>
        <w:t xml:space="preserve">Der Zeitraum für die Berechnung der Konvertierungsmenge ist analog zur Ausgleichsenergie der </w:t>
      </w:r>
      <w:proofErr w:type="spellStart"/>
      <w:r>
        <w:rPr>
          <w:rFonts w:cs="Arial"/>
        </w:rPr>
        <w:t>Gastag</w:t>
      </w:r>
      <w:proofErr w:type="spellEnd"/>
      <w:r>
        <w:rPr>
          <w:rFonts w:cs="Arial"/>
        </w:rPr>
        <w:t>. Die Bilanzkreissalden BK</w:t>
      </w:r>
      <w:r w:rsidRPr="00000573">
        <w:rPr>
          <w:rFonts w:cs="Arial"/>
        </w:rPr>
        <w:t>SALD</w:t>
      </w:r>
      <w:r w:rsidR="00590734">
        <w:rPr>
          <w:rFonts w:cs="Arial"/>
        </w:rPr>
        <w:t>ABR</w:t>
      </w:r>
      <w:r>
        <w:rPr>
          <w:rFonts w:cs="Arial"/>
        </w:rPr>
        <w:t xml:space="preserve"> werden je UBK und der Bilanzkreissaldo </w:t>
      </w:r>
      <w:proofErr w:type="spellStart"/>
      <w:r>
        <w:rPr>
          <w:rFonts w:cs="Arial"/>
        </w:rPr>
        <w:t>BK</w:t>
      </w:r>
      <w:r w:rsidRPr="00000573">
        <w:rPr>
          <w:rFonts w:cs="Arial"/>
        </w:rPr>
        <w:t>SALD</w:t>
      </w:r>
      <w:r w:rsidR="008A4053">
        <w:rPr>
          <w:rFonts w:cs="Arial"/>
        </w:rPr>
        <w:t>ABR</w:t>
      </w:r>
      <w:r>
        <w:rPr>
          <w:rFonts w:cs="Arial"/>
        </w:rPr>
        <w:t>n</w:t>
      </w:r>
      <w:r w:rsidRPr="00000573">
        <w:rPr>
          <w:rFonts w:cs="Arial"/>
        </w:rPr>
        <w:t>ach</w:t>
      </w:r>
      <w:proofErr w:type="spellEnd"/>
      <w:r>
        <w:rPr>
          <w:rFonts w:cs="Arial"/>
        </w:rPr>
        <w:t xml:space="preserve"> des RBK errechnet. Zur Ermittlung der Konvertierungsmenge werden:</w:t>
      </w:r>
    </w:p>
    <w:p w14:paraId="64A027B3" w14:textId="77777777" w:rsidR="00026620" w:rsidRPr="00557DC4" w:rsidRDefault="00026620" w:rsidP="000568EF">
      <w:pPr>
        <w:pStyle w:val="NummerierteListeohneEinzug"/>
        <w:numPr>
          <w:ilvl w:val="0"/>
          <w:numId w:val="20"/>
        </w:numPr>
      </w:pPr>
      <w:r w:rsidRPr="00557DC4">
        <w:t>die Salden BK</w:t>
      </w:r>
      <w:r w:rsidRPr="00000573">
        <w:t>SALD</w:t>
      </w:r>
      <w:r w:rsidR="00590734">
        <w:t>ABR</w:t>
      </w:r>
      <w:r w:rsidRPr="00557DC4">
        <w:t xml:space="preserve"> aller H-Gas-UBK aggregiert,</w:t>
      </w:r>
    </w:p>
    <w:p w14:paraId="6F1FF1B7" w14:textId="77777777" w:rsidR="00026620" w:rsidRPr="00557DC4" w:rsidRDefault="00026620" w:rsidP="000568EF">
      <w:pPr>
        <w:pStyle w:val="NummerierteListeohneEinzug"/>
        <w:numPr>
          <w:ilvl w:val="0"/>
          <w:numId w:val="20"/>
        </w:numPr>
      </w:pPr>
      <w:r>
        <w:t>die Salden BKSALD</w:t>
      </w:r>
      <w:r w:rsidR="00590734">
        <w:t>ABR</w:t>
      </w:r>
      <w:r w:rsidRPr="00557DC4">
        <w:t xml:space="preserve"> aller L-Gas-UBK aggregiert,</w:t>
      </w:r>
    </w:p>
    <w:p w14:paraId="3788E4B4" w14:textId="7F5F83A1" w:rsidR="00026620" w:rsidRDefault="00026620" w:rsidP="000568EF">
      <w:pPr>
        <w:pStyle w:val="NummerierteListeohneEinzug"/>
        <w:numPr>
          <w:ilvl w:val="0"/>
          <w:numId w:val="20"/>
        </w:numPr>
      </w:pPr>
      <w:r>
        <w:t>der BKSALD</w:t>
      </w:r>
      <w:r w:rsidR="00590734">
        <w:t>ABR</w:t>
      </w:r>
      <w:r w:rsidRPr="00557DC4">
        <w:t xml:space="preserve"> des RBK – d.</w:t>
      </w:r>
      <w:r>
        <w:t> </w:t>
      </w:r>
      <w:r w:rsidRPr="00557DC4">
        <w:t xml:space="preserve">h. vor Übertragung der BK-Salden aus den UBK </w:t>
      </w:r>
      <w:r w:rsidR="003C2438" w:rsidRPr="00557DC4">
        <w:t>–</w:t>
      </w:r>
      <w:r w:rsidRPr="00557DC4">
        <w:t xml:space="preserve"> je nach fes</w:t>
      </w:r>
      <w:r>
        <w:t>tgelegter Gasqualität des RBK</w:t>
      </w:r>
      <w:r w:rsidR="000568EF">
        <w:t xml:space="preserve"> entweder dem Aggregat 1 oder 2</w:t>
      </w:r>
      <w:r>
        <w:t xml:space="preserve"> zugeschlagen.</w:t>
      </w:r>
    </w:p>
    <w:p w14:paraId="19BAA489" w14:textId="77777777" w:rsidR="007D5F45" w:rsidRPr="007D5F45" w:rsidRDefault="007D5F45" w:rsidP="000568EF">
      <w:pPr>
        <w:rPr>
          <w:rFonts w:cs="Arial"/>
        </w:rPr>
      </w:pPr>
      <w:r w:rsidRPr="005E447D">
        <w:lastRenderedPageBreak/>
        <w:t xml:space="preserve">Sollte sich dabei eine Überdeckung </w:t>
      </w:r>
      <w:r>
        <w:t>(= positives Vorzeichen) im H-Gas</w:t>
      </w:r>
      <w:r w:rsidRPr="005E447D">
        <w:t xml:space="preserve"> und eine Unterdeckung </w:t>
      </w:r>
      <w:r>
        <w:t>(= negatives Vorzeichen) im L-Gas</w:t>
      </w:r>
      <w:r w:rsidRPr="005E447D">
        <w:t xml:space="preserve"> ergeben, wird auf den kleineren Betrag der beiden Mengen das Konvertierungsentgelt erhoben. </w:t>
      </w:r>
      <w:r w:rsidRPr="007D5F45">
        <w:rPr>
          <w:rFonts w:cs="Arial"/>
        </w:rPr>
        <w:t>Die Konvertierungsmenge wird mit einem Konvertierungsentgelt (H</w:t>
      </w:r>
      <w:r>
        <w:rPr>
          <w:rFonts w:ascii="Wingdings" w:eastAsia="Wingdings" w:hAnsi="Wingdings" w:cs="Wingdings"/>
        </w:rPr>
        <w:sym w:font="Wingdings" w:char="F0E0"/>
      </w:r>
      <w:r w:rsidRPr="007D5F45">
        <w:rPr>
          <w:rFonts w:cs="Arial"/>
        </w:rPr>
        <w:t xml:space="preserve">L) gegenüber dem BKV abgerechnet. Die Abrechnung des Konvertierungsentgelts erfolgt bei jeder gegenläufigen Über- oder Unterschreitung, dabei werden keine Toleranzen angewandt. Sind beide Salden je </w:t>
      </w:r>
      <w:proofErr w:type="spellStart"/>
      <w:r w:rsidRPr="007D5F45">
        <w:rPr>
          <w:rFonts w:cs="Arial"/>
        </w:rPr>
        <w:t>Gasart</w:t>
      </w:r>
      <w:proofErr w:type="spellEnd"/>
      <w:r w:rsidRPr="007D5F45">
        <w:rPr>
          <w:rFonts w:cs="Arial"/>
        </w:rPr>
        <w:t xml:space="preserve"> positiv oder negativ, liegt keine Konvertierung vor.</w:t>
      </w:r>
    </w:p>
    <w:p w14:paraId="2846D8C3" w14:textId="1B1B879D" w:rsidR="00026620" w:rsidRDefault="00026620" w:rsidP="000568EF">
      <w:pPr>
        <w:rPr>
          <w:rFonts w:cs="Arial"/>
        </w:rPr>
      </w:pPr>
      <w:r w:rsidRPr="00000573">
        <w:rPr>
          <w:rFonts w:cs="Arial"/>
        </w:rPr>
        <w:t>Beispiel 1: unter einem RBK hängen mehrere UBK mit unterschiedlichen Gasqualitäten. Der RBK hat keine eigenen Ein- oder Ausspeisungen, in den UBK sind nur SLP-Mengen allokiert. Für jeden UBK wird der einzelne BK-Saldo BKSALD</w:t>
      </w:r>
      <w:r w:rsidR="00590734">
        <w:rPr>
          <w:rFonts w:cs="Arial"/>
        </w:rPr>
        <w:t>ABR</w:t>
      </w:r>
      <w:r w:rsidRPr="00557DC4">
        <w:rPr>
          <w:rFonts w:cs="Arial"/>
        </w:rPr>
        <w:t xml:space="preserve"> gebildet. Im H-Gas beträgt die Summe der Einzelsalden - 10 und im L-Gas - 30 - 30 - 10 = - 70. Es findet kein</w:t>
      </w:r>
      <w:r w:rsidRPr="00000573">
        <w:rPr>
          <w:rFonts w:cs="Arial"/>
        </w:rPr>
        <w:t>e Konvertierung statt, beide Summensalden haben das gleiche Vorzeichen.</w:t>
      </w:r>
    </w:p>
    <w:p w14:paraId="40F68522" w14:textId="77777777" w:rsidR="00590734" w:rsidRDefault="00590734" w:rsidP="000568EF">
      <w:pPr>
        <w:rPr>
          <w:rFonts w:cs="Arial"/>
        </w:rPr>
      </w:pPr>
    </w:p>
    <w:p w14:paraId="4C5E5074" w14:textId="77777777" w:rsidR="003E3894" w:rsidRDefault="00A16E71" w:rsidP="000568EF">
      <w:pPr>
        <w:rPr>
          <w:rFonts w:cs="Arial"/>
        </w:rPr>
      </w:pPr>
      <w:r>
        <w:rPr>
          <w:rFonts w:cs="Arial"/>
          <w:noProof/>
        </w:rPr>
        <w:drawing>
          <wp:inline distT="0" distB="0" distL="0" distR="0" wp14:anchorId="22893DC1" wp14:editId="0612E1D8">
            <wp:extent cx="5611713" cy="3524250"/>
            <wp:effectExtent l="0" t="0" r="0" b="0"/>
            <wp:docPr id="15"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617951" cy="3528168"/>
                    </a:xfrm>
                    <a:prstGeom prst="rect">
                      <a:avLst/>
                    </a:prstGeom>
                    <a:noFill/>
                  </pic:spPr>
                </pic:pic>
              </a:graphicData>
            </a:graphic>
          </wp:inline>
        </w:drawing>
      </w:r>
    </w:p>
    <w:p w14:paraId="59414995" w14:textId="54BE8669" w:rsidR="00026620" w:rsidRPr="00654B9A" w:rsidRDefault="00026620" w:rsidP="00335F52">
      <w:pPr>
        <w:pStyle w:val="Abbildung"/>
        <w:spacing w:before="360" w:after="240"/>
        <w:rPr>
          <w:b/>
          <w:bCs/>
        </w:rPr>
      </w:pPr>
      <w:bookmarkStart w:id="878" w:name="_Toc357092010"/>
      <w:bookmarkStart w:id="879" w:name="_Toc390346581"/>
      <w:bookmarkStart w:id="880" w:name="_Toc412562654"/>
      <w:bookmarkStart w:id="881" w:name="_Toc437530344"/>
      <w:bookmarkStart w:id="882" w:name="_Toc111118614"/>
      <w:bookmarkStart w:id="883" w:name="_Toc111196160"/>
      <w:r w:rsidRPr="00654B9A">
        <w:rPr>
          <w:b/>
          <w:bCs/>
        </w:rPr>
        <w:t xml:space="preserve">Abbildung </w:t>
      </w:r>
      <w:r w:rsidR="00561FFA" w:rsidRPr="00654B9A">
        <w:rPr>
          <w:b/>
          <w:bCs/>
        </w:rPr>
        <w:fldChar w:fldCharType="begin"/>
      </w:r>
      <w:r w:rsidRPr="00654B9A">
        <w:rPr>
          <w:b/>
          <w:bCs/>
        </w:rPr>
        <w:instrText xml:space="preserve"> SEQ Abbildung \* ARABIC </w:instrText>
      </w:r>
      <w:r w:rsidR="00561FFA" w:rsidRPr="00654B9A">
        <w:rPr>
          <w:b/>
          <w:bCs/>
        </w:rPr>
        <w:fldChar w:fldCharType="separate"/>
      </w:r>
      <w:r w:rsidR="007A098D">
        <w:rPr>
          <w:b/>
          <w:bCs/>
        </w:rPr>
        <w:t>31</w:t>
      </w:r>
      <w:r w:rsidR="00561FFA" w:rsidRPr="00654B9A">
        <w:rPr>
          <w:b/>
          <w:bCs/>
        </w:rPr>
        <w:fldChar w:fldCharType="end"/>
      </w:r>
      <w:r w:rsidRPr="00654B9A">
        <w:rPr>
          <w:b/>
          <w:bCs/>
        </w:rPr>
        <w:t>: Berechnung der Konvertierungsmenge Beispiel 1</w:t>
      </w:r>
      <w:bookmarkEnd w:id="878"/>
      <w:bookmarkEnd w:id="879"/>
      <w:bookmarkEnd w:id="880"/>
      <w:bookmarkEnd w:id="881"/>
      <w:bookmarkEnd w:id="882"/>
      <w:bookmarkEnd w:id="883"/>
    </w:p>
    <w:p w14:paraId="38B0B1FF" w14:textId="0A2E4A63" w:rsidR="007D5F45" w:rsidRPr="001E5908" w:rsidRDefault="007D5F45" w:rsidP="007D5F45">
      <w:r w:rsidRPr="001E5908">
        <w:t xml:space="preserve">Beispiel 2: Im H-Gas beträgt der Saldo </w:t>
      </w:r>
      <w:r>
        <w:t>+</w:t>
      </w:r>
      <w:r w:rsidRPr="001E5908">
        <w:t xml:space="preserve"> 20 und im L-Gas </w:t>
      </w:r>
      <w:r>
        <w:t>-</w:t>
      </w:r>
      <w:r w:rsidRPr="001E5908">
        <w:t xml:space="preserve"> 50 </w:t>
      </w:r>
      <w:r>
        <w:t>+</w:t>
      </w:r>
      <w:r w:rsidRPr="001E5908">
        <w:t xml:space="preserve"> 10 </w:t>
      </w:r>
      <w:r>
        <w:t>+</w:t>
      </w:r>
      <w:r w:rsidRPr="001E5908">
        <w:t xml:space="preserve"> 30 = </w:t>
      </w:r>
      <w:r>
        <w:t>-</w:t>
      </w:r>
      <w:r w:rsidRPr="001E5908">
        <w:t xml:space="preserve"> 10. Die Konvertierungsmenge beträgt + 10 von </w:t>
      </w:r>
      <w:r>
        <w:t>H</w:t>
      </w:r>
      <w:r w:rsidRPr="001E5908">
        <w:t xml:space="preserve">-Gas zu </w:t>
      </w:r>
      <w:r>
        <w:t>L</w:t>
      </w:r>
      <w:r w:rsidRPr="001E5908">
        <w:t>-Gas.</w:t>
      </w:r>
    </w:p>
    <w:p w14:paraId="6DA94772" w14:textId="77777777" w:rsidR="00026620" w:rsidRDefault="00026620" w:rsidP="003C2438">
      <w:pPr>
        <w:spacing w:after="0"/>
      </w:pPr>
    </w:p>
    <w:p w14:paraId="1226C904" w14:textId="77777777" w:rsidR="00026620" w:rsidRDefault="00026620" w:rsidP="003C2438">
      <w:pPr>
        <w:spacing w:after="0"/>
        <w:rPr>
          <w:b/>
        </w:rPr>
      </w:pPr>
      <w:bookmarkStart w:id="884" w:name="_Toc357092011"/>
      <w:bookmarkStart w:id="885" w:name="_Toc390346582"/>
    </w:p>
    <w:p w14:paraId="74FA67CE" w14:textId="77777777" w:rsidR="00590734" w:rsidRDefault="00A16E71" w:rsidP="003C2438">
      <w:pPr>
        <w:spacing w:after="0"/>
        <w:rPr>
          <w:b/>
        </w:rPr>
      </w:pPr>
      <w:r>
        <w:rPr>
          <w:b/>
          <w:noProof/>
        </w:rPr>
        <w:lastRenderedPageBreak/>
        <w:drawing>
          <wp:inline distT="0" distB="0" distL="0" distR="0" wp14:anchorId="1D6ECEF2" wp14:editId="3F05EB96">
            <wp:extent cx="5581650" cy="3505369"/>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581446" cy="3505241"/>
                    </a:xfrm>
                    <a:prstGeom prst="rect">
                      <a:avLst/>
                    </a:prstGeom>
                    <a:noFill/>
                  </pic:spPr>
                </pic:pic>
              </a:graphicData>
            </a:graphic>
          </wp:inline>
        </w:drawing>
      </w:r>
    </w:p>
    <w:p w14:paraId="456D435F" w14:textId="31AE5E8C" w:rsidR="00026620" w:rsidRPr="008179DF" w:rsidRDefault="00026620" w:rsidP="00335F52">
      <w:pPr>
        <w:pStyle w:val="Abbildung"/>
        <w:spacing w:before="360" w:after="240"/>
        <w:rPr>
          <w:b/>
          <w:bCs/>
        </w:rPr>
      </w:pPr>
      <w:bookmarkStart w:id="886" w:name="_Toc412562655"/>
      <w:bookmarkStart w:id="887" w:name="_Toc437530345"/>
      <w:bookmarkStart w:id="888" w:name="_Toc111118615"/>
      <w:bookmarkStart w:id="889" w:name="_Toc111196161"/>
      <w:r w:rsidRPr="008179DF">
        <w:rPr>
          <w:b/>
          <w:bCs/>
        </w:rPr>
        <w:t xml:space="preserve">Abbildung </w:t>
      </w:r>
      <w:r w:rsidR="00561FFA" w:rsidRPr="008179DF">
        <w:rPr>
          <w:b/>
          <w:bCs/>
        </w:rPr>
        <w:fldChar w:fldCharType="begin"/>
      </w:r>
      <w:r w:rsidRPr="008179DF">
        <w:rPr>
          <w:b/>
          <w:bCs/>
        </w:rPr>
        <w:instrText xml:space="preserve"> SEQ Abbildung \* ARABIC </w:instrText>
      </w:r>
      <w:r w:rsidR="00561FFA" w:rsidRPr="008179DF">
        <w:rPr>
          <w:b/>
          <w:bCs/>
        </w:rPr>
        <w:fldChar w:fldCharType="separate"/>
      </w:r>
      <w:r w:rsidR="007A098D">
        <w:rPr>
          <w:b/>
          <w:bCs/>
        </w:rPr>
        <w:t>32</w:t>
      </w:r>
      <w:r w:rsidR="00561FFA" w:rsidRPr="008179DF">
        <w:rPr>
          <w:b/>
          <w:bCs/>
        </w:rPr>
        <w:fldChar w:fldCharType="end"/>
      </w:r>
      <w:r w:rsidRPr="008179DF">
        <w:rPr>
          <w:b/>
          <w:bCs/>
        </w:rPr>
        <w:t>: Berechnung der Konvertierungsmenge Beispiel 2</w:t>
      </w:r>
      <w:bookmarkEnd w:id="884"/>
      <w:bookmarkEnd w:id="885"/>
      <w:bookmarkEnd w:id="886"/>
      <w:bookmarkEnd w:id="887"/>
      <w:bookmarkEnd w:id="888"/>
      <w:bookmarkEnd w:id="889"/>
    </w:p>
    <w:p w14:paraId="0BBE5EF8" w14:textId="77777777" w:rsidR="00026620" w:rsidRDefault="00026620" w:rsidP="003C2438">
      <w:pPr>
        <w:rPr>
          <w:lang w:eastAsia="zh-CN"/>
        </w:rPr>
      </w:pPr>
      <w:r w:rsidRPr="00415604">
        <w:rPr>
          <w:lang w:eastAsia="zh-CN"/>
        </w:rPr>
        <w:t xml:space="preserve">Im nachfolgenden Beispiel wird die Konvertierung </w:t>
      </w:r>
      <w:r>
        <w:rPr>
          <w:lang w:eastAsia="zh-CN"/>
        </w:rPr>
        <w:t>inkl. eines</w:t>
      </w:r>
      <w:r w:rsidRPr="00415604">
        <w:rPr>
          <w:lang w:eastAsia="zh-CN"/>
        </w:rPr>
        <w:t xml:space="preserve"> bewirtschafteten RBK darge</w:t>
      </w:r>
      <w:r>
        <w:rPr>
          <w:lang w:eastAsia="zh-CN"/>
        </w:rPr>
        <w:t xml:space="preserve">stellt. </w:t>
      </w:r>
      <w:r>
        <w:t xml:space="preserve">Im Beispiel werden jeweils ein H-Gas-UBK mit einem L-Gas-UBK verbunden. Beide Paare sind parallel mit dem RBK verbunden, </w:t>
      </w:r>
      <w:r w:rsidR="00E67112">
        <w:t>welcher der Gasqualität H-Gas zugeordnet ist.</w:t>
      </w:r>
    </w:p>
    <w:p w14:paraId="214E0033" w14:textId="77777777" w:rsidR="00026620" w:rsidRDefault="00026620" w:rsidP="003C2438">
      <w:pPr>
        <w:spacing w:after="0"/>
      </w:pPr>
    </w:p>
    <w:p w14:paraId="486A6F88" w14:textId="77777777" w:rsidR="00590734" w:rsidRDefault="00A16E71" w:rsidP="003C2438">
      <w:pPr>
        <w:spacing w:after="0"/>
      </w:pPr>
      <w:r>
        <w:rPr>
          <w:noProof/>
        </w:rPr>
        <w:lastRenderedPageBreak/>
        <w:drawing>
          <wp:inline distT="0" distB="0" distL="0" distR="0" wp14:anchorId="612BB2E1" wp14:editId="647A5653">
            <wp:extent cx="5755005" cy="597471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55005" cy="5974715"/>
                    </a:xfrm>
                    <a:prstGeom prst="rect">
                      <a:avLst/>
                    </a:prstGeom>
                    <a:noFill/>
                  </pic:spPr>
                </pic:pic>
              </a:graphicData>
            </a:graphic>
          </wp:inline>
        </w:drawing>
      </w:r>
    </w:p>
    <w:p w14:paraId="3645876D" w14:textId="3ED1DE50" w:rsidR="00026620" w:rsidRPr="005E563F" w:rsidRDefault="00026620" w:rsidP="00335F52">
      <w:pPr>
        <w:pStyle w:val="Abbildung"/>
        <w:spacing w:before="360" w:after="240"/>
        <w:rPr>
          <w:b/>
        </w:rPr>
      </w:pPr>
      <w:bookmarkStart w:id="890" w:name="_Toc357092012"/>
      <w:bookmarkStart w:id="891" w:name="_Toc390346583"/>
      <w:bookmarkStart w:id="892" w:name="_Toc412562656"/>
      <w:bookmarkStart w:id="893" w:name="_Toc437530346"/>
      <w:bookmarkStart w:id="894" w:name="_Toc111118616"/>
      <w:bookmarkStart w:id="895" w:name="_Toc111196162"/>
      <w:r w:rsidRPr="005E563F">
        <w:rPr>
          <w:b/>
        </w:rPr>
        <w:t xml:space="preserve">Abbildung </w:t>
      </w:r>
      <w:r w:rsidR="00561FFA" w:rsidRPr="005E563F">
        <w:rPr>
          <w:b/>
        </w:rPr>
        <w:fldChar w:fldCharType="begin"/>
      </w:r>
      <w:r w:rsidRPr="005E563F">
        <w:rPr>
          <w:b/>
        </w:rPr>
        <w:instrText xml:space="preserve"> SEQ Abbildung \* ARABIC </w:instrText>
      </w:r>
      <w:r w:rsidR="00561FFA" w:rsidRPr="005E563F">
        <w:rPr>
          <w:b/>
        </w:rPr>
        <w:fldChar w:fldCharType="separate"/>
      </w:r>
      <w:r w:rsidR="007A098D">
        <w:rPr>
          <w:b/>
        </w:rPr>
        <w:t>33</w:t>
      </w:r>
      <w:r w:rsidR="00561FFA" w:rsidRPr="005E563F">
        <w:rPr>
          <w:b/>
        </w:rPr>
        <w:fldChar w:fldCharType="end"/>
      </w:r>
      <w:r w:rsidRPr="005E563F">
        <w:rPr>
          <w:b/>
        </w:rPr>
        <w:t>: Berechnung der Konvertierungsmenge</w:t>
      </w:r>
      <w:bookmarkEnd w:id="890"/>
      <w:bookmarkEnd w:id="891"/>
      <w:bookmarkEnd w:id="892"/>
      <w:bookmarkEnd w:id="893"/>
      <w:bookmarkEnd w:id="894"/>
      <w:bookmarkEnd w:id="895"/>
    </w:p>
    <w:p w14:paraId="24694454" w14:textId="77777777" w:rsidR="00E67112" w:rsidRPr="00557DC4" w:rsidRDefault="00E67112" w:rsidP="00E67112">
      <w:pPr>
        <w:rPr>
          <w:rFonts w:cs="Arial"/>
        </w:rPr>
      </w:pPr>
      <w:bookmarkStart w:id="896" w:name="_Toc391540200"/>
      <w:bookmarkStart w:id="897" w:name="_Ref411949400"/>
      <w:bookmarkStart w:id="898" w:name="_Ref449516798"/>
      <w:bookmarkStart w:id="899" w:name="_Ref449516810"/>
      <w:r>
        <w:t xml:space="preserve">Für </w:t>
      </w:r>
      <w:r w:rsidRPr="00557DC4">
        <w:rPr>
          <w:rFonts w:cs="Arial"/>
        </w:rPr>
        <w:t>die Berechnung der Konvertierungsmenge sind folgende Daten relevant:</w:t>
      </w:r>
    </w:p>
    <w:p w14:paraId="756F1B49" w14:textId="06B05B96" w:rsidR="00D40AF0" w:rsidRPr="00557DC4" w:rsidRDefault="00E67112" w:rsidP="00590734">
      <w:pPr>
        <w:pStyle w:val="Aufzhlungszeichen"/>
        <w:widowControl w:val="0"/>
        <w:contextualSpacing/>
        <w:rPr>
          <w:rFonts w:cs="Arial"/>
        </w:rPr>
      </w:pPr>
      <w:r w:rsidRPr="00557DC4">
        <w:rPr>
          <w:rFonts w:cs="Arial"/>
        </w:rPr>
        <w:t xml:space="preserve">Die Summe der </w:t>
      </w:r>
      <w:r>
        <w:rPr>
          <w:rFonts w:cs="Arial"/>
        </w:rPr>
        <w:t>H</w:t>
      </w:r>
      <w:r w:rsidRPr="00557DC4">
        <w:rPr>
          <w:rFonts w:cs="Arial"/>
        </w:rPr>
        <w:t>-Gas BK</w:t>
      </w:r>
      <w:r w:rsidRPr="00000573">
        <w:rPr>
          <w:rFonts w:cs="Arial"/>
        </w:rPr>
        <w:t>SALD</w:t>
      </w:r>
      <w:r>
        <w:rPr>
          <w:rFonts w:cs="Arial"/>
        </w:rPr>
        <w:t>ABR</w:t>
      </w:r>
      <w:r w:rsidRPr="00557DC4">
        <w:rPr>
          <w:rFonts w:cs="Arial"/>
        </w:rPr>
        <w:t xml:space="preserve"> von UBK Orangegas und UBK </w:t>
      </w:r>
      <w:proofErr w:type="spellStart"/>
      <w:r w:rsidRPr="00557DC4">
        <w:rPr>
          <w:rFonts w:cs="Arial"/>
        </w:rPr>
        <w:t>Blaugas</w:t>
      </w:r>
      <w:proofErr w:type="spellEnd"/>
      <w:r w:rsidRPr="00557DC4">
        <w:rPr>
          <w:rFonts w:cs="Arial"/>
        </w:rPr>
        <w:t xml:space="preserve"> beträgt +</w:t>
      </w:r>
      <w:r w:rsidR="003C1CA9">
        <w:rPr>
          <w:rFonts w:cs="Arial"/>
        </w:rPr>
        <w:t> </w:t>
      </w:r>
      <w:r w:rsidRPr="00557DC4">
        <w:rPr>
          <w:rFonts w:cs="Arial"/>
        </w:rPr>
        <w:t>110.</w:t>
      </w:r>
    </w:p>
    <w:p w14:paraId="4276B861" w14:textId="77777777" w:rsidR="00CF0BA5" w:rsidRDefault="00E67112">
      <w:pPr>
        <w:pStyle w:val="Aufzhlungszeichen"/>
        <w:widowControl w:val="0"/>
        <w:contextualSpacing/>
        <w:rPr>
          <w:rFonts w:cs="Arial"/>
        </w:rPr>
      </w:pPr>
      <w:r w:rsidRPr="00557DC4">
        <w:rPr>
          <w:rFonts w:cs="Arial"/>
        </w:rPr>
        <w:t>Der BK</w:t>
      </w:r>
      <w:r w:rsidRPr="00000573">
        <w:rPr>
          <w:rFonts w:cs="Arial"/>
        </w:rPr>
        <w:t>SALD</w:t>
      </w:r>
      <w:r>
        <w:rPr>
          <w:rFonts w:cs="Arial"/>
        </w:rPr>
        <w:t>ABR</w:t>
      </w:r>
      <w:r w:rsidRPr="00557DC4">
        <w:rPr>
          <w:rFonts w:cs="Arial"/>
        </w:rPr>
        <w:t xml:space="preserve"> des H-Gas RBK beträgt - </w:t>
      </w:r>
      <w:r w:rsidRPr="00000573">
        <w:rPr>
          <w:rFonts w:cs="Arial"/>
        </w:rPr>
        <w:t>80, das Aggregat der beiden Salden beläuft sich auf</w:t>
      </w:r>
      <w:r>
        <w:rPr>
          <w:rFonts w:cs="Arial"/>
        </w:rPr>
        <w:t xml:space="preserve"> + 30</w:t>
      </w:r>
      <w:r w:rsidRPr="00000573">
        <w:rPr>
          <w:rFonts w:cs="Arial"/>
        </w:rPr>
        <w:t>.</w:t>
      </w:r>
    </w:p>
    <w:p w14:paraId="5F8C3AA0" w14:textId="6918BA9F" w:rsidR="00E67112" w:rsidRPr="00557DC4" w:rsidRDefault="00E67112" w:rsidP="00E67112">
      <w:pPr>
        <w:pStyle w:val="Aufzhlungszeichen"/>
        <w:contextualSpacing/>
        <w:rPr>
          <w:rFonts w:cs="Arial"/>
        </w:rPr>
      </w:pPr>
      <w:r w:rsidRPr="00557DC4">
        <w:rPr>
          <w:rFonts w:cs="Arial"/>
        </w:rPr>
        <w:t xml:space="preserve">Die Summe der </w:t>
      </w:r>
      <w:r>
        <w:rPr>
          <w:rFonts w:cs="Arial"/>
        </w:rPr>
        <w:t>L</w:t>
      </w:r>
      <w:r w:rsidRPr="00557DC4">
        <w:rPr>
          <w:rFonts w:cs="Arial"/>
        </w:rPr>
        <w:t>-Gas BK</w:t>
      </w:r>
      <w:r w:rsidRPr="00000573">
        <w:rPr>
          <w:rFonts w:cs="Arial"/>
        </w:rPr>
        <w:t>SALD</w:t>
      </w:r>
      <w:r>
        <w:rPr>
          <w:rFonts w:cs="Arial"/>
        </w:rPr>
        <w:t>ABR</w:t>
      </w:r>
      <w:r w:rsidRPr="00557DC4">
        <w:rPr>
          <w:rFonts w:cs="Arial"/>
        </w:rPr>
        <w:t xml:space="preserve"> von UBK </w:t>
      </w:r>
      <w:proofErr w:type="spellStart"/>
      <w:r w:rsidRPr="00557DC4">
        <w:rPr>
          <w:rFonts w:cs="Arial"/>
        </w:rPr>
        <w:t>Rosagas</w:t>
      </w:r>
      <w:proofErr w:type="spellEnd"/>
      <w:r w:rsidRPr="00557DC4">
        <w:rPr>
          <w:rFonts w:cs="Arial"/>
        </w:rPr>
        <w:t xml:space="preserve"> und UBK </w:t>
      </w:r>
      <w:proofErr w:type="spellStart"/>
      <w:r w:rsidRPr="00557DC4">
        <w:rPr>
          <w:rFonts w:cs="Arial"/>
        </w:rPr>
        <w:t>Grüngas</w:t>
      </w:r>
      <w:proofErr w:type="spellEnd"/>
      <w:r w:rsidRPr="00557DC4">
        <w:rPr>
          <w:rFonts w:cs="Arial"/>
        </w:rPr>
        <w:t xml:space="preserve"> beträgt - 35.</w:t>
      </w:r>
    </w:p>
    <w:p w14:paraId="21B200B7" w14:textId="77777777" w:rsidR="00E67112" w:rsidRPr="00557DC4" w:rsidRDefault="00E67112" w:rsidP="00E67112">
      <w:pPr>
        <w:pStyle w:val="Aufzhlungszeichen"/>
        <w:contextualSpacing/>
        <w:rPr>
          <w:rFonts w:cs="Arial"/>
        </w:rPr>
      </w:pPr>
      <w:r>
        <w:lastRenderedPageBreak/>
        <w:t>Summe der H-</w:t>
      </w:r>
      <w:r w:rsidRPr="00557DC4">
        <w:rPr>
          <w:rFonts w:cs="Arial"/>
        </w:rPr>
        <w:t xml:space="preserve">Gas Salden </w:t>
      </w:r>
      <w:r>
        <w:rPr>
          <w:rFonts w:cs="Arial"/>
        </w:rPr>
        <w:t>+ 30</w:t>
      </w:r>
      <w:r w:rsidRPr="00557DC4">
        <w:rPr>
          <w:rFonts w:cs="Arial"/>
        </w:rPr>
        <w:t xml:space="preserve"> im Verhältnis zu </w:t>
      </w:r>
      <w:r>
        <w:rPr>
          <w:rFonts w:cs="Arial"/>
        </w:rPr>
        <w:t>-</w:t>
      </w:r>
      <w:r w:rsidRPr="00557DC4">
        <w:rPr>
          <w:rFonts w:cs="Arial"/>
        </w:rPr>
        <w:t xml:space="preserve"> </w:t>
      </w:r>
      <w:r>
        <w:rPr>
          <w:rFonts w:cs="Arial"/>
        </w:rPr>
        <w:t>35</w:t>
      </w:r>
      <w:r w:rsidRPr="00557DC4">
        <w:rPr>
          <w:rFonts w:cs="Arial"/>
        </w:rPr>
        <w:t xml:space="preserve"> bei L-Gas. Die Vorzeichen sind verschieden, es wird eine Menge von </w:t>
      </w:r>
      <w:r>
        <w:rPr>
          <w:rFonts w:cs="Arial"/>
        </w:rPr>
        <w:t>30</w:t>
      </w:r>
      <w:r w:rsidRPr="00557DC4">
        <w:rPr>
          <w:rFonts w:cs="Arial"/>
        </w:rPr>
        <w:t xml:space="preserve"> von </w:t>
      </w:r>
      <w:r>
        <w:rPr>
          <w:rFonts w:cs="Arial"/>
        </w:rPr>
        <w:t>H</w:t>
      </w:r>
      <w:r w:rsidRPr="00557DC4">
        <w:rPr>
          <w:rFonts w:cs="Arial"/>
        </w:rPr>
        <w:t xml:space="preserve">-Gas nach </w:t>
      </w:r>
      <w:r>
        <w:rPr>
          <w:rFonts w:cs="Arial"/>
        </w:rPr>
        <w:t>L</w:t>
      </w:r>
      <w:r w:rsidRPr="00557DC4">
        <w:rPr>
          <w:rFonts w:cs="Arial"/>
        </w:rPr>
        <w:t>-Gas konvertiert (KONVLH</w:t>
      </w:r>
      <w:r w:rsidRPr="00000573">
        <w:rPr>
          <w:rFonts w:cs="Arial"/>
        </w:rPr>
        <w:t>)</w:t>
      </w:r>
      <w:r w:rsidRPr="00557DC4">
        <w:rPr>
          <w:rFonts w:cs="Arial"/>
        </w:rPr>
        <w:t>.</w:t>
      </w:r>
    </w:p>
    <w:p w14:paraId="44D2383C" w14:textId="77777777" w:rsidR="00E67112" w:rsidRPr="00557DC4" w:rsidRDefault="00E67112" w:rsidP="00E67112">
      <w:pPr>
        <w:pStyle w:val="Aufzhlungszeichen"/>
        <w:rPr>
          <w:rFonts w:cs="Arial"/>
        </w:rPr>
      </w:pPr>
      <w:r w:rsidRPr="00557DC4">
        <w:rPr>
          <w:rFonts w:cs="Arial"/>
        </w:rPr>
        <w:t xml:space="preserve">Die Ausgleichsenergiemenge des RBK </w:t>
      </w:r>
      <w:proofErr w:type="spellStart"/>
      <w:r w:rsidRPr="00557DC4">
        <w:rPr>
          <w:rFonts w:cs="Arial"/>
        </w:rPr>
        <w:t>BK</w:t>
      </w:r>
      <w:r w:rsidRPr="00000573">
        <w:rPr>
          <w:rFonts w:cs="Arial"/>
        </w:rPr>
        <w:t>SALD</w:t>
      </w:r>
      <w:r>
        <w:rPr>
          <w:rFonts w:cs="Arial"/>
        </w:rPr>
        <w:t>ABR</w:t>
      </w:r>
      <w:r w:rsidRPr="00000573">
        <w:rPr>
          <w:rFonts w:cs="Arial"/>
        </w:rPr>
        <w:t>nach</w:t>
      </w:r>
      <w:proofErr w:type="spellEnd"/>
      <w:r w:rsidRPr="00557DC4">
        <w:rPr>
          <w:rFonts w:cs="Arial"/>
        </w:rPr>
        <w:t xml:space="preserve"> beträgt - 5</w:t>
      </w:r>
      <w:r>
        <w:rPr>
          <w:rFonts w:cs="Arial"/>
        </w:rPr>
        <w:t>.</w:t>
      </w:r>
    </w:p>
    <w:p w14:paraId="4FC421C6" w14:textId="74BC4C56" w:rsidR="00E67112" w:rsidRPr="00557DC4" w:rsidRDefault="00E67112" w:rsidP="00E67112">
      <w:pPr>
        <w:rPr>
          <w:rFonts w:cs="Arial"/>
        </w:rPr>
      </w:pPr>
      <w:r w:rsidRPr="00557DC4">
        <w:rPr>
          <w:rFonts w:cs="Arial"/>
        </w:rPr>
        <w:t xml:space="preserve">Der BKV des RBK erhält </w:t>
      </w:r>
      <w:r w:rsidR="00013CCE">
        <w:rPr>
          <w:rFonts w:cs="Arial"/>
        </w:rPr>
        <w:t>den</w:t>
      </w:r>
      <w:r w:rsidR="00013CCE" w:rsidRPr="00557DC4">
        <w:rPr>
          <w:rFonts w:cs="Arial"/>
        </w:rPr>
        <w:t xml:space="preserve"> </w:t>
      </w:r>
      <w:r w:rsidRPr="00557DC4">
        <w:rPr>
          <w:rFonts w:cs="Arial"/>
        </w:rPr>
        <w:t>Zeitreihentyp KONVHL</w:t>
      </w:r>
      <w:r w:rsidRPr="00000573">
        <w:rPr>
          <w:rFonts w:cs="Arial"/>
        </w:rPr>
        <w:t xml:space="preserve"> </w:t>
      </w:r>
      <w:r w:rsidRPr="00557DC4">
        <w:rPr>
          <w:rFonts w:cs="Arial"/>
        </w:rPr>
        <w:t xml:space="preserve">im Format IMBNOT </w:t>
      </w:r>
      <w:r w:rsidRPr="00000573">
        <w:rPr>
          <w:rFonts w:cs="Arial"/>
        </w:rPr>
        <w:t>täg</w:t>
      </w:r>
      <w:r w:rsidRPr="00557DC4">
        <w:rPr>
          <w:rFonts w:cs="Arial"/>
        </w:rPr>
        <w:t xml:space="preserve">lich bis spätestens 16:30 Uhr. </w:t>
      </w:r>
      <w:r w:rsidRPr="00000573">
        <w:rPr>
          <w:rFonts w:cs="Arial"/>
        </w:rPr>
        <w:t xml:space="preserve">Für Biogas-BK erfolgt diese Übermittlung nicht. Sofern sich aufgrund von geänderten Bilanzkreissalden Änderungen ergeben, wird dies monatlich </w:t>
      </w:r>
      <w:r w:rsidRPr="00557DC4">
        <w:rPr>
          <w:rFonts w:cs="Arial"/>
        </w:rPr>
        <w:t xml:space="preserve">bis </w:t>
      </w:r>
      <w:r w:rsidRPr="00000573">
        <w:rPr>
          <w:rFonts w:cs="Arial"/>
        </w:rPr>
        <w:t>M+15 WT mitgeteilt bzw. zum Zeitpunkt der Rechnungslegung.</w:t>
      </w:r>
    </w:p>
    <w:p w14:paraId="325089D0" w14:textId="77777777" w:rsidR="00E67112" w:rsidRDefault="00E67112" w:rsidP="00E67112">
      <w:r w:rsidRPr="00000573">
        <w:rPr>
          <w:rFonts w:cs="Arial"/>
        </w:rPr>
        <w:t>Für die Abrechnung der Konvertierung wird täglich die Konvertierungsmenge berechnet und mit dem Konvertierungsentgelt multipliziert</w:t>
      </w:r>
      <w:r w:rsidRPr="00E20324">
        <w:rPr>
          <w:rFonts w:cs="Arial"/>
        </w:rPr>
        <w:t>.</w:t>
      </w:r>
      <w:r>
        <w:rPr>
          <w:rFonts w:cs="Arial"/>
        </w:rPr>
        <w:t xml:space="preserve"> Das Konvertierungsentgelt wird pro Konvertierungsperiode vom MGV auf der Internetseite veröffentlicht.</w:t>
      </w:r>
      <w:r w:rsidRPr="00E20324">
        <w:rPr>
          <w:rFonts w:cs="Arial"/>
        </w:rPr>
        <w:t xml:space="preserve"> </w:t>
      </w:r>
      <w:r w:rsidRPr="00E20324">
        <w:t>Die Abrechnung des Konvertierungsentgelts wird gemeinsam mit der Bilanzkreisabrechnung nach Ende des Bilanzierungszeitraums durchgeführt.</w:t>
      </w:r>
      <w:bookmarkStart w:id="900" w:name="_Toc329778955"/>
    </w:p>
    <w:p w14:paraId="56C3C515" w14:textId="77777777" w:rsidR="00026620" w:rsidRDefault="00026620" w:rsidP="00DC6500">
      <w:pPr>
        <w:pStyle w:val="berschrift2"/>
        <w:spacing w:before="480"/>
        <w:ind w:left="567" w:hanging="567"/>
      </w:pPr>
      <w:bookmarkStart w:id="901" w:name="_Toc111118517"/>
      <w:bookmarkEnd w:id="900"/>
      <w:r>
        <w:t>Konvertierungsentgelt in Biogasbilanzkreise</w:t>
      </w:r>
      <w:bookmarkEnd w:id="896"/>
      <w:bookmarkEnd w:id="897"/>
      <w:r>
        <w:t>n</w:t>
      </w:r>
      <w:bookmarkEnd w:id="898"/>
      <w:bookmarkEnd w:id="899"/>
      <w:bookmarkEnd w:id="901"/>
    </w:p>
    <w:p w14:paraId="2F6C8C46" w14:textId="76C972A1" w:rsidR="00E67112" w:rsidRDefault="00E67112" w:rsidP="00E67112">
      <w:r>
        <w:t>Die zuvor beschriebenen Regelungen zur Verbindung von Bilanzkreisen sowie für die Zuordnung von Punkten zu BK gelten auch analog für Biogas-BK. Erhebt der MGV ein Konvertierungsentgelt, werden f</w:t>
      </w:r>
      <w:r w:rsidRPr="00980756">
        <w:t xml:space="preserve">ür die Ermittlung der Konvertierungsmenge bei Biogasbilanzkreisen zunächst die H- und die L-Gas Salden des Rechnungsbilanzkreises und der Unterbilanzkreise über die Bilanzierungsperiode aggregiert. Sollte sich dabei eine Überdeckung (= positives Vorzeichen) </w:t>
      </w:r>
      <w:r>
        <w:t>im H-Gas</w:t>
      </w:r>
      <w:r w:rsidRPr="00980756">
        <w:t xml:space="preserve"> und eine Unterdeckung (= negatives Vorzeichen) </w:t>
      </w:r>
      <w:r>
        <w:t xml:space="preserve">im L-Gas </w:t>
      </w:r>
      <w:r w:rsidRPr="00980756">
        <w:t>ergeben, wird auf den kleineren Betrag der beiden Mengen das Konvertierungsentgelt erhoben.</w:t>
      </w:r>
      <w:r>
        <w:t xml:space="preserve"> </w:t>
      </w:r>
      <w:r w:rsidRPr="005141F2">
        <w:t>Die Abrechnung der Konvertierungsmenge wird gemeinsam mit der Bilanzkreisabrechnung nach Ende des Bilanzierungszeitraums durchgeführt.</w:t>
      </w:r>
    </w:p>
    <w:p w14:paraId="244D045C" w14:textId="293F8034" w:rsidR="00474FE2" w:rsidRDefault="00026620" w:rsidP="00DC6500">
      <w:r w:rsidRPr="00760BF6">
        <w:t xml:space="preserve">Bei der Abrechnung </w:t>
      </w:r>
      <w:r>
        <w:t>des</w:t>
      </w:r>
      <w:r w:rsidRPr="00760BF6">
        <w:t xml:space="preserve"> Konvertierung</w:t>
      </w:r>
      <w:r>
        <w:t>sentgeltes</w:t>
      </w:r>
      <w:r w:rsidRPr="00760BF6">
        <w:t xml:space="preserve"> für Biogas ist das zeitgewichtete arithmetische Mittel der während des Biogasbilanzierungszeitraums geltenden Konvertierungsentgelte heranzuziehen.</w:t>
      </w:r>
    </w:p>
    <w:p w14:paraId="01143177" w14:textId="4F1CC420" w:rsidR="00474FE2" w:rsidRDefault="00474FE2" w:rsidP="00474FE2">
      <w:r>
        <w:t>Im Rahmen der Marktgebietszusammenlegung zum 01.10.2021 kann sich der Sonderfall ergeben, dass es in einzelnen Monaten einer Bilanzierungsperiode zwei Marktgebiete gibt und am Ende der Bilanzierungsperiode nur noch eines. Liegt der Beginn der Bilanzierungsperiode eines Biogas-BKV vor dem 01.10.2021 und das Ende nach dem 01.10.2021, so wird zunächst für den relevanten Zeitraum vor dem 01.10.2021 das arithmetische Mittel der Konvertierungsentgelte beider Marktgebiete gebildet. Anschließend werden die Preise des Konvertierungsentgeltes der einzelnen Tage über die Dauer des Bilanzierungszeitraumes addiert und dann durch die Anzahl der Tage des Bilanzierungszeitraumes geteilt.</w:t>
      </w:r>
    </w:p>
    <w:p w14:paraId="3BF889D6" w14:textId="77777777" w:rsidR="00474FE2" w:rsidRDefault="00474FE2" w:rsidP="00DC6500"/>
    <w:p w14:paraId="3ADB6937" w14:textId="77777777" w:rsidR="00026620" w:rsidRDefault="00026620" w:rsidP="00DC6500"/>
    <w:p w14:paraId="0E6042AB" w14:textId="77777777" w:rsidR="00026620" w:rsidRDefault="005C552B" w:rsidP="003C2438">
      <w:pPr>
        <w:spacing w:after="0"/>
      </w:pPr>
      <w:r>
        <w:rPr>
          <w:noProof/>
        </w:rPr>
        <w:lastRenderedPageBreak/>
        <w:drawing>
          <wp:inline distT="0" distB="0" distL="0" distR="0" wp14:anchorId="444EA045" wp14:editId="1767430C">
            <wp:extent cx="5759450" cy="2764799"/>
            <wp:effectExtent l="0" t="0" r="0" b="0"/>
            <wp:docPr id="3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0" cstate="print"/>
                    <a:srcRect/>
                    <a:stretch>
                      <a:fillRect/>
                    </a:stretch>
                  </pic:blipFill>
                  <pic:spPr bwMode="auto">
                    <a:xfrm>
                      <a:off x="0" y="0"/>
                      <a:ext cx="5759450" cy="2764799"/>
                    </a:xfrm>
                    <a:prstGeom prst="rect">
                      <a:avLst/>
                    </a:prstGeom>
                    <a:noFill/>
                    <a:ln w="9525">
                      <a:noFill/>
                      <a:miter lim="800000"/>
                      <a:headEnd/>
                      <a:tailEnd/>
                    </a:ln>
                  </pic:spPr>
                </pic:pic>
              </a:graphicData>
            </a:graphic>
          </wp:inline>
        </w:drawing>
      </w:r>
    </w:p>
    <w:p w14:paraId="1DEA4BE0" w14:textId="36E77451" w:rsidR="00026620" w:rsidRDefault="00026620" w:rsidP="00DC6500">
      <w:pPr>
        <w:pStyle w:val="Abbildung"/>
        <w:spacing w:before="360" w:after="240"/>
        <w:rPr>
          <w:b/>
        </w:rPr>
      </w:pPr>
      <w:bookmarkStart w:id="902" w:name="_Toc357092015"/>
      <w:bookmarkStart w:id="903" w:name="_Toc390346584"/>
      <w:bookmarkStart w:id="904" w:name="_Toc437530347"/>
      <w:bookmarkStart w:id="905" w:name="_Toc111118617"/>
      <w:bookmarkStart w:id="906" w:name="_Toc111196163"/>
      <w:r w:rsidRPr="005E563F">
        <w:rPr>
          <w:b/>
        </w:rPr>
        <w:t xml:space="preserve">Abbildung </w:t>
      </w:r>
      <w:r w:rsidR="00561FFA" w:rsidRPr="005E563F">
        <w:rPr>
          <w:b/>
        </w:rPr>
        <w:fldChar w:fldCharType="begin"/>
      </w:r>
      <w:r w:rsidRPr="005E563F">
        <w:rPr>
          <w:b/>
        </w:rPr>
        <w:instrText xml:space="preserve"> SEQ Abbildung \* ARABIC </w:instrText>
      </w:r>
      <w:r w:rsidR="00561FFA" w:rsidRPr="005E563F">
        <w:rPr>
          <w:b/>
        </w:rPr>
        <w:fldChar w:fldCharType="separate"/>
      </w:r>
      <w:r w:rsidR="007A098D">
        <w:rPr>
          <w:b/>
        </w:rPr>
        <w:t>34</w:t>
      </w:r>
      <w:r w:rsidR="00561FFA" w:rsidRPr="005E563F">
        <w:rPr>
          <w:b/>
        </w:rPr>
        <w:fldChar w:fldCharType="end"/>
      </w:r>
      <w:r w:rsidRPr="005E563F">
        <w:rPr>
          <w:b/>
        </w:rPr>
        <w:t>: Bio-Bilanzkreisabbildung im Konvertierungsgebiet</w:t>
      </w:r>
      <w:bookmarkEnd w:id="902"/>
      <w:bookmarkEnd w:id="903"/>
      <w:bookmarkEnd w:id="904"/>
      <w:bookmarkEnd w:id="905"/>
      <w:bookmarkEnd w:id="906"/>
    </w:p>
    <w:p w14:paraId="406D9B3B" w14:textId="77777777" w:rsidR="00026620" w:rsidRDefault="00026620" w:rsidP="00DC6500">
      <w:pPr>
        <w:pStyle w:val="berschrift2"/>
        <w:spacing w:before="480"/>
        <w:ind w:left="567" w:hanging="567"/>
      </w:pPr>
      <w:bookmarkStart w:id="907" w:name="_Ref446347454"/>
      <w:bookmarkStart w:id="908" w:name="_Toc111118518"/>
      <w:r w:rsidRPr="00E20324">
        <w:t>Konvertierungsumlage</w:t>
      </w:r>
      <w:bookmarkEnd w:id="907"/>
      <w:bookmarkEnd w:id="908"/>
    </w:p>
    <w:p w14:paraId="47E8EB84" w14:textId="77777777" w:rsidR="006B3C70" w:rsidRPr="003B151A" w:rsidRDefault="006B3C70" w:rsidP="006B3C70">
      <w:pPr>
        <w:autoSpaceDE w:val="0"/>
        <w:autoSpaceDN w:val="0"/>
        <w:adjustRightInd w:val="0"/>
        <w:rPr>
          <w:rFonts w:cs="Arial"/>
        </w:rPr>
      </w:pPr>
      <w:r>
        <w:rPr>
          <w:rFonts w:cs="Arial"/>
        </w:rPr>
        <w:t xml:space="preserve">Zur Deckung der Kosten, die dem MGV durch Konvertierungsmaßnahmen entstehen, </w:t>
      </w:r>
      <w:r w:rsidRPr="00E20324">
        <w:rPr>
          <w:rFonts w:cs="Arial"/>
        </w:rPr>
        <w:t xml:space="preserve">kann der MGV eine Konvertierungsumlage vom BKV erheben. Die Konvertierungsumlage wird in </w:t>
      </w:r>
      <w:r w:rsidR="00924D1D">
        <w:rPr>
          <w:rFonts w:cs="Arial"/>
        </w:rPr>
        <w:t>EUR</w:t>
      </w:r>
      <w:r w:rsidR="00924D1D" w:rsidRPr="00E20324">
        <w:rPr>
          <w:rFonts w:cs="Arial"/>
        </w:rPr>
        <w:t xml:space="preserve"> </w:t>
      </w:r>
      <w:r w:rsidRPr="00E20324">
        <w:rPr>
          <w:rFonts w:cs="Arial"/>
        </w:rPr>
        <w:t xml:space="preserve">pro </w:t>
      </w:r>
      <w:r>
        <w:rPr>
          <w:rFonts w:cs="Arial"/>
        </w:rPr>
        <w:t>MWh</w:t>
      </w:r>
      <w:r w:rsidRPr="00E20324">
        <w:rPr>
          <w:rFonts w:cs="Arial"/>
        </w:rPr>
        <w:t xml:space="preserve"> auf alle täglich in einen Bilanzkreis eingebrachten physischen Einspeisemengen erhoben. Sie fällt auch auf Einspeisungen in UBK und </w:t>
      </w:r>
      <w:r>
        <w:rPr>
          <w:rFonts w:cs="Arial"/>
        </w:rPr>
        <w:t>SBK</w:t>
      </w:r>
      <w:r w:rsidRPr="00E20324">
        <w:rPr>
          <w:rFonts w:cs="Arial"/>
        </w:rPr>
        <w:t xml:space="preserve"> an. Die Konvertierungsumlage wird durch </w:t>
      </w:r>
      <w:r>
        <w:rPr>
          <w:rFonts w:cs="Arial"/>
        </w:rPr>
        <w:t>den</w:t>
      </w:r>
      <w:r w:rsidRPr="00E20324">
        <w:rPr>
          <w:rFonts w:cs="Arial"/>
        </w:rPr>
        <w:t xml:space="preserve"> </w:t>
      </w:r>
      <w:r>
        <w:rPr>
          <w:rFonts w:cs="Arial"/>
        </w:rPr>
        <w:t>Zeitreihen</w:t>
      </w:r>
      <w:r w:rsidRPr="00E20324">
        <w:rPr>
          <w:rFonts w:cs="Arial"/>
        </w:rPr>
        <w:t>typ</w:t>
      </w:r>
      <w:r>
        <w:rPr>
          <w:rFonts w:cs="Arial"/>
        </w:rPr>
        <w:t xml:space="preserve"> </w:t>
      </w:r>
      <w:proofErr w:type="spellStart"/>
      <w:r>
        <w:rPr>
          <w:rFonts w:cs="Arial"/>
        </w:rPr>
        <w:t>KONVUMLnach</w:t>
      </w:r>
      <w:proofErr w:type="spellEnd"/>
      <w:r w:rsidRPr="00E20324">
        <w:rPr>
          <w:rFonts w:cs="Arial"/>
        </w:rPr>
        <w:t xml:space="preserve"> ausgewiesen. Maßgeblich für die Ermittlung der physischen Einspeisung ist die tägliche Allokation unter Berücksichtigung etwaiger </w:t>
      </w:r>
      <w:proofErr w:type="spellStart"/>
      <w:r w:rsidRPr="00E20324">
        <w:rPr>
          <w:rFonts w:cs="Arial"/>
        </w:rPr>
        <w:t>Renominierungen</w:t>
      </w:r>
      <w:proofErr w:type="spellEnd"/>
      <w:r w:rsidRPr="003B151A">
        <w:rPr>
          <w:rFonts w:cs="Arial"/>
        </w:rPr>
        <w:t>. Die Konvertierungsumlage wird auf folgende Zeitreihentypen erhoben:</w:t>
      </w:r>
    </w:p>
    <w:p w14:paraId="4DA012ED" w14:textId="10D8CCE0" w:rsidR="00026620" w:rsidRDefault="00026620" w:rsidP="00DC6500">
      <w:pPr>
        <w:pStyle w:val="Aufzhlungszeichen"/>
      </w:pPr>
      <w:r w:rsidRPr="003B151A">
        <w:t>Zeitreihentyp „</w:t>
      </w:r>
      <w:proofErr w:type="spellStart"/>
      <w:r w:rsidRPr="003B151A">
        <w:t>Entryso</w:t>
      </w:r>
      <w:proofErr w:type="spellEnd"/>
      <w:r w:rsidRPr="003B151A">
        <w:t>“</w:t>
      </w:r>
      <w:r>
        <w:t>,</w:t>
      </w:r>
    </w:p>
    <w:p w14:paraId="1102DE20" w14:textId="77777777" w:rsidR="00026620" w:rsidRDefault="00026620" w:rsidP="00DC6500">
      <w:pPr>
        <w:pStyle w:val="Aufzhlungszeichen"/>
      </w:pPr>
      <w:r w:rsidRPr="00630305">
        <w:t>Zeitreihentyp „Entry Biogas“</w:t>
      </w:r>
      <w:r>
        <w:t>,</w:t>
      </w:r>
    </w:p>
    <w:p w14:paraId="361024CD" w14:textId="77777777" w:rsidR="00026620" w:rsidRDefault="00026620" w:rsidP="00DC6500">
      <w:pPr>
        <w:pStyle w:val="Aufzhlungszeichen"/>
      </w:pPr>
      <w:r w:rsidRPr="00630305">
        <w:t xml:space="preserve">Zeitreihentyp „Entry </w:t>
      </w:r>
      <w:r>
        <w:t>Wasserstoff</w:t>
      </w:r>
      <w:r w:rsidRPr="00630305">
        <w:t>“</w:t>
      </w:r>
      <w:r>
        <w:t>.</w:t>
      </w:r>
    </w:p>
    <w:p w14:paraId="2460A8A3" w14:textId="77777777" w:rsidR="00026620" w:rsidRDefault="00026620" w:rsidP="00DC6500">
      <w:pPr>
        <w:autoSpaceDE w:val="0"/>
        <w:autoSpaceDN w:val="0"/>
        <w:adjustRightInd w:val="0"/>
        <w:rPr>
          <w:rFonts w:cs="Arial"/>
        </w:rPr>
      </w:pPr>
      <w:r w:rsidRPr="00B00858">
        <w:rPr>
          <w:rFonts w:cs="Arial"/>
        </w:rPr>
        <w:t>Werden Kapazitäten in einen Bilanzkreis mit Status „beschränkt zuordenbar“ eingebracht, sind die zugehörigen allokierten Einspeisemengen von der Konvertierungsumlage befreit</w:t>
      </w:r>
      <w:r>
        <w:rPr>
          <w:rFonts w:cs="Arial"/>
        </w:rPr>
        <w:t>.</w:t>
      </w:r>
    </w:p>
    <w:p w14:paraId="2B3238BA" w14:textId="77777777" w:rsidR="00026620" w:rsidRDefault="00026620" w:rsidP="00DC6500">
      <w:pPr>
        <w:autoSpaceDE w:val="0"/>
        <w:autoSpaceDN w:val="0"/>
        <w:adjustRightInd w:val="0"/>
        <w:rPr>
          <w:rFonts w:cs="Arial"/>
        </w:rPr>
      </w:pPr>
      <w:r>
        <w:rPr>
          <w:rFonts w:cs="Arial"/>
        </w:rPr>
        <w:t>Die Konvertierungsumlage wird gleichermaßen in Erdgas- und Biogas-Bilanzkreisen erhoben.</w:t>
      </w:r>
    </w:p>
    <w:p w14:paraId="40B7044C" w14:textId="77777777" w:rsidR="00DF612D" w:rsidRPr="001F1625" w:rsidRDefault="00DF612D" w:rsidP="00DC6500">
      <w:pPr>
        <w:pStyle w:val="berschrift1"/>
        <w:tabs>
          <w:tab w:val="clear" w:pos="567"/>
          <w:tab w:val="num" w:pos="-4820"/>
        </w:tabs>
        <w:ind w:left="714" w:hanging="714"/>
      </w:pPr>
      <w:bookmarkStart w:id="909" w:name="_Toc412661364"/>
      <w:bookmarkStart w:id="910" w:name="_Toc111118519"/>
      <w:r>
        <w:lastRenderedPageBreak/>
        <w:t>Allokationsc</w:t>
      </w:r>
      <w:bookmarkEnd w:id="873"/>
      <w:bookmarkEnd w:id="874"/>
      <w:bookmarkEnd w:id="875"/>
      <w:bookmarkEnd w:id="876"/>
      <w:r>
        <w:t>learing</w:t>
      </w:r>
      <w:bookmarkEnd w:id="877"/>
      <w:bookmarkEnd w:id="909"/>
      <w:bookmarkEnd w:id="910"/>
    </w:p>
    <w:p w14:paraId="482CB173" w14:textId="36B63B05" w:rsidR="00117C3E" w:rsidRDefault="00117C3E" w:rsidP="00DC6500">
      <w:r>
        <w:t xml:space="preserve">Ein </w:t>
      </w:r>
      <w:r w:rsidRPr="00255BF0">
        <w:t>Clearingpro</w:t>
      </w:r>
      <w:r>
        <w:t xml:space="preserve">zess wird angestoßen, wenn einer der Marktteilnehmer nach dem Versand der finalen Allokation – bei SLP ist dies der Tag D-1, 13:00 Uhr, und bei </w:t>
      </w:r>
      <w:r w:rsidR="002D5CB5">
        <w:t xml:space="preserve">ausspeisenden </w:t>
      </w:r>
      <w:r>
        <w:t>RLM-</w:t>
      </w:r>
      <w:r w:rsidR="002D5CB5">
        <w:t>Marktlokationen</w:t>
      </w:r>
      <w:r w:rsidR="00A21C28">
        <w:t xml:space="preserve"> </w:t>
      </w:r>
      <w:r>
        <w:t xml:space="preserve">sowie </w:t>
      </w:r>
      <w:proofErr w:type="spellStart"/>
      <w:r>
        <w:t>Entryso</w:t>
      </w:r>
      <w:proofErr w:type="spellEnd"/>
      <w:r w:rsidR="00F107A6">
        <w:t>,</w:t>
      </w:r>
      <w:r>
        <w:t xml:space="preserve"> </w:t>
      </w:r>
      <w:proofErr w:type="spellStart"/>
      <w:r>
        <w:t>Exitso</w:t>
      </w:r>
      <w:proofErr w:type="spellEnd"/>
      <w:r w:rsidR="00F107A6">
        <w:t xml:space="preserve"> und </w:t>
      </w:r>
      <w:proofErr w:type="spellStart"/>
      <w:r w:rsidR="00F107A6">
        <w:t>ExitSP</w:t>
      </w:r>
      <w:proofErr w:type="spellEnd"/>
      <w:r w:rsidR="00FA6825">
        <w:t xml:space="preserve"> (ab dem Zeitpunkt der Anwendbarkeit)</w:t>
      </w:r>
      <w:r>
        <w:t xml:space="preserve">, Entry Biogas, Entry Wasserstoff M+14 WT </w:t>
      </w:r>
      <w:r>
        <w:rPr>
          <w:rFonts w:cs="Arial"/>
        </w:rPr>
        <w:t>–</w:t>
      </w:r>
      <w:r>
        <w:t xml:space="preserve"> feststellt, dass sich Abweichungen gegenüber den eigenen Erwartungen ergeben haben. Alle betroffenen Marktteilnehmer sind dazu verpflichtet, den Clearingprozess zügig und effizient abzuwickeln.</w:t>
      </w:r>
    </w:p>
    <w:p w14:paraId="75A05A72" w14:textId="42AD1606" w:rsidR="00117C3E" w:rsidRDefault="00117C3E" w:rsidP="00DC6500">
      <w:r>
        <w:t>Die Bilanzkreisabrechnung wird vom MGV für Erdgasbilanzkreise bis spätestens M+2 Monate erstellt und an den BKV verschickt. Aus diesem Grund muss der Clearingprozess vor M+2</w:t>
      </w:r>
      <w:r w:rsidR="000011A9">
        <w:t xml:space="preserve"> </w:t>
      </w:r>
      <w:r>
        <w:t xml:space="preserve">Monate abzüglich 10 WT abgeschlossen sein, damit der MGV mit 10 Werktagen ausreichend Zeit hat, die Ergebnisse des Clearingprozesses zu verarbeiten und für alle BKV die Bilanzkreisabrechnung zu erstellen und zu versenden. </w:t>
      </w:r>
      <w:r w:rsidR="00322B56">
        <w:t xml:space="preserve">Für den Fall, dass der Bilanzkreisverantwortliche erst am letzten Tag der Clearingfrist das Clearing gegenüber dem </w:t>
      </w:r>
      <w:r w:rsidR="0071541D">
        <w:t>NB</w:t>
      </w:r>
      <w:r w:rsidR="00322B56">
        <w:t xml:space="preserve"> angestoßen hat, kann der </w:t>
      </w:r>
      <w:r w:rsidR="0071541D">
        <w:t>NB</w:t>
      </w:r>
      <w:r w:rsidR="00322B56">
        <w:t xml:space="preserve"> die Bearbeitung des Clearingfalles ablehnen, wenn ihm die Bearbeitung und Zusendung einer </w:t>
      </w:r>
      <w:r w:rsidR="00A21571">
        <w:t xml:space="preserve">Clearing-ALOCAT </w:t>
      </w:r>
      <w:r w:rsidR="00322B56">
        <w:t xml:space="preserve">an den </w:t>
      </w:r>
      <w:r w:rsidR="004F593C">
        <w:t xml:space="preserve">MGV </w:t>
      </w:r>
      <w:r w:rsidR="00322B56">
        <w:t xml:space="preserve">bis zum Ablauf der Frist M+2 Monate minus 10 Werktage nicht mehr zumutbar ist. </w:t>
      </w:r>
      <w:r>
        <w:t xml:space="preserve">Nach dem Versand der Bilanzkreisabrechnung finden </w:t>
      </w:r>
      <w:r w:rsidR="00043ADC">
        <w:t xml:space="preserve">grundsätzlich </w:t>
      </w:r>
      <w:r>
        <w:t>keine Clearingprozesse mehr statt.</w:t>
      </w:r>
    </w:p>
    <w:p w14:paraId="23BAC72B" w14:textId="4F9F1E32" w:rsidR="00117C3E" w:rsidRDefault="00117C3E" w:rsidP="00DC6500">
      <w:r>
        <w:t>Biogas</w:t>
      </w:r>
      <w:r w:rsidR="000E634C">
        <w:t>-BK</w:t>
      </w:r>
      <w:r>
        <w:t xml:space="preserve"> werden erst nach Ablauf des Bilanzierungszeitraums von einem Jahr bzw. nach Ablauf des Rumpfbilanzierungszeitraums abgerechnet. Um Abweichungen so zeitnah wie möglich zu erkennen und zu beheben</w:t>
      </w:r>
      <w:r w:rsidR="00703F12">
        <w:t>,</w:t>
      </w:r>
      <w:r>
        <w:t xml:space="preserve"> werden Clearingprozesse für Erdgas- und Biogas</w:t>
      </w:r>
      <w:r w:rsidR="000E634C">
        <w:t>-BK</w:t>
      </w:r>
      <w:r>
        <w:t xml:space="preserve"> analog abgewickelt. Unabhängig vom Clearingprozess müssen Fehler</w:t>
      </w:r>
      <w:r w:rsidR="00703F12">
        <w:t>,</w:t>
      </w:r>
      <w:r>
        <w:t xml:space="preserve"> in den der Netznutzungsabrechnung zugrunde</w:t>
      </w:r>
      <w:r w:rsidR="00246726">
        <w:t xml:space="preserve"> </w:t>
      </w:r>
      <w:r>
        <w:t xml:space="preserve">liegenden Lastgängen </w:t>
      </w:r>
      <w:r w:rsidR="002D5CB5">
        <w:t>gemäß DVGW</w:t>
      </w:r>
      <w:r w:rsidR="008D1927">
        <w:t>-Arbeitsblatt</w:t>
      </w:r>
      <w:r w:rsidR="002D5CB5">
        <w:t xml:space="preserve"> G685 </w:t>
      </w:r>
      <w:r>
        <w:t>immer korrigiert werden. Damit einher geht der Versand einer korrigierten einzelkundenscharfen MSCONS und INVOIC an den TK, so dass dieser die Endkundenenergieabrechnung ebenfalls korrigieren kann.</w:t>
      </w:r>
    </w:p>
    <w:p w14:paraId="4F778AEC" w14:textId="0532C690" w:rsidR="00117C3E" w:rsidRDefault="00117C3E" w:rsidP="00DC6500">
      <w:pPr>
        <w:tabs>
          <w:tab w:val="num" w:pos="709"/>
        </w:tabs>
      </w:pPr>
      <w:r w:rsidRPr="00681482">
        <w:t xml:space="preserve">Am Clearingprozess </w:t>
      </w:r>
      <w:r>
        <w:t>können</w:t>
      </w:r>
      <w:r w:rsidRPr="00681482">
        <w:t xml:space="preserve"> die Marktpartner MGV, TK, BKV und NB beteiligt</w:t>
      </w:r>
      <w:r>
        <w:t xml:space="preserve"> sein.</w:t>
      </w:r>
    </w:p>
    <w:p w14:paraId="38195275" w14:textId="18677C16" w:rsidR="00816B16" w:rsidRDefault="00117C3E" w:rsidP="00DC6500">
      <w:pPr>
        <w:tabs>
          <w:tab w:val="num" w:pos="709"/>
        </w:tabs>
      </w:pPr>
      <w:r>
        <w:t>Eine Änderung von gemessenen Lastgängen zieht immer Folgeprozesse mit den anderen beteiligten Marktpartnern nach sich.</w:t>
      </w:r>
    </w:p>
    <w:p w14:paraId="3E7D1A5C" w14:textId="77777777" w:rsidR="007E05AB" w:rsidRDefault="007E05AB" w:rsidP="003C2438">
      <w:pPr>
        <w:tabs>
          <w:tab w:val="num" w:pos="709"/>
        </w:tabs>
        <w:spacing w:after="0"/>
      </w:pPr>
    </w:p>
    <w:p w14:paraId="60691CAD" w14:textId="77777777" w:rsidR="00E157A6" w:rsidRDefault="00896840" w:rsidP="003C2438">
      <w:pPr>
        <w:tabs>
          <w:tab w:val="num" w:pos="709"/>
        </w:tabs>
        <w:spacing w:after="0"/>
      </w:pPr>
      <w:r w:rsidRPr="00896840">
        <w:rPr>
          <w:noProof/>
        </w:rPr>
        <w:lastRenderedPageBreak/>
        <w:drawing>
          <wp:inline distT="0" distB="0" distL="0" distR="0" wp14:anchorId="6F83DDE0" wp14:editId="30E3D542">
            <wp:extent cx="5759450" cy="397735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1" cstate="print"/>
                    <a:srcRect/>
                    <a:stretch>
                      <a:fillRect/>
                    </a:stretch>
                  </pic:blipFill>
                  <pic:spPr bwMode="auto">
                    <a:xfrm>
                      <a:off x="0" y="0"/>
                      <a:ext cx="5759450" cy="3977350"/>
                    </a:xfrm>
                    <a:prstGeom prst="rect">
                      <a:avLst/>
                    </a:prstGeom>
                    <a:noFill/>
                    <a:ln w="9525">
                      <a:noFill/>
                      <a:miter lim="800000"/>
                      <a:headEnd/>
                      <a:tailEnd/>
                    </a:ln>
                  </pic:spPr>
                </pic:pic>
              </a:graphicData>
            </a:graphic>
          </wp:inline>
        </w:drawing>
      </w:r>
    </w:p>
    <w:p w14:paraId="3B7E1036" w14:textId="3E276247" w:rsidR="00DF612D" w:rsidRPr="005E563F" w:rsidRDefault="00DF612D" w:rsidP="00E6394E">
      <w:pPr>
        <w:pStyle w:val="Abbildung"/>
        <w:spacing w:before="360" w:after="240"/>
        <w:rPr>
          <w:b/>
        </w:rPr>
      </w:pPr>
      <w:bookmarkStart w:id="911" w:name="_Toc296694355"/>
      <w:bookmarkStart w:id="912" w:name="_Toc357092018"/>
      <w:bookmarkStart w:id="913" w:name="_Toc390346586"/>
      <w:bookmarkStart w:id="914" w:name="_Toc412562658"/>
      <w:bookmarkStart w:id="915" w:name="_Toc437530348"/>
      <w:bookmarkStart w:id="916" w:name="_Toc111118618"/>
      <w:bookmarkStart w:id="917" w:name="_Toc111196164"/>
      <w:r w:rsidRPr="005E563F">
        <w:rPr>
          <w:b/>
        </w:rPr>
        <w:t xml:space="preserve">Abbildung </w:t>
      </w:r>
      <w:r w:rsidR="00561FFA" w:rsidRPr="005E563F">
        <w:rPr>
          <w:b/>
        </w:rPr>
        <w:fldChar w:fldCharType="begin"/>
      </w:r>
      <w:r w:rsidR="002A17C0" w:rsidRPr="005E563F">
        <w:rPr>
          <w:b/>
        </w:rPr>
        <w:instrText xml:space="preserve"> SEQ Abbildung \* ARABIC </w:instrText>
      </w:r>
      <w:r w:rsidR="00561FFA" w:rsidRPr="005E563F">
        <w:rPr>
          <w:b/>
        </w:rPr>
        <w:fldChar w:fldCharType="separate"/>
      </w:r>
      <w:r w:rsidR="007A098D">
        <w:rPr>
          <w:b/>
        </w:rPr>
        <w:t>35</w:t>
      </w:r>
      <w:r w:rsidR="00561FFA" w:rsidRPr="005E563F">
        <w:rPr>
          <w:b/>
        </w:rPr>
        <w:fldChar w:fldCharType="end"/>
      </w:r>
      <w:r w:rsidRPr="005E563F">
        <w:rPr>
          <w:b/>
        </w:rPr>
        <w:t>: Zählwertkreislauf</w:t>
      </w:r>
      <w:bookmarkEnd w:id="911"/>
      <w:bookmarkEnd w:id="912"/>
      <w:bookmarkEnd w:id="913"/>
      <w:bookmarkEnd w:id="914"/>
      <w:bookmarkEnd w:id="915"/>
      <w:bookmarkEnd w:id="916"/>
      <w:bookmarkEnd w:id="917"/>
    </w:p>
    <w:p w14:paraId="6E40A8A7" w14:textId="77777777" w:rsidR="00E157A6" w:rsidRDefault="00DF612D" w:rsidP="00E6394E">
      <w:pPr>
        <w:tabs>
          <w:tab w:val="num" w:pos="709"/>
        </w:tabs>
      </w:pPr>
      <w:r>
        <w:t>Die Netznutzungsabrechnung muss bei veränderten Lastgängen angepasst werden, darauf aufbauend auch die Energieabrechnung zum Endkunden. Aus diesem Grund ist es wichtig, dass alle Marktpartner während des Clearingprozesses zusammenarbeiten.</w:t>
      </w:r>
    </w:p>
    <w:p w14:paraId="419301FC" w14:textId="77777777" w:rsidR="007E05AB" w:rsidRDefault="00C76490" w:rsidP="00E6394E">
      <w:pPr>
        <w:pStyle w:val="berschrift2"/>
        <w:tabs>
          <w:tab w:val="clear" w:pos="851"/>
          <w:tab w:val="num" w:pos="-5103"/>
        </w:tabs>
        <w:spacing w:before="480"/>
        <w:ind w:left="726" w:hanging="686"/>
      </w:pPr>
      <w:bookmarkStart w:id="918" w:name="_Ref381025322"/>
      <w:bookmarkStart w:id="919" w:name="_Ref381025361"/>
      <w:bookmarkStart w:id="920" w:name="_Toc391540202"/>
      <w:bookmarkStart w:id="921" w:name="_Toc412661365"/>
      <w:bookmarkStart w:id="922" w:name="_Toc111118520"/>
      <w:r>
        <w:t>Allokationsc</w:t>
      </w:r>
      <w:r w:rsidRPr="00D74932">
        <w:t>learing SLP</w:t>
      </w:r>
      <w:bookmarkEnd w:id="918"/>
      <w:bookmarkEnd w:id="919"/>
      <w:bookmarkEnd w:id="920"/>
      <w:bookmarkEnd w:id="921"/>
      <w:bookmarkEnd w:id="922"/>
    </w:p>
    <w:p w14:paraId="3FBFE901" w14:textId="77777777" w:rsidR="00C76490" w:rsidRDefault="00C76490" w:rsidP="00E6394E">
      <w:r>
        <w:t>Um einen SLP-Clearingprozess anzustoßen, muss die Allokation des Tages D (A</w:t>
      </w:r>
      <w:r w:rsidRPr="000250AE">
        <w:rPr>
          <w:vertAlign w:val="subscript"/>
        </w:rPr>
        <w:t>D</w:t>
      </w:r>
      <w:r w:rsidRPr="009A209C">
        <w:t>)</w:t>
      </w:r>
      <w:r>
        <w:t xml:space="preserve"> </w:t>
      </w:r>
      <w:r w:rsidRPr="00C871B0">
        <w:t xml:space="preserve">je Zeitreihentyp und BK bzw. SBK </w:t>
      </w:r>
      <w:r>
        <w:t>bei einem NB die Allokation am Tag D-1 (</w:t>
      </w:r>
      <w:r>
        <w:rPr>
          <w:rFonts w:cs="Arial"/>
        </w:rPr>
        <w:t>A</w:t>
      </w:r>
      <w:r w:rsidRPr="000250AE">
        <w:rPr>
          <w:rFonts w:cs="Arial"/>
          <w:vertAlign w:val="subscript"/>
        </w:rPr>
        <w:t>D-1</w:t>
      </w:r>
      <w:r w:rsidRPr="009A209C">
        <w:rPr>
          <w:rFonts w:cs="Arial"/>
        </w:rPr>
        <w:t>)</w:t>
      </w:r>
      <w:r>
        <w:t>:</w:t>
      </w:r>
    </w:p>
    <w:p w14:paraId="405A97A4" w14:textId="5B0B9755" w:rsidR="007E05AB" w:rsidRDefault="00C76490" w:rsidP="00E6394E">
      <w:pPr>
        <w:pStyle w:val="Aufzhlungszeichen"/>
      </w:pPr>
      <w:r>
        <w:t xml:space="preserve">um </w:t>
      </w:r>
      <w:r w:rsidRPr="003031C1">
        <w:t>100 % oder mehr (A</w:t>
      </w:r>
      <w:r w:rsidRPr="003031C1">
        <w:rPr>
          <w:vertAlign w:val="subscript"/>
        </w:rPr>
        <w:t>D</w:t>
      </w:r>
      <w:r w:rsidRPr="003031C1">
        <w:t xml:space="preserve"> ≥ 2 * A</w:t>
      </w:r>
      <w:r w:rsidRPr="003031C1">
        <w:rPr>
          <w:vertAlign w:val="subscript"/>
        </w:rPr>
        <w:t>D-1</w:t>
      </w:r>
      <w:r w:rsidRPr="003031C1">
        <w:t>) überschreiten</w:t>
      </w:r>
      <w:r w:rsidR="00377FE6">
        <w:t>,</w:t>
      </w:r>
    </w:p>
    <w:p w14:paraId="6E7844F8" w14:textId="77F55BD8" w:rsidR="007E05AB" w:rsidRDefault="00C76490" w:rsidP="00E6394E">
      <w:pPr>
        <w:pStyle w:val="Aufzhlungszeichen"/>
      </w:pPr>
      <w:r>
        <w:t>um</w:t>
      </w:r>
      <w:r w:rsidRPr="003031C1">
        <w:t xml:space="preserve"> 50 % oder mehr (A</w:t>
      </w:r>
      <w:r w:rsidRPr="003031C1">
        <w:rPr>
          <w:vertAlign w:val="subscript"/>
        </w:rPr>
        <w:t>D</w:t>
      </w:r>
      <w:r w:rsidRPr="003031C1">
        <w:t xml:space="preserve"> ≤ 0,5 * A</w:t>
      </w:r>
      <w:r w:rsidRPr="003031C1">
        <w:rPr>
          <w:vertAlign w:val="subscript"/>
        </w:rPr>
        <w:t>D-1</w:t>
      </w:r>
      <w:r w:rsidRPr="003031C1">
        <w:t>) unterschreiten</w:t>
      </w:r>
      <w:r w:rsidR="00377FE6">
        <w:t>,</w:t>
      </w:r>
    </w:p>
    <w:p w14:paraId="16FAC87F" w14:textId="2C38500D" w:rsidR="007E05AB" w:rsidRDefault="00C76490" w:rsidP="00E6394E">
      <w:pPr>
        <w:pStyle w:val="Aufzhlungszeichen"/>
      </w:pPr>
      <w:r w:rsidRPr="00AE026B">
        <w:t>und mind. 25.000 kWh (|A</w:t>
      </w:r>
      <w:r w:rsidRPr="00AE026B">
        <w:rPr>
          <w:vertAlign w:val="subscript"/>
        </w:rPr>
        <w:t>D</w:t>
      </w:r>
      <w:r w:rsidRPr="00AE026B">
        <w:t>-A</w:t>
      </w:r>
      <w:r w:rsidRPr="00AE026B">
        <w:rPr>
          <w:vertAlign w:val="subscript"/>
        </w:rPr>
        <w:t>D-1</w:t>
      </w:r>
      <w:r w:rsidRPr="00AE026B">
        <w:t>| ≥ 25.000 kWh) abweichen</w:t>
      </w:r>
      <w:r w:rsidR="00377FE6">
        <w:t>.</w:t>
      </w:r>
    </w:p>
    <w:p w14:paraId="2DEA60EB" w14:textId="77777777" w:rsidR="00C76490" w:rsidRDefault="00C76490" w:rsidP="00E6394E">
      <w:r>
        <w:t>Die Einhaltung der Grenzen wird vom NB überprüft.</w:t>
      </w:r>
    </w:p>
    <w:p w14:paraId="1394D45E" w14:textId="6C023857" w:rsidR="00C76490" w:rsidRDefault="00C76490" w:rsidP="00E6394E">
      <w:r>
        <w:t xml:space="preserve">Zu den oben genannten Grenzen, gibt es </w:t>
      </w:r>
      <w:r w:rsidR="001F1FC8">
        <w:t xml:space="preserve">folgende </w:t>
      </w:r>
      <w:r>
        <w:t>Ausnahmen:</w:t>
      </w:r>
    </w:p>
    <w:p w14:paraId="4FA3C814" w14:textId="2226FFB8" w:rsidR="00C76490" w:rsidRDefault="00C76490" w:rsidP="00935EE3">
      <w:pPr>
        <w:ind w:left="426" w:hanging="426"/>
      </w:pPr>
      <w:r>
        <w:t>1.</w:t>
      </w:r>
      <w:r w:rsidR="00935EE3">
        <w:tab/>
      </w:r>
      <w:r>
        <w:t xml:space="preserve">Erfolgt erstmals eine SLP-Deklaration für einen BK bzw. </w:t>
      </w:r>
      <w:r w:rsidR="00171152">
        <w:t xml:space="preserve">ein </w:t>
      </w:r>
      <w:r>
        <w:t xml:space="preserve">SBK und keine Allokation durch den NB, kann der MGV keine Ersatzwerte auf Vortagsbasis bilden und es erfolgt </w:t>
      </w:r>
      <w:r>
        <w:lastRenderedPageBreak/>
        <w:t>eine Nullallokation. Für diese Daten kann ohne Prüfung auf Grenzwerte immer ein Clearing erfolgen.</w:t>
      </w:r>
    </w:p>
    <w:p w14:paraId="593F8E5E" w14:textId="2A949BBA" w:rsidR="0017375B" w:rsidRDefault="00C76490" w:rsidP="00935EE3">
      <w:pPr>
        <w:ind w:left="426" w:hanging="426"/>
      </w:pPr>
      <w:r w:rsidRPr="00263498">
        <w:t>2.</w:t>
      </w:r>
      <w:r w:rsidR="00935EE3">
        <w:tab/>
      </w:r>
      <w:r w:rsidRPr="00263498">
        <w:t>Erfolgt untermonatlich durch den NB eine fehlerhafte Nullallokation</w:t>
      </w:r>
      <w:r w:rsidR="0017375B">
        <w:t xml:space="preserve"> oder eine SLP-Ersatzwertallokation durch den MGV</w:t>
      </w:r>
      <w:r w:rsidRPr="00263498">
        <w:t>, so kann ohne Prüfung auf Grenzwerte immer ein Clearing erfolgen.</w:t>
      </w:r>
    </w:p>
    <w:p w14:paraId="76458396" w14:textId="7780FDC6" w:rsidR="009C2825" w:rsidRPr="00263498" w:rsidRDefault="009C2825" w:rsidP="00935EE3">
      <w:pPr>
        <w:ind w:left="426" w:hanging="426"/>
      </w:pPr>
      <w:r w:rsidRPr="009C2825">
        <w:t>3.</w:t>
      </w:r>
      <w:r w:rsidR="00935EE3">
        <w:tab/>
      </w:r>
      <w:r w:rsidRPr="009C2825">
        <w:t xml:space="preserve">Sofern der MGV aufgrund von Verarbeitungsproblemen, die in seinem Verantwortungsbereich liegen, die SLP-Allokationsdaten des </w:t>
      </w:r>
      <w:r w:rsidR="00EF5092">
        <w:t>NB</w:t>
      </w:r>
      <w:r w:rsidRPr="009C2825">
        <w:t xml:space="preserve"> nicht fristgerecht an die BKV weiterleiten kann, versendet der MGV Ersatzwerte. Ein solcher Fehlertag ist kein Fehlertag im Sinne der Transparenz</w:t>
      </w:r>
      <w:r w:rsidR="005D67BB">
        <w:t>listen</w:t>
      </w:r>
      <w:r w:rsidRPr="009C2825">
        <w:t xml:space="preserve">kriterien und geht nicht in die </w:t>
      </w:r>
      <w:r w:rsidR="00383143">
        <w:t>Abrechnung nach der täglichen Netzkontosystematik als Anreizsystem</w:t>
      </w:r>
      <w:r w:rsidR="00383143" w:rsidRPr="009C2825">
        <w:t xml:space="preserve"> </w:t>
      </w:r>
      <w:r w:rsidRPr="009C2825">
        <w:t xml:space="preserve">ein. Netzbetreiber und BKV können diese Ersatzwerte ohne Anwendung der Grenzwerte </w:t>
      </w:r>
      <w:proofErr w:type="spellStart"/>
      <w:r w:rsidRPr="009C2825">
        <w:t>clearen</w:t>
      </w:r>
      <w:proofErr w:type="spellEnd"/>
      <w:r w:rsidR="00EE790A">
        <w:t>.</w:t>
      </w:r>
    </w:p>
    <w:p w14:paraId="63D610B8" w14:textId="77777777" w:rsidR="00C76490" w:rsidRDefault="002F09AA" w:rsidP="00E6394E">
      <w:r>
        <w:t xml:space="preserve">Beim SLP-Clearing handelt es </w:t>
      </w:r>
      <w:r w:rsidR="00043ADC">
        <w:t xml:space="preserve">sich </w:t>
      </w:r>
      <w:r w:rsidR="00C76490">
        <w:t xml:space="preserve">um ein definiertes Ersatzwertverfahren, um </w:t>
      </w:r>
      <w:r w:rsidR="00C76490" w:rsidRPr="0058722C">
        <w:t>Ausreißer</w:t>
      </w:r>
      <w:r w:rsidR="00C76490">
        <w:t xml:space="preserve"> bei der Allokation zu identifizieren und möglichst schnell zu beheben, bevor sie bilanzkreis- und regelenergiewirksam werden. Durch den vordefinierten Prozess wird dem BKV ein Ersatzwert vorgegeben, den er ohne Risiko bei stark abweichenden und damit offensichtlich falschen Allokationen nominieren kann. Mit dem Clearingverfahren soll keine allgemeine ex-post-Verbesserung der Allokation erreicht werden. Prinzipiell gilt die Allokation am Tag D-1 als abgeschlossen und wird nur in den oben definierten Grenzfällen geändert. Reguläre Abweichungen zwischen der Allokation und der Netznutzungsabrechnungsmenge werden über die SLP-Mehr-/Mindermengenabrechnung abgegolten. Zudem darf das Verfahren nicht dazu missbraucht werden, falsche Nominierungen des BKV durch ex-post angepasste Allokationen zu „heilen“.</w:t>
      </w:r>
    </w:p>
    <w:p w14:paraId="264C4D2B" w14:textId="26565023" w:rsidR="00C76490" w:rsidRDefault="00C76490" w:rsidP="00E6394E">
      <w:r>
        <w:t xml:space="preserve">Die Verantwortung über die Allokation hat immer der NB. Er besitzt alle Stammdaten und notwendigen SLP-Informationen wie Temperaturen oder Restlastmengen und erzeugt die Allokation auf Basis </w:t>
      </w:r>
      <w:r w:rsidRPr="007509FF">
        <w:t xml:space="preserve">der </w:t>
      </w:r>
      <w:r w:rsidR="00D51374">
        <w:t>bestätigten Einzelmeldungen bzw. ergänzend</w:t>
      </w:r>
      <w:r w:rsidR="00D51374" w:rsidRPr="007509FF">
        <w:t xml:space="preserve"> </w:t>
      </w:r>
      <w:r w:rsidR="00D51374">
        <w:t xml:space="preserve">unter Heranziehung der </w:t>
      </w:r>
      <w:r w:rsidR="00D51374" w:rsidRPr="007509FF">
        <w:t>am 16.</w:t>
      </w:r>
      <w:r w:rsidR="00D51374">
        <w:t xml:space="preserve"> </w:t>
      </w:r>
      <w:r w:rsidRPr="007509FF">
        <w:t>WT versandten Bestandslisten. Die zu versendende Allokation sollte einer End</w:t>
      </w:r>
      <w:r>
        <w:t xml:space="preserve">kontrolle unterliegen. Der </w:t>
      </w:r>
      <w:r w:rsidR="002D5CB5">
        <w:t>LF</w:t>
      </w:r>
      <w:r>
        <w:t xml:space="preserve"> überprüft die Angaben der bestätigten Einzelmeldungen bzw. ergänzend die Bestandslisten auf Vollständigkeit aller Kunden, Höhe der Kundenwerte bzw. normierten Jahresverbrauch und Zuordnung zu den SLP-Zeitreihentypen.</w:t>
      </w:r>
    </w:p>
    <w:p w14:paraId="58393ACB" w14:textId="292C77E2" w:rsidR="00E157A6" w:rsidRDefault="00C76490" w:rsidP="00E6394E">
      <w:r w:rsidRPr="007509FF">
        <w:t>Falls der BKV und der NB auch nach 12</w:t>
      </w:r>
      <w:r>
        <w:t>:00</w:t>
      </w:r>
      <w:r w:rsidRPr="007509FF">
        <w:t xml:space="preserve"> Uhr einen abgestimmten Ersatzwert für die Nominierung des BKV vereinbaren, darf dieser Wert vom NB in der Clearing-Allokation verwendet werden. Dabei ist allerdings zu beachten, dass diese Abstimmung </w:t>
      </w:r>
      <w:proofErr w:type="spellStart"/>
      <w:r w:rsidRPr="007509FF">
        <w:t>unbundlingkonform</w:t>
      </w:r>
      <w:proofErr w:type="spellEnd"/>
      <w:r w:rsidRPr="007509FF">
        <w:t xml:space="preserve"> und diskriminierungsfrei allen BKV angeboten werden muss. Die Verwendung des abgestimmten Ersatzwerts ist ebenfalls erst bei Erreichen der definierten Grenzwerte zulässig.</w:t>
      </w:r>
    </w:p>
    <w:p w14:paraId="29FFDE69" w14:textId="508CF2C3" w:rsidR="00474FE2" w:rsidRDefault="00474FE2" w:rsidP="00E6394E">
      <w:r>
        <w:t>Beim Clearingprozess für Leistungszeiträume vor dem 01.10.2021 müssen die jeweiligen Bilanzkreisnummer</w:t>
      </w:r>
      <w:r w:rsidR="0030180D">
        <w:t>n</w:t>
      </w:r>
      <w:r w:rsidRPr="00474FE2">
        <w:t xml:space="preserve"> </w:t>
      </w:r>
      <w:r>
        <w:t>der Marktgebiete GASPOOL und NCG verwendet werden.</w:t>
      </w:r>
    </w:p>
    <w:p w14:paraId="26916539" w14:textId="77777777" w:rsidR="00C76490" w:rsidRDefault="00C76490" w:rsidP="00E6394E">
      <w:pPr>
        <w:pStyle w:val="berschrift3"/>
        <w:tabs>
          <w:tab w:val="num" w:pos="-4820"/>
        </w:tabs>
        <w:spacing w:before="480"/>
        <w:ind w:left="1134" w:hanging="1094"/>
      </w:pPr>
      <w:bookmarkStart w:id="923" w:name="_Toc391540203"/>
      <w:bookmarkStart w:id="924" w:name="_Toc412661366"/>
      <w:bookmarkStart w:id="925" w:name="_Toc111118521"/>
      <w:r>
        <w:lastRenderedPageBreak/>
        <w:t>Abwicklung des Allokationsc</w:t>
      </w:r>
      <w:r w:rsidRPr="00D74932">
        <w:t>learing SLP</w:t>
      </w:r>
      <w:bookmarkEnd w:id="923"/>
      <w:bookmarkEnd w:id="924"/>
      <w:bookmarkEnd w:id="925"/>
    </w:p>
    <w:p w14:paraId="32E50FA1" w14:textId="1B95E30F" w:rsidR="00C76490" w:rsidRDefault="00C76490" w:rsidP="00E6394E">
      <w:r>
        <w:t xml:space="preserve">Alle Prozesse, die vor 12:00 Uhr zwischen dem BKV und dem NB ablaufen, fallen nicht unter das Clearing. Die letzte vom NB bis 12:00 Uhr versendete ALOCAT ist immer die gültige. Um eventuell vor 12:00 Uhr Korrekturen durchführen zu können, ist es jedoch notwendig, dass der BKV direkt die Allokation vom NB erhält. Dieser Prozess kann vom BKV beim NB beantragt werden. Der BKV bekommt zeitlich nach dem täglichen Versand an den MGV seine Allokation zugesendet. Aufgrund der Tagesbandbildung können geringe </w:t>
      </w:r>
      <w:r w:rsidR="002627A1">
        <w:t xml:space="preserve">Salden </w:t>
      </w:r>
      <w:r>
        <w:t>auftreten, die jedoch von allen Marktpartnern akzeptiert werden. Der BKV hat dann die Möglichkeit, den NB ggf. auf Unstimmigkeiten in der Allokation hinzuweisen. Sofern dem NB noch ausreichend Zeit bis 12:00 Uhr verbleibt, kann erneut eine korrigierte Allokation erzeugt und wieder an den MGV versendet werden.</w:t>
      </w:r>
    </w:p>
    <w:p w14:paraId="189557C0" w14:textId="6F2B14BD" w:rsidR="00C76490" w:rsidRDefault="00C76490" w:rsidP="00E6394E">
      <w:r>
        <w:t>Die Ansprechpartner beim BKV und NB für Allokationsdaten werden vom MGV im Portal veröffentlicht.</w:t>
      </w:r>
    </w:p>
    <w:p w14:paraId="3454266F" w14:textId="77777777" w:rsidR="00C76490" w:rsidRDefault="00C76490" w:rsidP="00E6394E">
      <w:pPr>
        <w:tabs>
          <w:tab w:val="num" w:pos="709"/>
        </w:tabs>
      </w:pPr>
      <w:r>
        <w:t>Der Clearingprozess hat mehrere Phasen:</w:t>
      </w:r>
    </w:p>
    <w:p w14:paraId="1B534752" w14:textId="0D5DEF28" w:rsidR="00C76490" w:rsidRPr="0095796D" w:rsidRDefault="00C76490" w:rsidP="00E6394E">
      <w:pPr>
        <w:pStyle w:val="Liste"/>
        <w:numPr>
          <w:ilvl w:val="0"/>
          <w:numId w:val="21"/>
        </w:numPr>
        <w:rPr>
          <w:rFonts w:cs="Arial"/>
        </w:rPr>
      </w:pPr>
      <w:r w:rsidRPr="0095796D">
        <w:t>Der BKV erhält vom MGV die SLP</w:t>
      </w:r>
      <w:r>
        <w:t>-</w:t>
      </w:r>
      <w:r w:rsidRPr="0095796D">
        <w:t xml:space="preserve">Allokation </w:t>
      </w:r>
      <w:r>
        <w:t xml:space="preserve">bis spätestens </w:t>
      </w:r>
      <w:r w:rsidRPr="0095796D">
        <w:t>13</w:t>
      </w:r>
      <w:r>
        <w:t>:00</w:t>
      </w:r>
      <w:r w:rsidRPr="0095796D">
        <w:t xml:space="preserve"> Uhr. Der BKV </w:t>
      </w:r>
      <w:r>
        <w:t>kontrolliert</w:t>
      </w:r>
      <w:r w:rsidRPr="0095796D">
        <w:t xml:space="preserve"> diese Allokation. Falls der BKV feststellt, dass die Allokation nicht den erwarteten Werten entspricht</w:t>
      </w:r>
      <w:r w:rsidR="00703F12">
        <w:t>,</w:t>
      </w:r>
      <w:r w:rsidRPr="0095796D">
        <w:t xml:space="preserve"> überprüft er</w:t>
      </w:r>
      <w:r>
        <w:t>, ob die Clearinggrenzwerte überschritten werden. Besondere Sorgfalt muss auf die Monatsersten gelegt werden, da an diesem Tag auch bei regulären Prozessen größere Sprünge durch Kundenzuwachs oder -verlust entstehen können.</w:t>
      </w:r>
    </w:p>
    <w:p w14:paraId="64E3C3D8" w14:textId="77777777" w:rsidR="00C76490" w:rsidRPr="00480B1D" w:rsidRDefault="00C76490" w:rsidP="00E6394E">
      <w:pPr>
        <w:pStyle w:val="Liste"/>
        <w:numPr>
          <w:ilvl w:val="0"/>
          <w:numId w:val="21"/>
        </w:numPr>
        <w:rPr>
          <w:rFonts w:cs="Arial"/>
        </w:rPr>
      </w:pPr>
      <w:r w:rsidRPr="00480B1D">
        <w:t>Sofern die Kriterien erfüllt sind, kann der BKV die Mengen des Tages D-1 (Vortagesmenge) nominieren. Der BKV kann verlangen, dass diese Menge als Clearingmenge vom NB und MGV akzeptiert wird. Wenn der BKV eine andere Menge nominiert, wird Ausgleichsenergie fällig. Ausnahme: der BKV und der NB haben bilateral eine genauere Ersatzmenge abgestimmt. Die Bildung des bilateralen Ersatzwertes muss dokumentiert werden und für einen Dritten (z. B. ein Wirtschaftsprüfer) nachvollziehbar sein.</w:t>
      </w:r>
    </w:p>
    <w:p w14:paraId="10DD1202" w14:textId="67E57DEB" w:rsidR="00C76490" w:rsidRDefault="00C76490" w:rsidP="00E6394E">
      <w:pPr>
        <w:pStyle w:val="Listenabsatz"/>
        <w:numPr>
          <w:ilvl w:val="0"/>
          <w:numId w:val="21"/>
        </w:numPr>
        <w:contextualSpacing w:val="0"/>
      </w:pPr>
      <w:r w:rsidRPr="00480B1D">
        <w:t>Der BKV ordert beim MGV eine Clearingnummer und stößt das Clearing beim NB an.</w:t>
      </w:r>
      <w:r>
        <w:t xml:space="preserve"> Nach Anforderung einer Clearingnummer durch den BKV, wird der betroffene NB vom MGV über diesen Vorgang informiert. Der MGV übersendet die Details des Clearingvorgangs – bis auf die Clearingnummer – die BK/SBK-Nummer, Zeitraum und Zeitreihentyp an den NB. Der BKV übermittelt die Clearingnummer erst nach der erfolgten Klärung des Clearingsachverhaltes an den NB. </w:t>
      </w:r>
      <w:r w:rsidRPr="00480B1D">
        <w:t>Hierfür übersendet der BKV die Details des Clearingvorgangs wie BK/SBK-Nummer, Datum, Zeitreihentyp und Menge. Der NB prüft unverzüglich die Allokation. Sofern die Allokation fehlerhaft war, erstellt der NB eine neue Allokation auf Basis der Vortagesmenge bzw. abgestimmter Mengen und übersendet diese als Clearing-ALOCAT an den MGV. Der MGV erzeugt ein neues Tagesband und verwendet dieses für die Bilanzkreisabrechnun</w:t>
      </w:r>
      <w:r w:rsidRPr="00D02B53">
        <w:rPr>
          <w:rFonts w:cs="Arial"/>
        </w:rPr>
        <w:t>g.</w:t>
      </w:r>
    </w:p>
    <w:p w14:paraId="0C0896B8" w14:textId="584D1EBD" w:rsidR="00C76490" w:rsidRPr="006F3BD9" w:rsidRDefault="00C76490" w:rsidP="00E6394E">
      <w:pPr>
        <w:pStyle w:val="Liste"/>
        <w:numPr>
          <w:ilvl w:val="0"/>
          <w:numId w:val="21"/>
        </w:numPr>
      </w:pPr>
      <w:r>
        <w:rPr>
          <w:rFonts w:cs="Arial"/>
        </w:rPr>
        <w:lastRenderedPageBreak/>
        <w:t>Sofern der NB feststellt, dass die originäre Allokation in Ordnung war, meldet er dies unverzüglich dem BKV</w:t>
      </w:r>
      <w:r w:rsidRPr="006F3BD9">
        <w:t xml:space="preserve">. </w:t>
      </w:r>
      <w:r w:rsidRPr="006927AE">
        <w:t>Der NB weist dem BKV die Richtigkeit der Allokation nach.</w:t>
      </w:r>
      <w:r>
        <w:t xml:space="preserve"> Der BKV</w:t>
      </w:r>
      <w:r w:rsidRPr="006F3BD9">
        <w:t xml:space="preserve"> trägt somit das Risiko für die Bilanzkreisabweichung, die aus dem Delta</w:t>
      </w:r>
      <w:r>
        <w:t xml:space="preserve"> </w:t>
      </w:r>
      <w:r w:rsidRPr="006F3BD9">
        <w:t xml:space="preserve">zwischen Ersatzwert (Menge D-1) und der NB-Allokation resultiert. In diesem Fall ist davon auszugehen, dass beide Parteien von unterschiedlichen Kundenzuordnungen ausgehen. </w:t>
      </w:r>
      <w:r w:rsidR="002D5CB5">
        <w:t>LF</w:t>
      </w:r>
      <w:r w:rsidRPr="006F3BD9">
        <w:t xml:space="preserve"> und BKV klären den Sachverhalt</w:t>
      </w:r>
      <w:r>
        <w:t>,</w:t>
      </w:r>
      <w:r w:rsidRPr="006F3BD9">
        <w:t xml:space="preserve"> z.</w:t>
      </w:r>
      <w:r w:rsidR="00C22517">
        <w:t> </w:t>
      </w:r>
      <w:r w:rsidRPr="006F3BD9">
        <w:t>B. durch eine Überprüfung der Bestandslisten.</w:t>
      </w:r>
    </w:p>
    <w:p w14:paraId="408AC8F7" w14:textId="77777777" w:rsidR="00C76490" w:rsidRPr="00810739" w:rsidRDefault="00C76490" w:rsidP="00E6394E">
      <w:pPr>
        <w:pStyle w:val="Liste"/>
        <w:numPr>
          <w:ilvl w:val="0"/>
          <w:numId w:val="21"/>
        </w:numPr>
        <w:rPr>
          <w:rFonts w:cs="Arial"/>
        </w:rPr>
      </w:pPr>
      <w:r w:rsidRPr="00B03C96">
        <w:t>Der Clearingprozess</w:t>
      </w:r>
      <w:r>
        <w:t xml:space="preserve"> kann sofort am Tag D-1</w:t>
      </w:r>
      <w:r w:rsidR="0065115A">
        <w:t>,</w:t>
      </w:r>
      <w:r>
        <w:t xml:space="preserve"> nach 13:</w:t>
      </w:r>
      <w:r w:rsidRPr="00B03C96">
        <w:t>00 Uhr</w:t>
      </w:r>
      <w:r w:rsidR="0065115A">
        <w:t>,</w:t>
      </w:r>
      <w:r w:rsidRPr="00B03C96">
        <w:t xml:space="preserve"> begonnen werden. Das</w:t>
      </w:r>
      <w:r w:rsidRPr="00B50DAA">
        <w:t xml:space="preserve"> Clearingfenster ist </w:t>
      </w:r>
      <w:r>
        <w:t xml:space="preserve">vor </w:t>
      </w:r>
      <w:r w:rsidRPr="00B50DAA">
        <w:t>M+2 Monate minus 10 WT geöffnet.</w:t>
      </w:r>
      <w:r w:rsidRPr="00B50DAA">
        <w:rPr>
          <w:rFonts w:cs="Arial"/>
        </w:rPr>
        <w:t xml:space="preserve"> </w:t>
      </w:r>
      <w:r>
        <w:rPr>
          <w:rFonts w:cs="Arial"/>
        </w:rPr>
        <w:t>Clearingallokationen werden vom MGV nur innerhalb dieses Zeitraums angenommen. Aus diesem Grund sollte der BKV möglichst direkt nach dem Clearingtag mit dem Prozess beginnen.</w:t>
      </w:r>
      <w:r w:rsidRPr="000D6AEC">
        <w:t xml:space="preserve"> </w:t>
      </w:r>
      <w:r>
        <w:t xml:space="preserve">Für den Fall, dass der </w:t>
      </w:r>
      <w:r w:rsidR="005712BC">
        <w:t>BKV</w:t>
      </w:r>
      <w:r>
        <w:t xml:space="preserve"> erst am letzten Tag der Clearingfrist das Clearing gegenüber dem </w:t>
      </w:r>
      <w:r w:rsidR="0071541D">
        <w:t>NB</w:t>
      </w:r>
      <w:r>
        <w:t xml:space="preserve"> angestoßen hat, kann der </w:t>
      </w:r>
      <w:r w:rsidR="0071541D">
        <w:t>NB</w:t>
      </w:r>
      <w:r>
        <w:t xml:space="preserve"> die Bearbeitung des Clearingfalles ablehnen, wenn ihm die Bearbeitung und Zusendung einer Clearing-ALOCAT an den </w:t>
      </w:r>
      <w:r w:rsidR="004F593C">
        <w:t xml:space="preserve">MGV </w:t>
      </w:r>
      <w:r>
        <w:t>bis zum Ablauf der Frist M+2 Monate minus 10 Werktage nicht mehr zumutbar ist.</w:t>
      </w:r>
    </w:p>
    <w:p w14:paraId="274C8772" w14:textId="77777777" w:rsidR="00C76490" w:rsidRDefault="00C76490" w:rsidP="00E6394E">
      <w:pPr>
        <w:pStyle w:val="Liste"/>
        <w:numPr>
          <w:ilvl w:val="0"/>
          <w:numId w:val="21"/>
        </w:numPr>
      </w:pPr>
      <w:r>
        <w:t>Sofern der BK/SBK zuvor noch nicht deklariert wurde, muss zuerst das Deklarationsclearing abgeschlossen sein, bevor die Clearing-ALOCAT versendet werden kann.</w:t>
      </w:r>
    </w:p>
    <w:p w14:paraId="3DF4E07A" w14:textId="77777777" w:rsidR="00C76490" w:rsidRPr="00B50DAA" w:rsidRDefault="00C76490" w:rsidP="00E6394E">
      <w:pPr>
        <w:pStyle w:val="Liste"/>
        <w:numPr>
          <w:ilvl w:val="0"/>
          <w:numId w:val="21"/>
        </w:numPr>
        <w:rPr>
          <w:rFonts w:cs="Arial"/>
        </w:rPr>
      </w:pPr>
      <w:r w:rsidRPr="006D21AA">
        <w:t xml:space="preserve">Die Clearingzeitreihe wird innerhalb von 24 Stunden </w:t>
      </w:r>
      <w:r>
        <w:t>nach Eingang der Clearing-ALOCAT</w:t>
      </w:r>
      <w:r w:rsidRPr="006D21AA">
        <w:t xml:space="preserve"> dem NB und </w:t>
      </w:r>
      <w:r>
        <w:t xml:space="preserve">dem </w:t>
      </w:r>
      <w:r w:rsidRPr="006D21AA">
        <w:t>BKV im Portal des MGV angezeigt</w:t>
      </w:r>
      <w:r>
        <w:rPr>
          <w:rFonts w:cs="Arial"/>
        </w:rPr>
        <w:t>.</w:t>
      </w:r>
    </w:p>
    <w:p w14:paraId="76548DC5" w14:textId="77777777" w:rsidR="00E157A6" w:rsidRDefault="00C76490" w:rsidP="00E6394E">
      <w:r>
        <w:t>Auch hier gilt, dass der MGV nicht verpflichtet ist, weitere Prüfschritte mit Hilfe der Clearingnummer durchzuführen. Sie dient ausschließlich der Kennzeichnung der Clearing-ALOCAT. Sowohl BKV, TK als auch der beteiligte NB sind dazu angehalten, die Regeln und Grenzwerte zu prüfen und einzuhalten. Sollte der MGV feststellen, dass ein Clearing unter Missachtung der Grenzwerte und/oder wider besseres Wissen (bspw. bei regulärem SLP-Mengen</w:t>
      </w:r>
      <w:r w:rsidR="000872BA">
        <w:t>-</w:t>
      </w:r>
      <w:r>
        <w:t>sprung durch Kundenzuwachs) eingeleitet wurde, hat er das Recht, dieses wieder rückgängig zu machen, auch wenn die Bilanzkreisabrechnung bereits gelegt worden ist.</w:t>
      </w:r>
    </w:p>
    <w:p w14:paraId="24CFBC86" w14:textId="77777777" w:rsidR="00F9380C" w:rsidRDefault="005D037D" w:rsidP="00E6394E">
      <w:pPr>
        <w:pStyle w:val="berschrift3"/>
        <w:tabs>
          <w:tab w:val="clear" w:pos="1276"/>
          <w:tab w:val="num" w:pos="-4820"/>
          <w:tab w:val="num" w:pos="4395"/>
        </w:tabs>
        <w:spacing w:before="480"/>
        <w:ind w:left="1134" w:hanging="1094"/>
      </w:pPr>
      <w:bookmarkStart w:id="926" w:name="_Toc111118522"/>
      <w:r>
        <w:t>SLP-Summenprüfung</w:t>
      </w:r>
      <w:bookmarkEnd w:id="926"/>
    </w:p>
    <w:p w14:paraId="50802131" w14:textId="6BAA481B" w:rsidR="005D037D" w:rsidRDefault="005D037D" w:rsidP="00E6394E">
      <w:pPr>
        <w:rPr>
          <w:rFonts w:cs="Arial"/>
        </w:rPr>
      </w:pPr>
      <w:r w:rsidRPr="00B50DAA">
        <w:rPr>
          <w:rFonts w:cs="Arial"/>
        </w:rPr>
        <w:t>Zur weiteren Verbesserung der Qualität überprüf</w:t>
      </w:r>
      <w:r w:rsidR="00C9139F">
        <w:rPr>
          <w:rFonts w:cs="Arial"/>
        </w:rPr>
        <w:t>t</w:t>
      </w:r>
      <w:r w:rsidRPr="00B50DAA">
        <w:rPr>
          <w:rFonts w:cs="Arial"/>
        </w:rPr>
        <w:t xml:space="preserve"> </w:t>
      </w:r>
      <w:r w:rsidR="00C9139F">
        <w:rPr>
          <w:rFonts w:cs="Arial"/>
        </w:rPr>
        <w:t xml:space="preserve">der </w:t>
      </w:r>
      <w:r w:rsidRPr="00B50DAA">
        <w:rPr>
          <w:rFonts w:cs="Arial"/>
        </w:rPr>
        <w:t>MGV die eingehenden</w:t>
      </w:r>
      <w:r>
        <w:rPr>
          <w:rFonts w:cs="Arial"/>
        </w:rPr>
        <w:t xml:space="preserve"> </w:t>
      </w:r>
      <w:r w:rsidRPr="00B43852">
        <w:rPr>
          <w:rFonts w:cs="Arial"/>
        </w:rPr>
        <w:t>SLP-Allo</w:t>
      </w:r>
      <w:r>
        <w:rPr>
          <w:rFonts w:cs="Arial"/>
        </w:rPr>
        <w:t>-</w:t>
      </w:r>
      <w:r w:rsidRPr="00B43852">
        <w:rPr>
          <w:rFonts w:cs="Arial"/>
        </w:rPr>
        <w:t>kationen</w:t>
      </w:r>
      <w:r w:rsidRPr="00B50DAA">
        <w:rPr>
          <w:rFonts w:cs="Arial"/>
        </w:rPr>
        <w:t xml:space="preserve"> der NB auf Ausreißer. </w:t>
      </w:r>
      <w:r w:rsidRPr="00500574">
        <w:rPr>
          <w:rFonts w:cs="Arial"/>
        </w:rPr>
        <w:t>Sobald die Summe der SLP-Allokationen des Tages D (versendet am</w:t>
      </w:r>
      <w:r>
        <w:rPr>
          <w:rFonts w:cs="Arial"/>
        </w:rPr>
        <w:t xml:space="preserve"> Tag D-1) </w:t>
      </w:r>
      <w:r w:rsidRPr="00500574">
        <w:rPr>
          <w:rFonts w:cs="Arial"/>
        </w:rPr>
        <w:t>d</w:t>
      </w:r>
      <w:r>
        <w:rPr>
          <w:rFonts w:cs="Arial"/>
        </w:rPr>
        <w:t>ie</w:t>
      </w:r>
      <w:r w:rsidRPr="00500574">
        <w:rPr>
          <w:rFonts w:cs="Arial"/>
        </w:rPr>
        <w:t xml:space="preserve"> Vortagesmenge</w:t>
      </w:r>
      <w:r>
        <w:rPr>
          <w:rFonts w:cs="Arial"/>
        </w:rPr>
        <w:t xml:space="preserve"> um mehr als (≥) 1</w:t>
      </w:r>
      <w:r w:rsidRPr="00500574">
        <w:rPr>
          <w:rFonts w:cs="Arial"/>
        </w:rPr>
        <w:t xml:space="preserve">00% </w:t>
      </w:r>
      <w:r>
        <w:rPr>
          <w:rFonts w:cs="Arial"/>
        </w:rPr>
        <w:t>überschreitet</w:t>
      </w:r>
      <w:r w:rsidRPr="00500574">
        <w:rPr>
          <w:rFonts w:cs="Arial"/>
        </w:rPr>
        <w:t xml:space="preserve">, bzw. </w:t>
      </w:r>
      <w:r>
        <w:rPr>
          <w:rFonts w:cs="Arial"/>
        </w:rPr>
        <w:t>die Vortagesmenge um mehr</w:t>
      </w:r>
      <w:r w:rsidRPr="00500574">
        <w:rPr>
          <w:rFonts w:cs="Arial"/>
        </w:rPr>
        <w:t xml:space="preserve"> als (</w:t>
      </w:r>
      <w:r>
        <w:rPr>
          <w:rFonts w:cs="Arial"/>
        </w:rPr>
        <w:t>≥</w:t>
      </w:r>
      <w:r w:rsidRPr="00500574">
        <w:rPr>
          <w:rFonts w:cs="Arial"/>
        </w:rPr>
        <w:t>) 50</w:t>
      </w:r>
      <w:r>
        <w:rPr>
          <w:rFonts w:cs="Arial"/>
        </w:rPr>
        <w:t>% unterschreitet,</w:t>
      </w:r>
      <w:r w:rsidRPr="00B50DAA">
        <w:rPr>
          <w:rFonts w:cs="Arial"/>
        </w:rPr>
        <w:t xml:space="preserve"> teil</w:t>
      </w:r>
      <w:r>
        <w:rPr>
          <w:rFonts w:cs="Arial"/>
        </w:rPr>
        <w:t>t</w:t>
      </w:r>
      <w:r w:rsidRPr="00B50DAA">
        <w:rPr>
          <w:rFonts w:cs="Arial"/>
        </w:rPr>
        <w:t xml:space="preserve"> der MGV </w:t>
      </w:r>
      <w:r>
        <w:rPr>
          <w:rFonts w:cs="Arial"/>
        </w:rPr>
        <w:t xml:space="preserve">den Abweichungsprozentsatz </w:t>
      </w:r>
      <w:r w:rsidRPr="00B50DAA">
        <w:rPr>
          <w:rFonts w:cs="Arial"/>
        </w:rPr>
        <w:t xml:space="preserve">dem betroffenen NB und allen betroffenen BKV </w:t>
      </w:r>
      <w:r>
        <w:rPr>
          <w:rFonts w:cs="Arial"/>
        </w:rPr>
        <w:t xml:space="preserve">am Tag D-1, bis spätestens 15:00 Uhr, in einer Klartextnachricht/E-Mail </w:t>
      </w:r>
      <w:r w:rsidRPr="00B50DAA">
        <w:rPr>
          <w:rFonts w:cs="Arial"/>
        </w:rPr>
        <w:t>mit.</w:t>
      </w:r>
      <w:r>
        <w:rPr>
          <w:rFonts w:cs="Arial"/>
        </w:rPr>
        <w:t xml:space="preserve"> Sofern der MGV Ersatzwerte bildet, werden diese bei der Summenbildung berücksichtigt.</w:t>
      </w:r>
    </w:p>
    <w:p w14:paraId="5E863DB3" w14:textId="77777777" w:rsidR="00E157A6" w:rsidRDefault="005D037D" w:rsidP="00E6394E">
      <w:r>
        <w:t>Hierbei ist zu beachten, dass die Summenprüfung einen Hinweis zur besonderen Sorgfalt basierend auf einer aggregierten Betrachtung pro NB darstellt.</w:t>
      </w:r>
      <w:r w:rsidRPr="005D037D">
        <w:t xml:space="preserve"> Für einen sich </w:t>
      </w:r>
      <w:r w:rsidRPr="005D037D">
        <w:lastRenderedPageBreak/>
        <w:t xml:space="preserve">möglicherweise ergebenden Clearingprozess ist im weiteren Schritt eine Einzelbetrachtung jedes Bilanzkreises durch den Bilanzkreisverantwortlichen oder </w:t>
      </w:r>
      <w:r w:rsidR="004F593C">
        <w:t>NB</w:t>
      </w:r>
      <w:r w:rsidRPr="005D037D">
        <w:t xml:space="preserve"> erforderlich.</w:t>
      </w:r>
    </w:p>
    <w:p w14:paraId="5EF9E141" w14:textId="77777777" w:rsidR="007E05AB" w:rsidRDefault="00DF612D" w:rsidP="00E6394E">
      <w:pPr>
        <w:pStyle w:val="berschrift2"/>
        <w:tabs>
          <w:tab w:val="clear" w:pos="851"/>
          <w:tab w:val="num" w:pos="-5103"/>
        </w:tabs>
        <w:spacing w:before="480"/>
        <w:ind w:left="936" w:hanging="936"/>
      </w:pPr>
      <w:bookmarkStart w:id="927" w:name="_Toc284323673"/>
      <w:bookmarkStart w:id="928" w:name="_Toc284334350"/>
      <w:bookmarkStart w:id="929" w:name="_Toc285005324"/>
      <w:bookmarkStart w:id="930" w:name="_Ref287298715"/>
      <w:bookmarkStart w:id="931" w:name="_Ref287298768"/>
      <w:bookmarkStart w:id="932" w:name="_Ref289673932"/>
      <w:bookmarkStart w:id="933" w:name="_Ref289726696"/>
      <w:bookmarkStart w:id="934" w:name="_Ref293074751"/>
      <w:bookmarkStart w:id="935" w:name="_Toc296694131"/>
      <w:bookmarkStart w:id="936" w:name="_Toc391540204"/>
      <w:bookmarkStart w:id="937" w:name="_Toc412661367"/>
      <w:bookmarkStart w:id="938" w:name="_Toc111118523"/>
      <w:r>
        <w:t>Allokationsc</w:t>
      </w:r>
      <w:r w:rsidRPr="00D74932">
        <w:t xml:space="preserve">learing </w:t>
      </w:r>
      <w:bookmarkEnd w:id="927"/>
      <w:bookmarkEnd w:id="928"/>
      <w:bookmarkEnd w:id="929"/>
      <w:bookmarkEnd w:id="930"/>
      <w:bookmarkEnd w:id="931"/>
      <w:bookmarkEnd w:id="932"/>
      <w:bookmarkEnd w:id="933"/>
      <w:r>
        <w:t>physischer Zeitreihentypen außer SLP</w:t>
      </w:r>
      <w:bookmarkEnd w:id="934"/>
      <w:bookmarkEnd w:id="935"/>
      <w:bookmarkEnd w:id="936"/>
      <w:bookmarkEnd w:id="937"/>
      <w:bookmarkEnd w:id="938"/>
    </w:p>
    <w:p w14:paraId="334363AA" w14:textId="77777777" w:rsidR="00DF612D" w:rsidRDefault="006247E8" w:rsidP="00E6394E">
      <w:r>
        <w:t>Für folgende Zeitreihentypen gilt der nachfolgend beschriebene Prozess</w:t>
      </w:r>
      <w:r w:rsidR="00DF612D">
        <w:t>:</w:t>
      </w:r>
    </w:p>
    <w:p w14:paraId="3B533D8F" w14:textId="77777777" w:rsidR="00C3457B" w:rsidRDefault="00C3457B" w:rsidP="00E6394E">
      <w:pPr>
        <w:pStyle w:val="Aufzhlungszeichen"/>
      </w:pPr>
      <w:proofErr w:type="spellStart"/>
      <w:r>
        <w:t>Entryso</w:t>
      </w:r>
      <w:proofErr w:type="spellEnd"/>
      <w:r>
        <w:t xml:space="preserve">, </w:t>
      </w:r>
      <w:r w:rsidRPr="0088332F">
        <w:t>Entry Biogas</w:t>
      </w:r>
      <w:r>
        <w:t xml:space="preserve">, </w:t>
      </w:r>
      <w:r w:rsidRPr="0088332F">
        <w:t>Entry Was</w:t>
      </w:r>
      <w:r w:rsidRPr="006E6510">
        <w:t>sersto</w:t>
      </w:r>
      <w:r>
        <w:t>ff</w:t>
      </w:r>
      <w:r w:rsidR="000872BA">
        <w:t>,</w:t>
      </w:r>
    </w:p>
    <w:p w14:paraId="036D77C3" w14:textId="77777777" w:rsidR="00E157A6" w:rsidRDefault="00DF612D" w:rsidP="00E6394E">
      <w:pPr>
        <w:pStyle w:val="Aufzhlungszeichen"/>
      </w:pPr>
      <w:proofErr w:type="spellStart"/>
      <w:r>
        <w:t>RLMmT</w:t>
      </w:r>
      <w:proofErr w:type="spellEnd"/>
      <w:r>
        <w:t xml:space="preserve">, </w:t>
      </w:r>
      <w:proofErr w:type="spellStart"/>
      <w:r>
        <w:t>RLMoT</w:t>
      </w:r>
      <w:proofErr w:type="spellEnd"/>
      <w:r w:rsidR="002D63DD">
        <w:t>,</w:t>
      </w:r>
      <w:r w:rsidR="00793BB6">
        <w:t xml:space="preserve"> </w:t>
      </w:r>
      <w:proofErr w:type="spellStart"/>
      <w:r w:rsidR="00C3457B">
        <w:t>Exitso</w:t>
      </w:r>
      <w:proofErr w:type="spellEnd"/>
      <w:r w:rsidR="000872BA">
        <w:t>.</w:t>
      </w:r>
    </w:p>
    <w:p w14:paraId="19981B08" w14:textId="77777777" w:rsidR="00DF612D" w:rsidRPr="000014BB" w:rsidRDefault="00DF612D" w:rsidP="00E6394E">
      <w:pPr>
        <w:pStyle w:val="berschrift3"/>
        <w:spacing w:before="480"/>
        <w:ind w:left="981" w:hanging="941"/>
      </w:pPr>
      <w:bookmarkStart w:id="939" w:name="_Toc296694133"/>
      <w:bookmarkStart w:id="940" w:name="_Toc391540205"/>
      <w:bookmarkStart w:id="941" w:name="_Toc412661368"/>
      <w:bookmarkStart w:id="942" w:name="_Toc111118524"/>
      <w:r w:rsidRPr="000014BB">
        <w:t xml:space="preserve">Grundsätze für den Ablauf des </w:t>
      </w:r>
      <w:r>
        <w:t>Allokationsc</w:t>
      </w:r>
      <w:r w:rsidRPr="000014BB">
        <w:t xml:space="preserve">learings </w:t>
      </w:r>
      <w:r w:rsidR="00B80640">
        <w:t>physischer Zeitreihentypen</w:t>
      </w:r>
      <w:bookmarkEnd w:id="939"/>
      <w:r w:rsidR="006247E8">
        <w:t xml:space="preserve"> außer SLP</w:t>
      </w:r>
      <w:bookmarkEnd w:id="940"/>
      <w:bookmarkEnd w:id="941"/>
      <w:bookmarkEnd w:id="942"/>
    </w:p>
    <w:p w14:paraId="7B51B54E" w14:textId="77777777" w:rsidR="00DC1E06" w:rsidRDefault="00284F3C" w:rsidP="00E6394E">
      <w:pPr>
        <w:pStyle w:val="NummerierteListeohneEinzug"/>
      </w:pPr>
      <w:r>
        <w:t xml:space="preserve">Folgende Grundsätze </w:t>
      </w:r>
      <w:r w:rsidR="00DC1E06">
        <w:t>finden Anwendung:</w:t>
      </w:r>
    </w:p>
    <w:p w14:paraId="08A56268" w14:textId="58C28BB8" w:rsidR="00BD078D" w:rsidRDefault="00284F3C" w:rsidP="007F76BC">
      <w:pPr>
        <w:pStyle w:val="Listenabsatz"/>
        <w:numPr>
          <w:ilvl w:val="0"/>
          <w:numId w:val="33"/>
        </w:numPr>
        <w:tabs>
          <w:tab w:val="left" w:pos="0"/>
        </w:tabs>
        <w:contextualSpacing w:val="0"/>
      </w:pPr>
      <w:r w:rsidRPr="00681482">
        <w:t>Die Netznutzungsabrechnung zwisch</w:t>
      </w:r>
      <w:r>
        <w:t xml:space="preserve">en dem </w:t>
      </w:r>
      <w:r w:rsidR="002D5CB5">
        <w:t>LF</w:t>
      </w:r>
      <w:r w:rsidRPr="00681482">
        <w:t xml:space="preserve"> und dem NB</w:t>
      </w:r>
      <w:r>
        <w:t xml:space="preserve"> wird nach den Regeln der </w:t>
      </w:r>
      <w:proofErr w:type="spellStart"/>
      <w:r>
        <w:t>GeLi</w:t>
      </w:r>
      <w:proofErr w:type="spellEnd"/>
      <w:r>
        <w:t xml:space="preserve"> Gas und der </w:t>
      </w:r>
      <w:proofErr w:type="spellStart"/>
      <w:r>
        <w:t>KoV</w:t>
      </w:r>
      <w:proofErr w:type="spellEnd"/>
      <w:r>
        <w:t xml:space="preserve"> durchgeführt und</w:t>
      </w:r>
      <w:r w:rsidRPr="00681482">
        <w:t xml:space="preserve"> erfolgt auf Basis von gemessenen </w:t>
      </w:r>
      <w:r>
        <w:t xml:space="preserve">einzelkundenscharfen </w:t>
      </w:r>
      <w:r w:rsidRPr="00681482">
        <w:t>RLM-Lastgängen, umgewertet mit Abrechnungsbrennwerten</w:t>
      </w:r>
      <w:r>
        <w:t>. Für die Bilan</w:t>
      </w:r>
      <w:r w:rsidR="00BD230F">
        <w:t>z</w:t>
      </w:r>
      <w:r>
        <w:t>kreisabrechnung zwischen dem BKV und dem MGV sind die aggregierten Allokationen relevant.</w:t>
      </w:r>
    </w:p>
    <w:p w14:paraId="4BBCE701" w14:textId="6B75FD4F" w:rsidR="00BD078D" w:rsidRDefault="00284F3C" w:rsidP="007F76BC">
      <w:pPr>
        <w:pStyle w:val="Listenabsatz"/>
        <w:numPr>
          <w:ilvl w:val="0"/>
          <w:numId w:val="33"/>
        </w:numPr>
        <w:tabs>
          <w:tab w:val="left" w:pos="0"/>
        </w:tabs>
        <w:contextualSpacing w:val="0"/>
      </w:pPr>
      <w:r>
        <w:t xml:space="preserve">Die Abrechnung der Liefermenge zwischen dem BKV und dem </w:t>
      </w:r>
      <w:r w:rsidR="002D5CB5">
        <w:t>LF</w:t>
      </w:r>
      <w:r>
        <w:t xml:space="preserve"> erfolgt auf Basis vertraglicher Vereinbarungen, die nicht in der </w:t>
      </w:r>
      <w:proofErr w:type="spellStart"/>
      <w:r w:rsidR="00BB4C31">
        <w:t>KoV</w:t>
      </w:r>
      <w:proofErr w:type="spellEnd"/>
      <w:r w:rsidR="00BB4C31">
        <w:t xml:space="preserve"> </w:t>
      </w:r>
      <w:r>
        <w:t xml:space="preserve">geregelt werden. Man unterscheidet die verschiedenen Lieferfälle Vollbelieferung oder Teilbelieferung eines </w:t>
      </w:r>
      <w:r w:rsidR="002D5CB5">
        <w:t>LF</w:t>
      </w:r>
      <w:r>
        <w:t>. Je nach Lieferfall werden z. B. die aggregierten Allokationen der RLM</w:t>
      </w:r>
      <w:r w:rsidR="00A21C28" w:rsidRPr="00A21C28">
        <w:t xml:space="preserve"> </w:t>
      </w:r>
      <w:r w:rsidR="00A21C28">
        <w:t>Marktlokationen</w:t>
      </w:r>
      <w:r>
        <w:t xml:space="preserve"> oder vereinbarte Nominierungen oder vereinbarte Bandmengen abgerechnet.</w:t>
      </w:r>
    </w:p>
    <w:p w14:paraId="28F6E62F" w14:textId="6099BBC5" w:rsidR="00BD078D" w:rsidRDefault="00284F3C" w:rsidP="007F76BC">
      <w:pPr>
        <w:pStyle w:val="Listenabsatz"/>
        <w:numPr>
          <w:ilvl w:val="0"/>
          <w:numId w:val="33"/>
        </w:numPr>
        <w:tabs>
          <w:tab w:val="left" w:pos="0"/>
        </w:tabs>
        <w:contextualSpacing w:val="0"/>
      </w:pPr>
      <w:r>
        <w:t xml:space="preserve">Die Energieabrechnung zwischen dem </w:t>
      </w:r>
      <w:r w:rsidR="002D5CB5">
        <w:t>LF</w:t>
      </w:r>
      <w:r>
        <w:t xml:space="preserve"> und dem Endkunden erfolgt auf Basis der vom NB an den </w:t>
      </w:r>
      <w:r w:rsidR="002D5CB5">
        <w:t>LF</w:t>
      </w:r>
      <w:r>
        <w:t xml:space="preserve"> übermittelten einzelnen gemessenen und mit Abrechnungsbrennwerten umgewerteten Lastgänge aus Ziffer 1.</w:t>
      </w:r>
    </w:p>
    <w:p w14:paraId="22E9643B" w14:textId="641B7DAC" w:rsidR="00BD078D" w:rsidRDefault="00DF612D" w:rsidP="007F76BC">
      <w:pPr>
        <w:pStyle w:val="Listenabsatz"/>
        <w:numPr>
          <w:ilvl w:val="0"/>
          <w:numId w:val="33"/>
        </w:numPr>
        <w:tabs>
          <w:tab w:val="left" w:pos="0"/>
        </w:tabs>
        <w:contextualSpacing w:val="0"/>
      </w:pPr>
      <w:r w:rsidRPr="00880C63">
        <w:t xml:space="preserve">Um den Abwicklungsaufwand zu verringern, wird ein Grenzwert für das </w:t>
      </w:r>
      <w:r w:rsidR="00BF2EB5">
        <w:t>RLM-Allokations</w:t>
      </w:r>
      <w:r w:rsidR="00BF2EB5" w:rsidRPr="00880C63">
        <w:t xml:space="preserve">clearing </w:t>
      </w:r>
      <w:r w:rsidRPr="00880C63">
        <w:t>von mindestens 5</w:t>
      </w:r>
      <w:r w:rsidR="00284F3C">
        <w:t>00 kWh</w:t>
      </w:r>
      <w:r w:rsidRPr="00880C63">
        <w:t xml:space="preserve"> angesetzt. Abweichungen &lt;5</w:t>
      </w:r>
      <w:r w:rsidR="00284F3C">
        <w:t>00 kWh</w:t>
      </w:r>
      <w:r w:rsidRPr="00880C63">
        <w:t xml:space="preserve"> je Monat und BK bzw. SBK werden nicht </w:t>
      </w:r>
      <w:proofErr w:type="spellStart"/>
      <w:r w:rsidRPr="00880C63">
        <w:t>gecleart</w:t>
      </w:r>
      <w:proofErr w:type="spellEnd"/>
      <w:r w:rsidRPr="00880C63">
        <w:t>.</w:t>
      </w:r>
    </w:p>
    <w:p w14:paraId="6EB6E606" w14:textId="04C56603" w:rsidR="00E157A6" w:rsidRDefault="00DE1507" w:rsidP="007F76BC">
      <w:pPr>
        <w:pStyle w:val="Listenabsatz"/>
        <w:numPr>
          <w:ilvl w:val="0"/>
          <w:numId w:val="33"/>
        </w:numPr>
        <w:tabs>
          <w:tab w:val="left" w:pos="0"/>
        </w:tabs>
        <w:contextualSpacing w:val="0"/>
      </w:pPr>
      <w:r>
        <w:t xml:space="preserve">Wurden </w:t>
      </w:r>
      <w:r w:rsidR="00B1445F">
        <w:t xml:space="preserve">in Folge </w:t>
      </w:r>
      <w:r w:rsidR="00C30115">
        <w:t xml:space="preserve">eines Clearings </w:t>
      </w:r>
      <w:r w:rsidR="00B1445F">
        <w:t xml:space="preserve">RLM-Lastgangdaten </w:t>
      </w:r>
      <w:r w:rsidR="00902DAD">
        <w:t>korrigiert</w:t>
      </w:r>
      <w:r w:rsidR="00B1445F">
        <w:t>, werden die</w:t>
      </w:r>
      <w:r w:rsidR="00902DAD">
        <w:t xml:space="preserve"> </w:t>
      </w:r>
      <w:proofErr w:type="spellStart"/>
      <w:r w:rsidR="00902DAD">
        <w:t>geclearten</w:t>
      </w:r>
      <w:proofErr w:type="spellEnd"/>
      <w:r w:rsidR="00902DAD">
        <w:t xml:space="preserve"> RLM-Lastgangdaten</w:t>
      </w:r>
      <w:r w:rsidR="00B1445F">
        <w:t xml:space="preserve"> dem </w:t>
      </w:r>
      <w:r w:rsidR="002D5CB5">
        <w:t>LF</w:t>
      </w:r>
      <w:r w:rsidR="00B1445F">
        <w:t xml:space="preserve"> im Format MSCONS übersendet.</w:t>
      </w:r>
    </w:p>
    <w:p w14:paraId="79A37607" w14:textId="77777777" w:rsidR="00322B56" w:rsidRDefault="00CB1591" w:rsidP="00E6394E">
      <w:pPr>
        <w:pStyle w:val="berschrift3"/>
        <w:tabs>
          <w:tab w:val="num" w:pos="1106"/>
        </w:tabs>
        <w:spacing w:before="480"/>
        <w:ind w:left="1134" w:hanging="1094"/>
      </w:pPr>
      <w:bookmarkStart w:id="943" w:name="_Toc391540206"/>
      <w:bookmarkStart w:id="944" w:name="_Toc412661369"/>
      <w:bookmarkStart w:id="945" w:name="_Toc111118525"/>
      <w:bookmarkStart w:id="946" w:name="_Toc296694134"/>
      <w:bookmarkStart w:id="947" w:name="_Toc284323675"/>
      <w:bookmarkStart w:id="948" w:name="_Toc284334352"/>
      <w:bookmarkStart w:id="949" w:name="_Toc285005326"/>
      <w:r w:rsidRPr="00CB1591">
        <w:t xml:space="preserve">Gründe für ein Allokationsclearing </w:t>
      </w:r>
      <w:r w:rsidR="00B80640">
        <w:t>physischer Zeitreihentypen außer SLP</w:t>
      </w:r>
      <w:bookmarkEnd w:id="943"/>
      <w:bookmarkEnd w:id="944"/>
      <w:bookmarkEnd w:id="945"/>
    </w:p>
    <w:bookmarkEnd w:id="946"/>
    <w:bookmarkEnd w:id="947"/>
    <w:bookmarkEnd w:id="948"/>
    <w:bookmarkEnd w:id="949"/>
    <w:p w14:paraId="0EF3E282" w14:textId="23E734B8" w:rsidR="00284F3C" w:rsidRDefault="00284F3C" w:rsidP="00E6394E">
      <w:r>
        <w:t xml:space="preserve">Ein Clearingfall kann dann auftreten, wenn ein Marktpartner </w:t>
      </w:r>
      <w:r>
        <w:rPr>
          <w:rFonts w:cs="Arial"/>
        </w:rPr>
        <w:t>–</w:t>
      </w:r>
      <w:r>
        <w:t xml:space="preserve"> BKV, NB oder </w:t>
      </w:r>
      <w:r w:rsidR="002D5CB5">
        <w:t>LF</w:t>
      </w:r>
      <w:r>
        <w:t xml:space="preserve"> </w:t>
      </w:r>
      <w:r>
        <w:rPr>
          <w:rFonts w:cs="Arial"/>
        </w:rPr>
        <w:t>–</w:t>
      </w:r>
      <w:r>
        <w:t xml:space="preserve"> Differenzen feststellt und eine Korrektur durchgeführt werden soll.</w:t>
      </w:r>
      <w:r w:rsidRPr="00E96E3E">
        <w:t xml:space="preserve"> </w:t>
      </w:r>
      <w:r>
        <w:t xml:space="preserve">Dies kann </w:t>
      </w:r>
      <w:r w:rsidR="00BF2EB5">
        <w:t>beispielsweise durch folgende</w:t>
      </w:r>
      <w:r>
        <w:t xml:space="preserve"> Effekte ausgelöst werden</w:t>
      </w:r>
      <w:r w:rsidR="00BF2EB5">
        <w:t>:</w:t>
      </w:r>
    </w:p>
    <w:p w14:paraId="3D45415C" w14:textId="77DE3016" w:rsidR="00284F3C" w:rsidRDefault="00284F3C" w:rsidP="00E6394E">
      <w:r w:rsidRPr="00580B48">
        <w:rPr>
          <w:b/>
          <w:u w:val="single"/>
        </w:rPr>
        <w:lastRenderedPageBreak/>
        <w:t>Fall 1:</w:t>
      </w:r>
      <w:r w:rsidRPr="00580B48">
        <w:t xml:space="preserve"> </w:t>
      </w:r>
      <w:r>
        <w:t xml:space="preserve">Die aggregierten Bilanzierungslastgänge des </w:t>
      </w:r>
      <w:r w:rsidR="002D5CB5">
        <w:t>LF</w:t>
      </w:r>
      <w:r>
        <w:t xml:space="preserve"> entsprechen nicht der dem BKV vorliegenden Allokation.</w:t>
      </w:r>
    </w:p>
    <w:p w14:paraId="24E93FBD" w14:textId="6FA30AF2" w:rsidR="00284F3C" w:rsidRDefault="00284F3C" w:rsidP="00E6394E">
      <w:r>
        <w:t xml:space="preserve">In diesem Fall sind in dem Clearingprozess der NB, der MGV, ein </w:t>
      </w:r>
      <w:r w:rsidR="002D5CB5">
        <w:t>LF</w:t>
      </w:r>
      <w:r>
        <w:t xml:space="preserve"> und ein BKV involviert. Um eine Differenz feststellen zu können, benötigt der BKV von dem/den </w:t>
      </w:r>
      <w:r w:rsidR="00E930B9">
        <w:t>LF</w:t>
      </w:r>
      <w:r>
        <w:t xml:space="preserve"> die auf eine BK/SBK-Nummer aggregierten Bilanzierungslastgänge. Wenn ein BKV in einem Bilanzkreis die RLM</w:t>
      </w:r>
      <w:r w:rsidR="00A21C28" w:rsidRPr="00A21C28">
        <w:t xml:space="preserve"> </w:t>
      </w:r>
      <w:r w:rsidR="00A21C28">
        <w:t>Marktlokationen</w:t>
      </w:r>
      <w:r>
        <w:t xml:space="preserve"> mehrerer </w:t>
      </w:r>
      <w:r w:rsidR="00E930B9">
        <w:t>LF</w:t>
      </w:r>
      <w:r>
        <w:t xml:space="preserve"> vereinigt, benötigt der BKV die Informationen von mehreren </w:t>
      </w:r>
      <w:r w:rsidR="00E930B9">
        <w:t>LF</w:t>
      </w:r>
      <w:r>
        <w:t>.</w:t>
      </w:r>
    </w:p>
    <w:p w14:paraId="233EFCEB" w14:textId="29932AAD" w:rsidR="00284F3C" w:rsidRPr="00DD4A5B" w:rsidRDefault="00284F3C" w:rsidP="00E6394E">
      <w:pPr>
        <w:pStyle w:val="Beispiel"/>
        <w:rPr>
          <w:i w:val="0"/>
        </w:rPr>
      </w:pPr>
      <w:r w:rsidRPr="00DD4A5B">
        <w:rPr>
          <w:i w:val="0"/>
        </w:rPr>
        <w:t>Beispiel: Die RLM</w:t>
      </w:r>
      <w:r w:rsidR="00A21C28" w:rsidRPr="00A21C28">
        <w:t xml:space="preserve"> </w:t>
      </w:r>
      <w:r w:rsidR="00A21C28" w:rsidRPr="00A21C28">
        <w:rPr>
          <w:i w:val="0"/>
        </w:rPr>
        <w:t>Marktlokationen</w:t>
      </w:r>
      <w:r w:rsidRPr="00A21C28">
        <w:rPr>
          <w:i w:val="0"/>
        </w:rPr>
        <w:t xml:space="preserve"> </w:t>
      </w:r>
      <w:r w:rsidRPr="00DD4A5B">
        <w:rPr>
          <w:i w:val="0"/>
        </w:rPr>
        <w:t xml:space="preserve">der </w:t>
      </w:r>
      <w:proofErr w:type="spellStart"/>
      <w:r w:rsidR="00E930B9">
        <w:rPr>
          <w:i w:val="0"/>
        </w:rPr>
        <w:t>LF</w:t>
      </w:r>
      <w:r w:rsidRPr="00DD4A5B">
        <w:rPr>
          <w:i w:val="0"/>
          <w:vertAlign w:val="subscript"/>
        </w:rPr>
        <w:t>Blaugas</w:t>
      </w:r>
      <w:proofErr w:type="spellEnd"/>
      <w:r w:rsidRPr="00DD4A5B">
        <w:rPr>
          <w:i w:val="0"/>
        </w:rPr>
        <w:t xml:space="preserve"> und </w:t>
      </w:r>
      <w:proofErr w:type="spellStart"/>
      <w:r w:rsidR="00E930B9">
        <w:rPr>
          <w:i w:val="0"/>
        </w:rPr>
        <w:t>LF</w:t>
      </w:r>
      <w:r w:rsidRPr="00DD4A5B">
        <w:rPr>
          <w:i w:val="0"/>
          <w:vertAlign w:val="subscript"/>
        </w:rPr>
        <w:t>Rotgas</w:t>
      </w:r>
      <w:proofErr w:type="spellEnd"/>
      <w:r w:rsidRPr="00DD4A5B">
        <w:rPr>
          <w:i w:val="0"/>
        </w:rPr>
        <w:t xml:space="preserve"> sind dem </w:t>
      </w:r>
      <w:proofErr w:type="spellStart"/>
      <w:r w:rsidRPr="00DD4A5B">
        <w:rPr>
          <w:i w:val="0"/>
        </w:rPr>
        <w:t>BKV</w:t>
      </w:r>
      <w:r w:rsidRPr="00DD4A5B">
        <w:rPr>
          <w:i w:val="0"/>
          <w:vertAlign w:val="subscript"/>
        </w:rPr>
        <w:t>Schöngas</w:t>
      </w:r>
      <w:proofErr w:type="spellEnd"/>
      <w:r w:rsidRPr="00DD4A5B">
        <w:rPr>
          <w:i w:val="0"/>
        </w:rPr>
        <w:t xml:space="preserve"> zugeordnet. Damit der BKV die Allokation der RLM-</w:t>
      </w:r>
      <w:r w:rsidR="00A21C28" w:rsidRPr="00A21C28">
        <w:t xml:space="preserve"> </w:t>
      </w:r>
      <w:r w:rsidR="00A21C28" w:rsidRPr="00A21C28">
        <w:rPr>
          <w:i w:val="0"/>
        </w:rPr>
        <w:t>Marktlokationen</w:t>
      </w:r>
      <w:r w:rsidRPr="00DD4A5B">
        <w:rPr>
          <w:i w:val="0"/>
        </w:rPr>
        <w:t xml:space="preserve"> in dem Netz des </w:t>
      </w:r>
      <w:r w:rsidR="0071541D">
        <w:rPr>
          <w:i w:val="0"/>
        </w:rPr>
        <w:t>NB</w:t>
      </w:r>
      <w:r w:rsidR="0071541D" w:rsidRPr="00DD4A5B">
        <w:rPr>
          <w:i w:val="0"/>
        </w:rPr>
        <w:t xml:space="preserve"> </w:t>
      </w:r>
      <w:r w:rsidRPr="00DD4A5B">
        <w:rPr>
          <w:i w:val="0"/>
        </w:rPr>
        <w:t xml:space="preserve">auf den </w:t>
      </w:r>
      <w:proofErr w:type="spellStart"/>
      <w:r w:rsidR="00E930B9">
        <w:rPr>
          <w:i w:val="0"/>
        </w:rPr>
        <w:t>LF</w:t>
      </w:r>
      <w:r w:rsidRPr="00DD4A5B">
        <w:rPr>
          <w:i w:val="0"/>
          <w:vertAlign w:val="subscript"/>
        </w:rPr>
        <w:t>Blaugas</w:t>
      </w:r>
      <w:proofErr w:type="spellEnd"/>
      <w:r w:rsidRPr="00DD4A5B">
        <w:rPr>
          <w:i w:val="0"/>
          <w:vertAlign w:val="subscript"/>
        </w:rPr>
        <w:t xml:space="preserve"> </w:t>
      </w:r>
      <w:r w:rsidRPr="00DD4A5B">
        <w:rPr>
          <w:i w:val="0"/>
        </w:rPr>
        <w:t xml:space="preserve">und </w:t>
      </w:r>
      <w:proofErr w:type="spellStart"/>
      <w:r w:rsidR="00E930B9">
        <w:rPr>
          <w:i w:val="0"/>
        </w:rPr>
        <w:t>LF</w:t>
      </w:r>
      <w:r w:rsidRPr="00DD4A5B">
        <w:rPr>
          <w:i w:val="0"/>
          <w:vertAlign w:val="subscript"/>
        </w:rPr>
        <w:t>Rotgas</w:t>
      </w:r>
      <w:proofErr w:type="spellEnd"/>
      <w:r w:rsidRPr="00DD4A5B">
        <w:rPr>
          <w:i w:val="0"/>
        </w:rPr>
        <w:t xml:space="preserve"> für die Abrechnung der Lieferzwecke aufteilen kann, bildet der </w:t>
      </w:r>
      <w:proofErr w:type="spellStart"/>
      <w:r w:rsidRPr="00DD4A5B">
        <w:rPr>
          <w:i w:val="0"/>
        </w:rPr>
        <w:t>BKV</w:t>
      </w:r>
      <w:r w:rsidRPr="00DD4A5B">
        <w:rPr>
          <w:i w:val="0"/>
          <w:vertAlign w:val="subscript"/>
        </w:rPr>
        <w:t>Schöngas</w:t>
      </w:r>
      <w:proofErr w:type="spellEnd"/>
      <w:r w:rsidRPr="00DD4A5B">
        <w:rPr>
          <w:i w:val="0"/>
        </w:rPr>
        <w:t xml:space="preserve"> verschiedene </w:t>
      </w:r>
      <w:r w:rsidR="00C44E92" w:rsidRPr="00DD4A5B">
        <w:rPr>
          <w:i w:val="0"/>
        </w:rPr>
        <w:t>Sub-Bilanzkonten</w:t>
      </w:r>
      <w:r w:rsidRPr="00DD4A5B">
        <w:rPr>
          <w:i w:val="0"/>
        </w:rPr>
        <w:t xml:space="preserve"> SBK1 und SBK2. Der NB allokiert entsprechend der bereits im Rahmen der Anmeldung nach </w:t>
      </w:r>
      <w:proofErr w:type="spellStart"/>
      <w:r w:rsidRPr="00DD4A5B">
        <w:rPr>
          <w:i w:val="0"/>
        </w:rPr>
        <w:t>GeLi</w:t>
      </w:r>
      <w:proofErr w:type="spellEnd"/>
      <w:r w:rsidRPr="00DD4A5B">
        <w:rPr>
          <w:i w:val="0"/>
        </w:rPr>
        <w:t>-Gas mitgeteilten SBK- bzw. BK-Zuordnung die RLM-Mengen auf das SBK1 und SBK 2.</w:t>
      </w:r>
    </w:p>
    <w:p w14:paraId="4279933F" w14:textId="5C156C2B" w:rsidR="00284F3C" w:rsidRPr="00DD4A5B" w:rsidRDefault="00E930B9" w:rsidP="00E6394E">
      <w:pPr>
        <w:pStyle w:val="Beispiel"/>
        <w:rPr>
          <w:i w:val="0"/>
        </w:rPr>
      </w:pPr>
      <w:proofErr w:type="spellStart"/>
      <w:r>
        <w:rPr>
          <w:i w:val="0"/>
        </w:rPr>
        <w:t>LF</w:t>
      </w:r>
      <w:r w:rsidR="00284F3C" w:rsidRPr="00DD4A5B">
        <w:rPr>
          <w:i w:val="0"/>
          <w:vertAlign w:val="subscript"/>
        </w:rPr>
        <w:t>Blaugas</w:t>
      </w:r>
      <w:proofErr w:type="spellEnd"/>
      <w:r w:rsidR="00284F3C" w:rsidRPr="00DD4A5B">
        <w:rPr>
          <w:i w:val="0"/>
        </w:rPr>
        <w:t>: Die Summe der Bilanzierungslastgänge der RLM-</w:t>
      </w:r>
      <w:r w:rsidR="00A21C28" w:rsidRPr="00A21C28">
        <w:t xml:space="preserve"> </w:t>
      </w:r>
      <w:r w:rsidR="00A21C28" w:rsidRPr="00A21C28">
        <w:rPr>
          <w:i w:val="0"/>
        </w:rPr>
        <w:t>Marktlokationen</w:t>
      </w:r>
      <w:r w:rsidR="00284F3C" w:rsidRPr="00DD4A5B">
        <w:rPr>
          <w:i w:val="0"/>
        </w:rPr>
        <w:t xml:space="preserve"> </w:t>
      </w:r>
      <w:r w:rsidR="006555A6" w:rsidRPr="00DD4A5B">
        <w:rPr>
          <w:i w:val="0"/>
        </w:rPr>
        <w:t>je RLM-Zeit</w:t>
      </w:r>
      <w:r w:rsidR="001B7850">
        <w:rPr>
          <w:i w:val="0"/>
        </w:rPr>
        <w:t>-</w:t>
      </w:r>
      <w:r w:rsidR="006555A6" w:rsidRPr="00DD4A5B">
        <w:rPr>
          <w:i w:val="0"/>
        </w:rPr>
        <w:t xml:space="preserve">reihentyp </w:t>
      </w:r>
      <w:r w:rsidR="00284F3C" w:rsidRPr="00DD4A5B">
        <w:rPr>
          <w:i w:val="0"/>
        </w:rPr>
        <w:t xml:space="preserve">des </w:t>
      </w:r>
      <w:proofErr w:type="spellStart"/>
      <w:r>
        <w:rPr>
          <w:i w:val="0"/>
        </w:rPr>
        <w:t>LF</w:t>
      </w:r>
      <w:r w:rsidR="00284F3C" w:rsidRPr="00DD4A5B">
        <w:rPr>
          <w:i w:val="0"/>
          <w:vertAlign w:val="subscript"/>
        </w:rPr>
        <w:t>Blaugas</w:t>
      </w:r>
      <w:proofErr w:type="spellEnd"/>
      <w:r w:rsidR="00284F3C" w:rsidRPr="00DD4A5B">
        <w:rPr>
          <w:i w:val="0"/>
        </w:rPr>
        <w:t xml:space="preserve"> beträgt in Monat Januar 1.020.000 kWh. Die Summe der Allokation des SBK1 </w:t>
      </w:r>
      <w:r w:rsidR="006555A6" w:rsidRPr="00DD4A5B">
        <w:rPr>
          <w:i w:val="0"/>
        </w:rPr>
        <w:t xml:space="preserve">je RLM-Zeitreihentyp </w:t>
      </w:r>
      <w:r w:rsidR="00284F3C" w:rsidRPr="00DD4A5B">
        <w:rPr>
          <w:i w:val="0"/>
        </w:rPr>
        <w:t xml:space="preserve">beträgt 1.000.000 kWh. Das Delta in Höhe von 20.000 kWh von SBK1 ist größer als die Clearinggrenze von 500 kWh, der </w:t>
      </w:r>
      <w:proofErr w:type="spellStart"/>
      <w:r>
        <w:rPr>
          <w:i w:val="0"/>
        </w:rPr>
        <w:t>LF</w:t>
      </w:r>
      <w:r w:rsidR="00284F3C" w:rsidRPr="00DD4A5B">
        <w:rPr>
          <w:i w:val="0"/>
          <w:vertAlign w:val="subscript"/>
        </w:rPr>
        <w:t>Blaugas</w:t>
      </w:r>
      <w:proofErr w:type="spellEnd"/>
      <w:r w:rsidR="00284F3C" w:rsidRPr="00DD4A5B">
        <w:rPr>
          <w:i w:val="0"/>
        </w:rPr>
        <w:t xml:space="preserve"> kann </w:t>
      </w:r>
      <w:proofErr w:type="spellStart"/>
      <w:r w:rsidR="00284F3C" w:rsidRPr="00DD4A5B">
        <w:rPr>
          <w:i w:val="0"/>
        </w:rPr>
        <w:t>clearen</w:t>
      </w:r>
      <w:proofErr w:type="spellEnd"/>
      <w:r w:rsidR="00284F3C" w:rsidRPr="00DD4A5B">
        <w:rPr>
          <w:i w:val="0"/>
        </w:rPr>
        <w:t>.</w:t>
      </w:r>
    </w:p>
    <w:p w14:paraId="4D12A37D" w14:textId="47534306" w:rsidR="00DF612D" w:rsidRPr="00DD4A5B" w:rsidRDefault="00E930B9" w:rsidP="00E6394E">
      <w:pPr>
        <w:pStyle w:val="Beispiel"/>
        <w:rPr>
          <w:i w:val="0"/>
        </w:rPr>
      </w:pPr>
      <w:proofErr w:type="spellStart"/>
      <w:r>
        <w:rPr>
          <w:i w:val="0"/>
        </w:rPr>
        <w:t>LF</w:t>
      </w:r>
      <w:r w:rsidR="00284F3C" w:rsidRPr="00DD4A5B">
        <w:rPr>
          <w:i w:val="0"/>
          <w:vertAlign w:val="subscript"/>
        </w:rPr>
        <w:t>Rotgas</w:t>
      </w:r>
      <w:proofErr w:type="spellEnd"/>
      <w:r w:rsidR="00284F3C" w:rsidRPr="00DD4A5B">
        <w:rPr>
          <w:i w:val="0"/>
        </w:rPr>
        <w:t>: Die Summe der Bilanzierungslastgänge der RLM-</w:t>
      </w:r>
      <w:r w:rsidR="00A21C28" w:rsidRPr="00A21C28">
        <w:t xml:space="preserve"> </w:t>
      </w:r>
      <w:r w:rsidR="00A21C28" w:rsidRPr="00A21C28">
        <w:rPr>
          <w:i w:val="0"/>
        </w:rPr>
        <w:t>Marktlokationen</w:t>
      </w:r>
      <w:r w:rsidR="00284F3C" w:rsidRPr="00DD4A5B">
        <w:rPr>
          <w:i w:val="0"/>
        </w:rPr>
        <w:t xml:space="preserve"> </w:t>
      </w:r>
      <w:r w:rsidR="006555A6" w:rsidRPr="00DD4A5B">
        <w:rPr>
          <w:i w:val="0"/>
        </w:rPr>
        <w:t>je RLM-Zeit</w:t>
      </w:r>
      <w:r w:rsidR="001B7850">
        <w:rPr>
          <w:i w:val="0"/>
        </w:rPr>
        <w:t>-</w:t>
      </w:r>
      <w:r w:rsidR="006555A6" w:rsidRPr="00DD4A5B">
        <w:rPr>
          <w:i w:val="0"/>
        </w:rPr>
        <w:t xml:space="preserve">reihentyp </w:t>
      </w:r>
      <w:r w:rsidR="00284F3C" w:rsidRPr="00DD4A5B">
        <w:rPr>
          <w:i w:val="0"/>
        </w:rPr>
        <w:t xml:space="preserve">des </w:t>
      </w:r>
      <w:proofErr w:type="spellStart"/>
      <w:r>
        <w:rPr>
          <w:i w:val="0"/>
        </w:rPr>
        <w:t>LF</w:t>
      </w:r>
      <w:r w:rsidR="00284F3C" w:rsidRPr="00DD4A5B">
        <w:rPr>
          <w:i w:val="0"/>
          <w:vertAlign w:val="subscript"/>
        </w:rPr>
        <w:t>Rotgas</w:t>
      </w:r>
      <w:proofErr w:type="spellEnd"/>
      <w:r w:rsidR="00284F3C" w:rsidRPr="00DD4A5B">
        <w:rPr>
          <w:i w:val="0"/>
        </w:rPr>
        <w:t xml:space="preserve"> beträgt im Monat Januar 449.800 kWh. Die Summe der Allokation des SBK1 </w:t>
      </w:r>
      <w:r w:rsidR="006555A6" w:rsidRPr="00DD4A5B">
        <w:rPr>
          <w:i w:val="0"/>
        </w:rPr>
        <w:t xml:space="preserve">je RLM-Zeitreihentyp </w:t>
      </w:r>
      <w:r w:rsidR="00284F3C" w:rsidRPr="00DD4A5B">
        <w:rPr>
          <w:i w:val="0"/>
        </w:rPr>
        <w:t xml:space="preserve">beträgt 450.000 kWh. Das Delta von 200 kWh ist geringer als die Clearinggrenze von 500 kWh, der </w:t>
      </w:r>
      <w:proofErr w:type="spellStart"/>
      <w:r>
        <w:rPr>
          <w:i w:val="0"/>
        </w:rPr>
        <w:t>LF</w:t>
      </w:r>
      <w:r w:rsidR="00284F3C" w:rsidRPr="00DD4A5B">
        <w:rPr>
          <w:i w:val="0"/>
          <w:vertAlign w:val="subscript"/>
        </w:rPr>
        <w:t>Rotgas</w:t>
      </w:r>
      <w:proofErr w:type="spellEnd"/>
      <w:r w:rsidR="00284F3C" w:rsidRPr="00DD4A5B">
        <w:rPr>
          <w:i w:val="0"/>
          <w:vertAlign w:val="subscript"/>
        </w:rPr>
        <w:t xml:space="preserve"> </w:t>
      </w:r>
      <w:r w:rsidR="00284F3C" w:rsidRPr="00DD4A5B">
        <w:rPr>
          <w:i w:val="0"/>
        </w:rPr>
        <w:t xml:space="preserve">kann nicht </w:t>
      </w:r>
      <w:proofErr w:type="spellStart"/>
      <w:r w:rsidR="00284F3C" w:rsidRPr="00DD4A5B">
        <w:rPr>
          <w:i w:val="0"/>
        </w:rPr>
        <w:t>clearen</w:t>
      </w:r>
      <w:proofErr w:type="spellEnd"/>
      <w:r w:rsidR="00284F3C" w:rsidRPr="00DD4A5B">
        <w:rPr>
          <w:i w:val="0"/>
        </w:rPr>
        <w:t>.</w:t>
      </w:r>
    </w:p>
    <w:p w14:paraId="5F16D6D0" w14:textId="6F715A3A" w:rsidR="00284F3C" w:rsidRDefault="00284F3C" w:rsidP="00E6394E">
      <w:r w:rsidRPr="00580B48">
        <w:rPr>
          <w:b/>
          <w:u w:val="single"/>
        </w:rPr>
        <w:t xml:space="preserve">Fall </w:t>
      </w:r>
      <w:r w:rsidR="00BF2EB5">
        <w:rPr>
          <w:b/>
          <w:u w:val="single"/>
        </w:rPr>
        <w:t>2</w:t>
      </w:r>
      <w:r w:rsidRPr="00580B48">
        <w:rPr>
          <w:b/>
          <w:u w:val="single"/>
        </w:rPr>
        <w:t>:</w:t>
      </w:r>
      <w:r w:rsidRPr="00C16B39">
        <w:t xml:space="preserve"> </w:t>
      </w:r>
      <w:r>
        <w:t>Der NB hat einen oder mehrere RLM</w:t>
      </w:r>
      <w:r w:rsidR="00A21C28" w:rsidRPr="00A21C28">
        <w:t xml:space="preserve"> </w:t>
      </w:r>
      <w:r w:rsidR="00A21C28">
        <w:t>Marktlokationen</w:t>
      </w:r>
      <w:r w:rsidRPr="00B36FF3">
        <w:rPr>
          <w:i/>
        </w:rPr>
        <w:t xml:space="preserve"> </w:t>
      </w:r>
      <w:r>
        <w:t xml:space="preserve">einem falschen Bilanzkreis und/oder einen falschen </w:t>
      </w:r>
      <w:r w:rsidR="00E930B9">
        <w:t>LF</w:t>
      </w:r>
      <w:r>
        <w:t xml:space="preserve"> zugeordnet und allokiert. In diesem Fall sind in dem Clearingprozess der NB, MGV, </w:t>
      </w:r>
      <w:r w:rsidR="00E930B9">
        <w:t>LF</w:t>
      </w:r>
      <w:r>
        <w:t xml:space="preserve"> und BKV involviert.</w:t>
      </w:r>
    </w:p>
    <w:p w14:paraId="0A3BD2B1" w14:textId="763F99F1" w:rsidR="00284F3C" w:rsidRPr="001B7850" w:rsidRDefault="00284F3C" w:rsidP="00E6394E">
      <w:pPr>
        <w:pStyle w:val="Beispiel"/>
        <w:rPr>
          <w:i w:val="0"/>
        </w:rPr>
      </w:pPr>
      <w:r w:rsidRPr="001B7850">
        <w:rPr>
          <w:i w:val="0"/>
        </w:rPr>
        <w:t xml:space="preserve">Beispiel: Der NB hat einen Kunden des </w:t>
      </w:r>
      <w:proofErr w:type="spellStart"/>
      <w:r w:rsidR="00E930B9">
        <w:rPr>
          <w:i w:val="0"/>
        </w:rPr>
        <w:t>LF</w:t>
      </w:r>
      <w:r w:rsidRPr="001B7850">
        <w:rPr>
          <w:i w:val="0"/>
          <w:vertAlign w:val="subscript"/>
        </w:rPr>
        <w:t>Blaugas</w:t>
      </w:r>
      <w:proofErr w:type="spellEnd"/>
      <w:r w:rsidRPr="001B7850">
        <w:rPr>
          <w:i w:val="0"/>
        </w:rPr>
        <w:t xml:space="preserve"> dem Bilanzkreis des </w:t>
      </w:r>
      <w:proofErr w:type="spellStart"/>
      <w:r w:rsidR="00E930B9">
        <w:rPr>
          <w:i w:val="0"/>
        </w:rPr>
        <w:t>LF</w:t>
      </w:r>
      <w:r w:rsidRPr="001B7850">
        <w:rPr>
          <w:i w:val="0"/>
          <w:vertAlign w:val="subscript"/>
        </w:rPr>
        <w:t>Rotgas</w:t>
      </w:r>
      <w:proofErr w:type="spellEnd"/>
      <w:r w:rsidRPr="001B7850">
        <w:rPr>
          <w:i w:val="0"/>
        </w:rPr>
        <w:t xml:space="preserve"> zugeordnet. Zusätzlich wurde ein Kunde des </w:t>
      </w:r>
      <w:proofErr w:type="spellStart"/>
      <w:r w:rsidR="00E930B9">
        <w:rPr>
          <w:i w:val="0"/>
        </w:rPr>
        <w:t>LF</w:t>
      </w:r>
      <w:r w:rsidRPr="001B7850">
        <w:rPr>
          <w:i w:val="0"/>
          <w:vertAlign w:val="subscript"/>
        </w:rPr>
        <w:t>Grüngas</w:t>
      </w:r>
      <w:proofErr w:type="spellEnd"/>
      <w:r w:rsidRPr="001B7850">
        <w:rPr>
          <w:i w:val="0"/>
        </w:rPr>
        <w:t xml:space="preserve"> in den Bilanzkreis des </w:t>
      </w:r>
      <w:proofErr w:type="spellStart"/>
      <w:r w:rsidR="00E930B9">
        <w:rPr>
          <w:i w:val="0"/>
        </w:rPr>
        <w:t>LF</w:t>
      </w:r>
      <w:r w:rsidRPr="001B7850">
        <w:rPr>
          <w:i w:val="0"/>
          <w:vertAlign w:val="subscript"/>
        </w:rPr>
        <w:t>Blaugas</w:t>
      </w:r>
      <w:proofErr w:type="spellEnd"/>
      <w:r w:rsidRPr="001B7850">
        <w:rPr>
          <w:i w:val="0"/>
        </w:rPr>
        <w:t xml:space="preserve"> zugeordnet und umgekehrt.</w:t>
      </w:r>
    </w:p>
    <w:p w14:paraId="340E7DB5" w14:textId="5BD97AA9" w:rsidR="00284F3C" w:rsidRDefault="00284F3C" w:rsidP="00E6394E">
      <w:r w:rsidRPr="009E293C">
        <w:t>I</w:t>
      </w:r>
      <w:r w:rsidR="00DC30EF">
        <w:t>m</w:t>
      </w:r>
      <w:r w:rsidRPr="009E293C">
        <w:t xml:space="preserve"> </w:t>
      </w:r>
      <w:r w:rsidR="00D45796">
        <w:t>Sonderfall</w:t>
      </w:r>
      <w:r w:rsidRPr="009E293C">
        <w:t xml:space="preserve"> </w:t>
      </w:r>
      <w:r w:rsidR="00D45796">
        <w:t>eines</w:t>
      </w:r>
      <w:r w:rsidRPr="009E293C">
        <w:t xml:space="preserve"> Ausspeisenetz</w:t>
      </w:r>
      <w:r w:rsidR="00D45796">
        <w:t>es</w:t>
      </w:r>
      <w:r w:rsidRPr="009E293C">
        <w:t xml:space="preserve"> mit zwei verschiedenen Gasqualitäten kann </w:t>
      </w:r>
      <w:r w:rsidR="00A21C28">
        <w:t>die Marktlokation</w:t>
      </w:r>
      <w:r w:rsidRPr="009E293C">
        <w:t xml:space="preserve"> einem Bilanzkreis mit der falschen Gasqualität zugeordnet sein.</w:t>
      </w:r>
    </w:p>
    <w:p w14:paraId="2AF96571" w14:textId="0101A6B2" w:rsidR="00DF612D" w:rsidRDefault="00284F3C" w:rsidP="00E6394E">
      <w:r w:rsidRPr="00580B48">
        <w:rPr>
          <w:b/>
          <w:u w:val="single"/>
        </w:rPr>
        <w:t xml:space="preserve">Fall </w:t>
      </w:r>
      <w:r w:rsidR="00BF2EB5">
        <w:rPr>
          <w:b/>
          <w:u w:val="single"/>
        </w:rPr>
        <w:t>3</w:t>
      </w:r>
      <w:r w:rsidRPr="00580B48">
        <w:rPr>
          <w:b/>
          <w:u w:val="single"/>
        </w:rPr>
        <w:t>:</w:t>
      </w:r>
      <w:r w:rsidR="006F40CF">
        <w:t xml:space="preserve"> </w:t>
      </w:r>
      <w:r>
        <w:t>RLM</w:t>
      </w:r>
      <w:r w:rsidR="00A21C28" w:rsidRPr="00A21C28">
        <w:t xml:space="preserve"> </w:t>
      </w:r>
      <w:r w:rsidR="00A21C28">
        <w:t>Marktlokationen</w:t>
      </w:r>
      <w:r w:rsidRPr="00010F89">
        <w:rPr>
          <w:i/>
        </w:rPr>
        <w:t xml:space="preserve"> </w:t>
      </w:r>
      <w:r>
        <w:t>wurden nicht allokiert. In diesem Fall sind in dem Clearingprozess der NB, MGV</w:t>
      </w:r>
      <w:r w:rsidR="00D45796">
        <w:t>,</w:t>
      </w:r>
      <w:r>
        <w:t xml:space="preserve"> </w:t>
      </w:r>
      <w:r w:rsidR="00E930B9">
        <w:t>LF</w:t>
      </w:r>
      <w:r>
        <w:t xml:space="preserve"> und BKV involviert</w:t>
      </w:r>
    </w:p>
    <w:p w14:paraId="3CB56DFA" w14:textId="37649CC2" w:rsidR="00284F3C" w:rsidRPr="00DD4A5B" w:rsidRDefault="00284F3C" w:rsidP="00E6394E">
      <w:pPr>
        <w:pStyle w:val="Beispiel"/>
        <w:rPr>
          <w:i w:val="0"/>
        </w:rPr>
      </w:pPr>
      <w:r w:rsidRPr="00DD4A5B">
        <w:rPr>
          <w:i w:val="0"/>
        </w:rPr>
        <w:t xml:space="preserve">Beispiel: Der NB hat einen Kunden des </w:t>
      </w:r>
      <w:proofErr w:type="spellStart"/>
      <w:r w:rsidR="00E930B9">
        <w:rPr>
          <w:i w:val="0"/>
        </w:rPr>
        <w:t>LF</w:t>
      </w:r>
      <w:r w:rsidRPr="00DD4A5B">
        <w:rPr>
          <w:i w:val="0"/>
          <w:vertAlign w:val="subscript"/>
        </w:rPr>
        <w:t>Rotgas</w:t>
      </w:r>
      <w:proofErr w:type="spellEnd"/>
      <w:r w:rsidRPr="00DD4A5B">
        <w:rPr>
          <w:i w:val="0"/>
        </w:rPr>
        <w:t xml:space="preserve"> nicht allokiert. Gründe hierfür könnte z.</w:t>
      </w:r>
      <w:r w:rsidR="00C22517">
        <w:rPr>
          <w:i w:val="0"/>
        </w:rPr>
        <w:t> </w:t>
      </w:r>
      <w:r w:rsidRPr="00DD4A5B">
        <w:rPr>
          <w:i w:val="0"/>
        </w:rPr>
        <w:t>B. eine ausgefallene Messstation oder eine vergessene Meldung sein.</w:t>
      </w:r>
    </w:p>
    <w:p w14:paraId="1748E611" w14:textId="77777777" w:rsidR="00284F3C" w:rsidRDefault="00284F3C" w:rsidP="00E6394E">
      <w:pPr>
        <w:rPr>
          <w:u w:val="single"/>
        </w:rPr>
      </w:pPr>
      <w:r w:rsidRPr="00580B48">
        <w:rPr>
          <w:b/>
          <w:u w:val="single"/>
        </w:rPr>
        <w:t xml:space="preserve">Fall </w:t>
      </w:r>
      <w:r w:rsidR="00BF2EB5">
        <w:rPr>
          <w:b/>
          <w:u w:val="single"/>
        </w:rPr>
        <w:t>4</w:t>
      </w:r>
      <w:r w:rsidRPr="00580B48">
        <w:rPr>
          <w:b/>
          <w:u w:val="single"/>
        </w:rPr>
        <w:t>:</w:t>
      </w:r>
      <w:r w:rsidRPr="00C16B39">
        <w:t xml:space="preserve"> </w:t>
      </w:r>
      <w:r w:rsidRPr="00301E0D">
        <w:t>Fehlerhafte oder fehlende Deklaration</w:t>
      </w:r>
      <w:r>
        <w:t>.</w:t>
      </w:r>
    </w:p>
    <w:p w14:paraId="62AED046" w14:textId="29DE8AC2" w:rsidR="00E157A6" w:rsidRDefault="00284F3C" w:rsidP="00E6394E">
      <w:r w:rsidRPr="00301E0D">
        <w:t>Im Kap.</w:t>
      </w:r>
      <w:r>
        <w:t xml:space="preserve"> </w:t>
      </w:r>
      <w:r w:rsidR="0011373C">
        <w:fldChar w:fldCharType="begin"/>
      </w:r>
      <w:r w:rsidR="0011373C">
        <w:instrText xml:space="preserve"> REF _Ref320637559 \r \h  \* MERGEFORMAT </w:instrText>
      </w:r>
      <w:r w:rsidR="0011373C">
        <w:fldChar w:fldCharType="separate"/>
      </w:r>
      <w:r w:rsidR="00692E23">
        <w:t>3.4</w:t>
      </w:r>
      <w:r w:rsidR="0011373C">
        <w:fldChar w:fldCharType="end"/>
      </w:r>
      <w:r>
        <w:t xml:space="preserve"> wird beschrieben, wie eine Nachdeklaration bei fehlenden Deklarationen oder Korrektur bei fehlerhaften Deklarationen erfolgt. Im Fall von RLM</w:t>
      </w:r>
      <w:r w:rsidR="00E930B9">
        <w:t>-</w:t>
      </w:r>
      <w:r w:rsidR="00A21C28">
        <w:t>Marktlokationen</w:t>
      </w:r>
      <w:r w:rsidRPr="00B36FF3">
        <w:rPr>
          <w:i/>
        </w:rPr>
        <w:t xml:space="preserve"> </w:t>
      </w:r>
      <w:r>
        <w:t xml:space="preserve">kann die Deklaration auch für zurückliegende Tage des Liefermonats erfolgen. Für die Nachallokation </w:t>
      </w:r>
      <w:r>
        <w:lastRenderedPageBreak/>
        <w:t>der Mengen oder die Korrektur einer Fehlallokation, z.</w:t>
      </w:r>
      <w:r w:rsidR="00B87B73">
        <w:rPr>
          <w:i/>
        </w:rPr>
        <w:t> </w:t>
      </w:r>
      <w:r>
        <w:t>B. auf einen falschen Zeitreihentyp, wird ebenfalls das Clearingverfahren genutzt.</w:t>
      </w:r>
    </w:p>
    <w:p w14:paraId="6778ECD0" w14:textId="77777777" w:rsidR="00DF612D" w:rsidRPr="000014BB" w:rsidRDefault="00CB1591" w:rsidP="00E6394E">
      <w:pPr>
        <w:pStyle w:val="berschrift3"/>
        <w:spacing w:before="480"/>
        <w:ind w:left="981" w:hanging="941"/>
      </w:pPr>
      <w:bookmarkStart w:id="950" w:name="_Toc296694136"/>
      <w:bookmarkStart w:id="951" w:name="_Toc391540207"/>
      <w:bookmarkStart w:id="952" w:name="_Toc412661370"/>
      <w:bookmarkStart w:id="953" w:name="_Toc111118526"/>
      <w:bookmarkStart w:id="954" w:name="_Toc284323676"/>
      <w:bookmarkStart w:id="955" w:name="_Toc284334353"/>
      <w:bookmarkStart w:id="956" w:name="_Toc285005327"/>
      <w:r w:rsidRPr="000014BB">
        <w:t xml:space="preserve">Gründe für ein </w:t>
      </w:r>
      <w:r>
        <w:t>Allokationsc</w:t>
      </w:r>
      <w:r w:rsidRPr="000014BB">
        <w:t xml:space="preserve">learing </w:t>
      </w:r>
      <w:r>
        <w:t xml:space="preserve">an nominierten physischen </w:t>
      </w:r>
      <w:r w:rsidR="00C0511E">
        <w:t>Ein- bzw. Ausspeisepunkten</w:t>
      </w:r>
      <w:bookmarkEnd w:id="950"/>
      <w:bookmarkEnd w:id="951"/>
      <w:bookmarkEnd w:id="952"/>
      <w:bookmarkEnd w:id="953"/>
    </w:p>
    <w:p w14:paraId="2521CA2C" w14:textId="6ED2B01A" w:rsidR="00F21AE6" w:rsidRDefault="00CB1591" w:rsidP="00E6394E">
      <w:pPr>
        <w:pStyle w:val="Aufzhlungszeichen"/>
        <w:numPr>
          <w:ilvl w:val="0"/>
          <w:numId w:val="0"/>
        </w:numPr>
      </w:pPr>
      <w:r>
        <w:t>In der Regel sind physische</w:t>
      </w:r>
      <w:r w:rsidR="00C0511E" w:rsidRPr="00C0511E">
        <w:t xml:space="preserve"> </w:t>
      </w:r>
      <w:r w:rsidR="00C0511E">
        <w:t>Ein-</w:t>
      </w:r>
      <w:r w:rsidR="00A36897">
        <w:t xml:space="preserve"> und </w:t>
      </w:r>
      <w:r w:rsidR="00C0511E">
        <w:t>Ausspeisepunkte</w:t>
      </w:r>
      <w:r>
        <w:t xml:space="preserve">, die über ein Nominierungsverfahren abgewickelt </w:t>
      </w:r>
      <w:r w:rsidR="00A56A84">
        <w:t>werden,</w:t>
      </w:r>
      <w:r>
        <w:t xml:space="preserve"> den Zeitreihentypen </w:t>
      </w:r>
      <w:proofErr w:type="spellStart"/>
      <w:r>
        <w:t>Entryso</w:t>
      </w:r>
      <w:proofErr w:type="spellEnd"/>
      <w:r w:rsidR="00B80640">
        <w:t xml:space="preserve"> bzw.</w:t>
      </w:r>
      <w:r>
        <w:t xml:space="preserve"> </w:t>
      </w:r>
      <w:proofErr w:type="spellStart"/>
      <w:r>
        <w:t>Exitso</w:t>
      </w:r>
      <w:proofErr w:type="spellEnd"/>
      <w:r>
        <w:t xml:space="preserve"> zugeordnet. Hier gilt </w:t>
      </w:r>
      <w:r w:rsidR="00B80640">
        <w:t xml:space="preserve">in der Regel </w:t>
      </w:r>
      <w:r w:rsidR="0088332F">
        <w:t>das</w:t>
      </w:r>
      <w:r>
        <w:t xml:space="preserve"> Allokationsverfahren „Allokiert wie Nominiert“.</w:t>
      </w:r>
    </w:p>
    <w:p w14:paraId="1C55AEF6" w14:textId="77777777" w:rsidR="00DF612D" w:rsidRDefault="00DF612D" w:rsidP="00E6394E">
      <w:r>
        <w:t xml:space="preserve">Der BKV kann </w:t>
      </w:r>
      <w:r w:rsidR="00C40FE2">
        <w:t xml:space="preserve">die </w:t>
      </w:r>
      <w:r>
        <w:t xml:space="preserve">durch den NB versendeten Nominierungsbestätigungen (NOMRES) mit den ihm vorliegenden Allokationsdaten an M+14 WT vergleichen. Sollten sich hier Differenzen ergeben oder eines von beiden nicht vorliegen, so kann dies </w:t>
      </w:r>
      <w:r w:rsidR="00DD15D8">
        <w:t xml:space="preserve">u.a. </w:t>
      </w:r>
      <w:r>
        <w:t>folgende Ursache haben:</w:t>
      </w:r>
    </w:p>
    <w:p w14:paraId="1E25D6F4" w14:textId="77777777" w:rsidR="00DF612D" w:rsidRDefault="00DF612D" w:rsidP="00E6394E">
      <w:pPr>
        <w:pStyle w:val="Aufzhlungszeichen"/>
      </w:pPr>
      <w:r w:rsidRPr="00B03C96">
        <w:t xml:space="preserve">Der NB hat die Nominierung (NOMINT) erhalten, </w:t>
      </w:r>
      <w:r>
        <w:t xml:space="preserve">die </w:t>
      </w:r>
      <w:proofErr w:type="spellStart"/>
      <w:r>
        <w:t>Matchingprüfung</w:t>
      </w:r>
      <w:proofErr w:type="spellEnd"/>
      <w:r>
        <w:t xml:space="preserve"> </w:t>
      </w:r>
      <w:proofErr w:type="gramStart"/>
      <w:r>
        <w:t>durchgeführt</w:t>
      </w:r>
      <w:proofErr w:type="gramEnd"/>
      <w:r>
        <w:t xml:space="preserve"> ohne dabei ein </w:t>
      </w:r>
      <w:proofErr w:type="spellStart"/>
      <w:r w:rsidRPr="00B03C96">
        <w:t>Mismatch</w:t>
      </w:r>
      <w:proofErr w:type="spellEnd"/>
      <w:r>
        <w:t xml:space="preserve"> festzustellen</w:t>
      </w:r>
      <w:r w:rsidRPr="00B03C96">
        <w:t>, die Nominierungsbestätigung (NOMRES) an den BKV versandt, jedoch keine oder eine falsche Allokation (ALOCAT) an den MGV versandt.</w:t>
      </w:r>
    </w:p>
    <w:p w14:paraId="2CB42256" w14:textId="25514B65" w:rsidR="00DF612D" w:rsidRDefault="00DF612D" w:rsidP="00E6394E">
      <w:r>
        <w:t>Sollte sich aus dem hier Vorstehenden ein Grund für ein Clearing ergeben, so gelten keine Grenzwerte, ab denen ein Clearing durchgeführt werden darf.</w:t>
      </w:r>
    </w:p>
    <w:p w14:paraId="3962396A" w14:textId="77777777" w:rsidR="00DF612D" w:rsidRPr="000014BB" w:rsidRDefault="00DF612D" w:rsidP="00E6394E">
      <w:pPr>
        <w:pStyle w:val="berschrift3"/>
        <w:tabs>
          <w:tab w:val="num" w:pos="-4820"/>
        </w:tabs>
        <w:spacing w:before="480"/>
        <w:ind w:left="981" w:hanging="941"/>
      </w:pPr>
      <w:bookmarkStart w:id="957" w:name="_Toc296694137"/>
      <w:bookmarkStart w:id="958" w:name="_Toc391540208"/>
      <w:bookmarkStart w:id="959" w:name="_Toc412661371"/>
      <w:bookmarkStart w:id="960" w:name="_Toc111118527"/>
      <w:r w:rsidRPr="000014BB">
        <w:t xml:space="preserve">Abwicklung des </w:t>
      </w:r>
      <w:r>
        <w:t>Allokationsc</w:t>
      </w:r>
      <w:r w:rsidRPr="000014BB">
        <w:t>learing</w:t>
      </w:r>
      <w:r>
        <w:t>s</w:t>
      </w:r>
      <w:bookmarkEnd w:id="954"/>
      <w:bookmarkEnd w:id="955"/>
      <w:bookmarkEnd w:id="956"/>
      <w:bookmarkEnd w:id="957"/>
      <w:r w:rsidR="00B80640">
        <w:t xml:space="preserve"> physischer Zeitreihentypen außer SLP</w:t>
      </w:r>
      <w:bookmarkEnd w:id="958"/>
      <w:bookmarkEnd w:id="959"/>
      <w:bookmarkEnd w:id="960"/>
    </w:p>
    <w:p w14:paraId="08416D61" w14:textId="597DEFF8" w:rsidR="008B680D" w:rsidRPr="0091441F" w:rsidRDefault="002A17C0" w:rsidP="00E6394E">
      <w:pPr>
        <w:rPr>
          <w:rFonts w:cs="Arial"/>
        </w:rPr>
      </w:pPr>
      <w:r w:rsidRPr="002A17C0">
        <w:t xml:space="preserve">Auslöser für den Clearingprozess kann der NB, der BKV oder der </w:t>
      </w:r>
      <w:r w:rsidR="00E930B9">
        <w:t>LF</w:t>
      </w:r>
      <w:r w:rsidRPr="002A17C0">
        <w:t xml:space="preserve"> sein. Um den Clearingprozess eindeutig zu gestalten, wird eine Clearingnummer </w:t>
      </w:r>
      <w:r w:rsidR="00902DAD">
        <w:t>verwendet</w:t>
      </w:r>
      <w:r w:rsidRPr="002A17C0">
        <w:t xml:space="preserve">. </w:t>
      </w:r>
      <w:r w:rsidR="00DE1507">
        <w:t xml:space="preserve">Es ist sicherzustellen, </w:t>
      </w:r>
      <w:r w:rsidR="00902DAD" w:rsidRPr="002A17C0">
        <w:t>dass der BKV immer in das Clearingverfahren involviert ist</w:t>
      </w:r>
      <w:r w:rsidR="001F0C49">
        <w:t>,</w:t>
      </w:r>
      <w:r w:rsidR="00902DAD" w:rsidRPr="002A17C0">
        <w:t xml:space="preserve"> unabhängig davon, wer das Clearingverfahren angestoßen hat.</w:t>
      </w:r>
      <w:r w:rsidR="001F0C49">
        <w:t xml:space="preserve"> </w:t>
      </w:r>
      <w:r w:rsidR="008B680D" w:rsidRPr="002A17C0">
        <w:t>Jede Clearingnummer darf nur entsprechend Ihrer Gültigkeit (</w:t>
      </w:r>
      <w:r w:rsidR="0091441F">
        <w:t>Clearingzeitraum</w:t>
      </w:r>
      <w:r w:rsidR="008B680D">
        <w:t>)</w:t>
      </w:r>
      <w:r w:rsidR="008B680D" w:rsidRPr="002A17C0">
        <w:t xml:space="preserve"> und nur einmal für einen BK/SBK, einen Zeitreihentyp und einen NB verwendet werden</w:t>
      </w:r>
      <w:r w:rsidR="0091441F">
        <w:t xml:space="preserve">. Im Falle des RLM-Clearings wird diese Clearingnummer sowohl </w:t>
      </w:r>
      <w:r w:rsidR="0091441F">
        <w:rPr>
          <w:rFonts w:cs="Arial"/>
        </w:rPr>
        <w:t xml:space="preserve">für den </w:t>
      </w:r>
      <w:proofErr w:type="spellStart"/>
      <w:r w:rsidR="0091441F">
        <w:rPr>
          <w:rFonts w:cs="Arial"/>
        </w:rPr>
        <w:t>geclearten</w:t>
      </w:r>
      <w:proofErr w:type="spellEnd"/>
      <w:r w:rsidR="0091441F">
        <w:rPr>
          <w:rFonts w:cs="Arial"/>
        </w:rPr>
        <w:t xml:space="preserve"> mit Bilanzierungsbrennwert umgewerteten RLM-Lastgang als auch für den </w:t>
      </w:r>
      <w:proofErr w:type="spellStart"/>
      <w:r w:rsidR="0091441F">
        <w:rPr>
          <w:rFonts w:cs="Arial"/>
        </w:rPr>
        <w:t>geclearten</w:t>
      </w:r>
      <w:proofErr w:type="spellEnd"/>
      <w:r w:rsidR="0091441F">
        <w:rPr>
          <w:rFonts w:cs="Arial"/>
        </w:rPr>
        <w:t xml:space="preserve"> mit Abrechnungsbrennwert umgewerteten RLM-Lastgang verwendet</w:t>
      </w:r>
      <w:r w:rsidR="008B680D" w:rsidRPr="002A17C0">
        <w:t xml:space="preserve">. </w:t>
      </w:r>
      <w:r w:rsidR="00B05FD4">
        <w:t xml:space="preserve">Für den Clearingzeitraum </w:t>
      </w:r>
      <w:r w:rsidR="008B680D" w:rsidRPr="002A17C0">
        <w:t>muss der korrigierte Allokationslastgang für genau diesen Zeitraum geschickt werden</w:t>
      </w:r>
      <w:r w:rsidR="001B638E">
        <w:t xml:space="preserve">, welcher den ursprünglichen Allokationslastgang </w:t>
      </w:r>
      <w:r w:rsidR="001F1FC8">
        <w:t xml:space="preserve">mit Korrekturen </w:t>
      </w:r>
      <w:r w:rsidR="001B638E">
        <w:t>berücksichtigt.</w:t>
      </w:r>
    </w:p>
    <w:p w14:paraId="510DDBDC" w14:textId="3AC633D0" w:rsidR="008B680D" w:rsidRPr="00A92A5E" w:rsidRDefault="008B680D" w:rsidP="00E6394E">
      <w:r>
        <w:t>Es wird unterschieden zwischen einem Allokationsclearing mit einer BKV-Clearingnummer und einem Allokationsclearing mit einer NB-Clearingnummer. Die C</w:t>
      </w:r>
      <w:r w:rsidRPr="002A17C0">
        <w:t xml:space="preserve">learingnummer verfällt entweder nach Versendung einer Clearingallokation oder nach Ablauf des Clearingzeitraums. Sofern der NB den Clearingprozess anstößt, teilt er den Clearingfall dem BKV mit, damit dieser wiederum die </w:t>
      </w:r>
      <w:r>
        <w:t>BKV-</w:t>
      </w:r>
      <w:r w:rsidRPr="002A17C0">
        <w:t>Clearingnummer vom MGV a</w:t>
      </w:r>
      <w:r>
        <w:t>n</w:t>
      </w:r>
      <w:r w:rsidRPr="002A17C0">
        <w:t>fordert und an den NB weitergeben kann.</w:t>
      </w:r>
    </w:p>
    <w:p w14:paraId="1BB8548D" w14:textId="292B8611" w:rsidR="008B680D" w:rsidRDefault="008B680D" w:rsidP="00E6394E">
      <w:r>
        <w:lastRenderedPageBreak/>
        <w:t xml:space="preserve">Die Ansprechpartner beim BKV und NB für Allokationsdaten werden vom MGV im Portal veröffentlicht. </w:t>
      </w:r>
      <w:r w:rsidRPr="00B36FF3">
        <w:t xml:space="preserve">In Abhängigkeit von den Ergebnissen der Abstimmung und der Prüfung durch den </w:t>
      </w:r>
      <w:r>
        <w:t>NB</w:t>
      </w:r>
      <w:r w:rsidRPr="00B36FF3">
        <w:t xml:space="preserve"> steht fest, welche Daten fehlerhaft sind. Der NB ermittelt entweder korrigierte Allokationslastgänge und/oder korrigierte Einzelabrechnungslastgänge und Einzelbilanzierungslastgänge. Eine Abstimmung zwischen den Marktpartnern (BKV, TK und NB) erfolgt unverzüglich. Bei einer Anpassung der Netznutzungsabrechnung wird keine Zustimmung des BKV benötigt. Sofern die Allokation fehlerhaft ist und angepasst werden muss, wird keine Zustimmung des TK</w:t>
      </w:r>
      <w:r w:rsidR="00E930B9">
        <w:t>/LF</w:t>
      </w:r>
      <w:r w:rsidRPr="00B36FF3">
        <w:t xml:space="preserve"> benötigt. In beiden Fällen muss der NB zustimmen. Wenn mehrere TK</w:t>
      </w:r>
      <w:r w:rsidR="00E930B9">
        <w:t>/LF</w:t>
      </w:r>
      <w:r w:rsidRPr="00B36FF3">
        <w:t xml:space="preserve"> und/oder BKV betroffen sind, müssen immer die betroffenen TK</w:t>
      </w:r>
      <w:r w:rsidR="00E930B9">
        <w:t>/LF</w:t>
      </w:r>
      <w:r w:rsidRPr="00B36FF3">
        <w:t xml:space="preserve"> bzw. BKV zustimmen. Der Teilnahme am Clearingprozess kann nur in begründeten Fällen widersprochen werden.</w:t>
      </w:r>
    </w:p>
    <w:p w14:paraId="09905F98" w14:textId="77777777" w:rsidR="008B680D" w:rsidRDefault="008B680D" w:rsidP="00E6394E">
      <w:r>
        <w:t>Sollte der MGV im Nachgang feststellen, dass ein Clearing unter Missachtung der Grenzwerte eingeleitet wurde, hat er das Recht, dieses wieder rückgängig zu machen, auch wenn die Bilanzkreisabrechnung bereits gelegt worden ist.</w:t>
      </w:r>
    </w:p>
    <w:p w14:paraId="02B010CE" w14:textId="77777777" w:rsidR="008B680D" w:rsidRDefault="008B680D" w:rsidP="00E6394E">
      <w:r w:rsidRPr="00905264">
        <w:t>Alle notwendigen Informationen werden unter der Clearingnummer abgelegt und nach dem Versand der Daten an den MGV gilt der Vorgang als abgeschlossen.</w:t>
      </w:r>
    </w:p>
    <w:p w14:paraId="3781665C" w14:textId="0D9727D3" w:rsidR="00E157A6" w:rsidRDefault="008B680D" w:rsidP="00E6394E">
      <w:r w:rsidRPr="006D21AA">
        <w:t xml:space="preserve">Die Clearingzeitreihe wird innerhalb von </w:t>
      </w:r>
      <w:r w:rsidR="00E0125E">
        <w:t>6</w:t>
      </w:r>
      <w:r w:rsidR="00E0125E" w:rsidRPr="006D21AA">
        <w:t xml:space="preserve"> </w:t>
      </w:r>
      <w:r w:rsidRPr="006D21AA">
        <w:t xml:space="preserve">Stunden </w:t>
      </w:r>
      <w:r>
        <w:t>nach Eingang der Clearing-ALOCAT</w:t>
      </w:r>
      <w:r w:rsidRPr="006D21AA">
        <w:t xml:space="preserve"> dem NB und </w:t>
      </w:r>
      <w:r>
        <w:t xml:space="preserve">dem </w:t>
      </w:r>
      <w:r w:rsidRPr="006D21AA">
        <w:t xml:space="preserve">BKV im Portal des MGV </w:t>
      </w:r>
      <w:r>
        <w:t xml:space="preserve">mit </w:t>
      </w:r>
      <w:r w:rsidRPr="006F403A">
        <w:t xml:space="preserve">strukturierten Stundenwerten oder als Tagesband </w:t>
      </w:r>
      <w:r w:rsidRPr="006D21AA">
        <w:t>angezeigt.</w:t>
      </w:r>
    </w:p>
    <w:p w14:paraId="7ADF758F" w14:textId="4A4A0E5D" w:rsidR="00D45796" w:rsidRDefault="00D45796" w:rsidP="00E6394E">
      <w:r>
        <w:t>Beim Clearingprozess für Leistungszeiträume vor dem 01.10.2021 müssen die jeweiligen Bilanzkreisnummer</w:t>
      </w:r>
      <w:r w:rsidR="0030180D">
        <w:t>n</w:t>
      </w:r>
      <w:r w:rsidRPr="00D45796">
        <w:t xml:space="preserve"> </w:t>
      </w:r>
      <w:r>
        <w:t>der Marktgebiete GASPOOL und NCG verwendet werden.</w:t>
      </w:r>
    </w:p>
    <w:p w14:paraId="7A40A1C0" w14:textId="37E4068C" w:rsidR="004611BF" w:rsidRDefault="002D63DD" w:rsidP="00E6394E">
      <w:pPr>
        <w:pStyle w:val="berschrift4"/>
        <w:tabs>
          <w:tab w:val="num" w:pos="1078"/>
        </w:tabs>
        <w:spacing w:line="300" w:lineRule="atLeast"/>
        <w:ind w:left="1106" w:hanging="1066"/>
      </w:pPr>
      <w:bookmarkStart w:id="961" w:name="_Toc412661372"/>
      <w:bookmarkStart w:id="962" w:name="_Toc111118528"/>
      <w:r>
        <w:t>Abwicklung mit BKV-Clearingnummer</w:t>
      </w:r>
      <w:r w:rsidR="00DB2F0B">
        <w:t xml:space="preserve"> </w:t>
      </w:r>
      <w:r>
        <w:t xml:space="preserve">(für </w:t>
      </w:r>
      <w:r w:rsidR="00C3457B">
        <w:t>RLM-</w:t>
      </w:r>
      <w:r>
        <w:t>Zeitreihen</w:t>
      </w:r>
      <w:r w:rsidR="00C3457B">
        <w:t xml:space="preserve">, Entry-Zeitreihen und </w:t>
      </w:r>
      <w:proofErr w:type="spellStart"/>
      <w:r w:rsidR="00C3457B">
        <w:t>Exit</w:t>
      </w:r>
      <w:r w:rsidR="00843F48">
        <w:t>s</w:t>
      </w:r>
      <w:r w:rsidR="00C3457B">
        <w:t>o</w:t>
      </w:r>
      <w:proofErr w:type="spellEnd"/>
      <w:r w:rsidR="00C3457B">
        <w:t>)</w:t>
      </w:r>
      <w:bookmarkEnd w:id="961"/>
      <w:bookmarkEnd w:id="962"/>
    </w:p>
    <w:p w14:paraId="1C8A3ACA" w14:textId="41DC089E" w:rsidR="004611BF" w:rsidRDefault="00DB2F0B" w:rsidP="00E6394E">
      <w:r w:rsidRPr="002A17C0">
        <w:t>Die</w:t>
      </w:r>
      <w:r>
        <w:t xml:space="preserve"> BKV-Clearingn</w:t>
      </w:r>
      <w:r w:rsidR="002A17C0" w:rsidRPr="002A17C0">
        <w:t>ummer erhält nur der BKV vom MGV</w:t>
      </w:r>
      <w:r w:rsidR="001F0C49">
        <w:t>. Damit wird gewährleistet, dass die Daten zwischen NB und BKV</w:t>
      </w:r>
      <w:r w:rsidR="001F0C49" w:rsidRPr="002A17C0">
        <w:t xml:space="preserve"> abgestimmt w</w:t>
      </w:r>
      <w:r w:rsidR="001F0C49">
        <w:t xml:space="preserve">urden. </w:t>
      </w:r>
      <w:r w:rsidR="001C2456" w:rsidRPr="002A17C0">
        <w:t xml:space="preserve">Nach Anforderung einer Clearingnummer durch den BKV, wird der betroffene NB vom MGV über diesen Vorgang informiert. Der MGV übersendet die Details des Clearingvorgangs – bis auf die </w:t>
      </w:r>
      <w:r w:rsidR="001C2456">
        <w:t>BKV-</w:t>
      </w:r>
      <w:r w:rsidR="001C2456" w:rsidRPr="002A17C0">
        <w:t>Clearingnummer – die BK/SBK-Nummer, Zeitraum und Zeitreihentyp an den NB. Der BKV übermittelt die Clearingnummer erst nach der erfolgten Klärung des Clearingsachverhaltes an den NB.</w:t>
      </w:r>
    </w:p>
    <w:p w14:paraId="7DFE0A8E" w14:textId="786911C0" w:rsidR="00284F3C" w:rsidRDefault="00284F3C" w:rsidP="00E6394E">
      <w:r w:rsidRPr="00B55A88">
        <w:t xml:space="preserve">Erst </w:t>
      </w:r>
      <w:r w:rsidRPr="00B55A88">
        <w:rPr>
          <w:u w:val="single"/>
        </w:rPr>
        <w:t>nach erfolgter Abstimmung</w:t>
      </w:r>
      <w:r>
        <w:t xml:space="preserve"> und den notwendigen Zustimmungen der vom Clearing betroffenen Marktpartner übermittelt der NB dem </w:t>
      </w:r>
      <w:r w:rsidRPr="00BD4340">
        <w:rPr>
          <w:rFonts w:cs="Arial"/>
        </w:rPr>
        <w:t>MG</w:t>
      </w:r>
      <w:r w:rsidR="00A21571">
        <w:rPr>
          <w:rFonts w:cs="Arial"/>
        </w:rPr>
        <w:t xml:space="preserve">V </w:t>
      </w:r>
      <w:r w:rsidR="00B05FD4">
        <w:rPr>
          <w:rFonts w:cs="Arial"/>
        </w:rPr>
        <w:t xml:space="preserve">die </w:t>
      </w:r>
      <w:r w:rsidR="00A21571">
        <w:rPr>
          <w:rFonts w:cs="Arial"/>
        </w:rPr>
        <w:t>Clearing-ALOCAT</w:t>
      </w:r>
      <w:r w:rsidRPr="00BD4340">
        <w:rPr>
          <w:rFonts w:cs="Arial"/>
        </w:rPr>
        <w:t xml:space="preserve">, in der die vom BKV ihm mitgeteilte Clearingnummer </w:t>
      </w:r>
      <w:r w:rsidR="00B05FD4">
        <w:rPr>
          <w:rFonts w:cs="Arial"/>
        </w:rPr>
        <w:t>enthalten</w:t>
      </w:r>
      <w:r w:rsidR="00B05FD4" w:rsidRPr="00BD4340">
        <w:rPr>
          <w:rFonts w:cs="Arial"/>
        </w:rPr>
        <w:t xml:space="preserve"> </w:t>
      </w:r>
      <w:r w:rsidRPr="00BD4340">
        <w:rPr>
          <w:rFonts w:cs="Arial"/>
        </w:rPr>
        <w:t xml:space="preserve">ist. </w:t>
      </w:r>
      <w:r w:rsidR="001F0C49">
        <w:rPr>
          <w:rFonts w:cs="Arial"/>
        </w:rPr>
        <w:t>Bei einem RLM-Allokations</w:t>
      </w:r>
      <w:r w:rsidR="002E4262" w:rsidRPr="00431F7C">
        <w:rPr>
          <w:rFonts w:cs="Arial"/>
        </w:rPr>
        <w:t>c</w:t>
      </w:r>
      <w:r w:rsidR="001F0C49">
        <w:rPr>
          <w:rFonts w:cs="Arial"/>
        </w:rPr>
        <w:t>l</w:t>
      </w:r>
      <w:r w:rsidR="002E4262" w:rsidRPr="00431F7C">
        <w:rPr>
          <w:rFonts w:cs="Arial"/>
        </w:rPr>
        <w:t xml:space="preserve">earing übermittelt der </w:t>
      </w:r>
      <w:r w:rsidR="004F593C">
        <w:rPr>
          <w:rFonts w:cs="Arial"/>
        </w:rPr>
        <w:t>NB</w:t>
      </w:r>
      <w:r w:rsidR="002E4262" w:rsidRPr="00431F7C">
        <w:rPr>
          <w:rFonts w:cs="Arial"/>
        </w:rPr>
        <w:t xml:space="preserve"> dem </w:t>
      </w:r>
      <w:r w:rsidR="004F593C">
        <w:rPr>
          <w:rFonts w:cs="Arial"/>
        </w:rPr>
        <w:t>MGV</w:t>
      </w:r>
      <w:r w:rsidR="004F593C" w:rsidRPr="00431F7C">
        <w:rPr>
          <w:rFonts w:cs="Arial"/>
        </w:rPr>
        <w:t xml:space="preserve"> </w:t>
      </w:r>
      <w:r w:rsidR="002E4262" w:rsidRPr="00431F7C">
        <w:rPr>
          <w:rFonts w:cs="Arial"/>
        </w:rPr>
        <w:t>die C</w:t>
      </w:r>
      <w:r w:rsidR="001F0C49">
        <w:rPr>
          <w:rFonts w:cs="Arial"/>
        </w:rPr>
        <w:t>learing</w:t>
      </w:r>
      <w:r w:rsidR="002E4262" w:rsidRPr="00431F7C">
        <w:rPr>
          <w:rFonts w:cs="Arial"/>
        </w:rPr>
        <w:t xml:space="preserve">-ALOCAT-Nachrichten mit der mitgeteilten Clearingnummer sowohl für die </w:t>
      </w:r>
      <w:proofErr w:type="spellStart"/>
      <w:r w:rsidR="002E4262" w:rsidRPr="00431F7C">
        <w:rPr>
          <w:rFonts w:cs="Arial"/>
        </w:rPr>
        <w:t>geclearte</w:t>
      </w:r>
      <w:proofErr w:type="spellEnd"/>
      <w:r w:rsidR="002E4262" w:rsidRPr="00431F7C">
        <w:rPr>
          <w:rFonts w:cs="Arial"/>
        </w:rPr>
        <w:t xml:space="preserve"> mit Bilanzierungsbrennwert umgewertete RLM-Zeitreihe als auch für die </w:t>
      </w:r>
      <w:proofErr w:type="spellStart"/>
      <w:r w:rsidR="002E4262" w:rsidRPr="00431F7C">
        <w:rPr>
          <w:rFonts w:cs="Arial"/>
        </w:rPr>
        <w:t>geclearte</w:t>
      </w:r>
      <w:proofErr w:type="spellEnd"/>
      <w:r w:rsidR="002E4262" w:rsidRPr="00431F7C">
        <w:rPr>
          <w:rFonts w:cs="Arial"/>
        </w:rPr>
        <w:t xml:space="preserve"> mit Abrechnungsbrennwert umgewertete RLM-Zeitreihe. Nur wenn beide ALOCAT-Nachrichten v</w:t>
      </w:r>
      <w:r w:rsidR="001F0C49">
        <w:rPr>
          <w:rFonts w:cs="Arial"/>
        </w:rPr>
        <w:t xml:space="preserve">orliegen, verarbeitet der </w:t>
      </w:r>
      <w:r w:rsidR="004F593C">
        <w:rPr>
          <w:rFonts w:cs="Arial"/>
        </w:rPr>
        <w:t>MGV</w:t>
      </w:r>
      <w:r w:rsidR="004F593C" w:rsidRPr="00431F7C">
        <w:rPr>
          <w:rFonts w:cs="Arial"/>
        </w:rPr>
        <w:t xml:space="preserve"> </w:t>
      </w:r>
      <w:r w:rsidR="002E4262" w:rsidRPr="00431F7C">
        <w:rPr>
          <w:rFonts w:cs="Arial"/>
        </w:rPr>
        <w:t>die ALOCAT-Nachrichten. Ein RLM-Clearing, für das nur eine der beiden Nachrichten (Bilanzierungs- und Abrechnungsbrennwert)</w:t>
      </w:r>
      <w:r w:rsidR="001F0C49">
        <w:rPr>
          <w:rFonts w:cs="Arial"/>
        </w:rPr>
        <w:t xml:space="preserve"> beim MGV</w:t>
      </w:r>
      <w:r w:rsidR="002E4262" w:rsidRPr="00431F7C">
        <w:rPr>
          <w:rFonts w:cs="Arial"/>
        </w:rPr>
        <w:t xml:space="preserve"> vorliegt, wird nicht durchgeführt.</w:t>
      </w:r>
      <w:r w:rsidR="00CF318B">
        <w:rPr>
          <w:rFonts w:cs="Arial"/>
        </w:rPr>
        <w:t xml:space="preserve"> </w:t>
      </w:r>
      <w:r w:rsidRPr="00BD4340">
        <w:rPr>
          <w:rFonts w:cs="Arial"/>
        </w:rPr>
        <w:t>Allokationen von RLM-</w:t>
      </w:r>
      <w:r w:rsidR="00E930B9">
        <w:rPr>
          <w:rFonts w:cs="Arial"/>
        </w:rPr>
        <w:lastRenderedPageBreak/>
        <w:t>Marktlokationen</w:t>
      </w:r>
      <w:r w:rsidRPr="00BD4340">
        <w:rPr>
          <w:rFonts w:cs="Arial"/>
        </w:rPr>
        <w:t>, die</w:t>
      </w:r>
      <w:r>
        <w:rPr>
          <w:rFonts w:cs="Arial"/>
        </w:rPr>
        <w:t xml:space="preserve"> bis </w:t>
      </w:r>
      <w:r w:rsidRPr="00BD4340">
        <w:rPr>
          <w:rFonts w:cs="Arial"/>
        </w:rPr>
        <w:t xml:space="preserve">M+12 WT versendet werden, dürfen keine Clearingnummer enthalten, da diese vom MGV abgelehnt werden. Allokationen mit Clearingnummern, die </w:t>
      </w:r>
      <w:r>
        <w:rPr>
          <w:rFonts w:cs="Arial"/>
        </w:rPr>
        <w:t>vor dem M+14.</w:t>
      </w:r>
      <w:r w:rsidRPr="00BD4340">
        <w:rPr>
          <w:rFonts w:cs="Arial"/>
        </w:rPr>
        <w:t xml:space="preserve"> WT beim MGV</w:t>
      </w:r>
      <w:r>
        <w:t xml:space="preserve"> eingehen, werden abgelehnt.</w:t>
      </w:r>
    </w:p>
    <w:p w14:paraId="15E7EC1D" w14:textId="77777777" w:rsidR="00284F3C" w:rsidRDefault="00284F3C" w:rsidP="00E6394E">
      <w:r>
        <w:t>Durch den Eingang der Clearing-ALOCAT</w:t>
      </w:r>
      <w:r w:rsidR="00B05FD4">
        <w:t>-Nachrichten</w:t>
      </w:r>
      <w:r>
        <w:t xml:space="preserve"> weiß der MGV, dass das Clearing zwischen </w:t>
      </w:r>
      <w:r w:rsidR="00B05FD4">
        <w:t xml:space="preserve">den betroffenen </w:t>
      </w:r>
      <w:r>
        <w:t>Marktpartner</w:t>
      </w:r>
      <w:r w:rsidR="00B05FD4">
        <w:t>n</w:t>
      </w:r>
      <w:r>
        <w:t xml:space="preserve"> einvernehmlich abgeschlossen ist. Der MGV ermittelt daraus einen neuen Allokationslastgang und übermittelt diesen dem BKV unter Angabe der </w:t>
      </w:r>
      <w:r w:rsidR="008B680D">
        <w:t>BKV-</w:t>
      </w:r>
      <w:r>
        <w:t xml:space="preserve">Clearingnummer bis spätestens 24 Stunden nach </w:t>
      </w:r>
      <w:r w:rsidR="00E8490F">
        <w:t>Eingang der Clearing-ALOCAT</w:t>
      </w:r>
      <w:r>
        <w:t xml:space="preserve">. </w:t>
      </w:r>
      <w:r w:rsidR="006F403A" w:rsidRPr="006F403A">
        <w:t>Dieser Lastgang kann mit strukturierten Stundenwerten oder als Tagesband vom MGV an den BKV übermittelt werden.</w:t>
      </w:r>
    </w:p>
    <w:p w14:paraId="7D59D831" w14:textId="77777777" w:rsidR="00284F3C" w:rsidRDefault="00284F3C" w:rsidP="00E6394E">
      <w:r>
        <w:t>Sofern der BK/SBK zuvor noch nicht deklariert wurde, erfolgt dies spätestens 2 WT vor Versand der Clearingallokation.</w:t>
      </w:r>
    </w:p>
    <w:p w14:paraId="7AC7D0D3" w14:textId="1DBBD7D8" w:rsidR="00AF5747" w:rsidRDefault="00284F3C" w:rsidP="00AF5747">
      <w:r>
        <w:t xml:space="preserve">Der MGV ist nicht verpflichtet, weitere Prüfschritte mit Hilfe der </w:t>
      </w:r>
      <w:r w:rsidR="008B680D">
        <w:t>BKV-</w:t>
      </w:r>
      <w:r>
        <w:t>Clearingnummer durchzuführen.</w:t>
      </w:r>
      <w:r w:rsidRPr="00367FDC">
        <w:t xml:space="preserve"> </w:t>
      </w:r>
      <w:r>
        <w:t>Sowohl BKV, TK</w:t>
      </w:r>
      <w:r w:rsidR="00E930B9">
        <w:t>/LF</w:t>
      </w:r>
      <w:r>
        <w:t xml:space="preserve"> als auch der beteiligte NB sind dazu angehalten, die Regeln und Grenzwerte zu prüfen und einzuhalten. BKV und TK</w:t>
      </w:r>
      <w:r w:rsidR="00E930B9">
        <w:t>/LF</w:t>
      </w:r>
      <w:r>
        <w:t xml:space="preserve"> müssen in direktem Kontakt miteinander stehen, um die evtl. aufgetretenen Differenzen festzustellen. Zudem muss der Prozess sehr schnell nach Erhalt der Daten angestoßen werden, um innerhalb des Clearingfensters abgewickelt werden zu können. </w:t>
      </w:r>
      <w:r w:rsidR="00525845">
        <w:t xml:space="preserve">Für den Fall, dass der Bilanzkreisverantwortliche erst am letzten Tag der Clearingfrist das Clearing gegenüber dem </w:t>
      </w:r>
      <w:r w:rsidR="0071541D">
        <w:t>NB</w:t>
      </w:r>
      <w:r w:rsidR="00525845">
        <w:t xml:space="preserve"> angestoßen hat, kann der </w:t>
      </w:r>
      <w:r w:rsidR="0071541D">
        <w:t>NB</w:t>
      </w:r>
      <w:r w:rsidR="00525845">
        <w:t xml:space="preserve"> die Bearbeitung des Clearingfalles ablehnen, wenn ihm die Bearbeitung und Zusendung einer </w:t>
      </w:r>
      <w:r w:rsidR="00A21571">
        <w:t>Clearing-ALOCAT</w:t>
      </w:r>
      <w:r w:rsidR="00525845">
        <w:t xml:space="preserve"> an den </w:t>
      </w:r>
      <w:r w:rsidR="004F593C">
        <w:t xml:space="preserve">MGV </w:t>
      </w:r>
      <w:r w:rsidR="00525845">
        <w:t>bis zum Ablauf der Frist M+2 Monate minus 10 Werktage nicht mehr zumutbar ist</w:t>
      </w:r>
      <w:r w:rsidR="00A21571">
        <w:t>.</w:t>
      </w:r>
    </w:p>
    <w:p w14:paraId="5EA326C3" w14:textId="77777777" w:rsidR="00C3457B" w:rsidRDefault="00C3457B" w:rsidP="00D435A8">
      <w:pPr>
        <w:pStyle w:val="berschrift4"/>
        <w:tabs>
          <w:tab w:val="num" w:pos="1078"/>
        </w:tabs>
        <w:spacing w:line="300" w:lineRule="atLeast"/>
        <w:ind w:left="1106" w:hanging="1066"/>
      </w:pPr>
      <w:bookmarkStart w:id="963" w:name="_Toc412661373"/>
      <w:bookmarkStart w:id="964" w:name="_Toc111118529"/>
      <w:r>
        <w:t>Abwicklung mit NB-Clearingnummer (für RLM-Zeitreihen)</w:t>
      </w:r>
      <w:bookmarkEnd w:id="963"/>
      <w:bookmarkEnd w:id="964"/>
      <w:r>
        <w:t xml:space="preserve"> </w:t>
      </w:r>
    </w:p>
    <w:p w14:paraId="3412E746" w14:textId="5E2A5B71" w:rsidR="004611BF" w:rsidRDefault="009A14BF" w:rsidP="00D435A8">
      <w:r>
        <w:t xml:space="preserve">Sollte der </w:t>
      </w:r>
      <w:r w:rsidR="002D63DD">
        <w:t>BKV</w:t>
      </w:r>
      <w:r>
        <w:t xml:space="preserve"> dem </w:t>
      </w:r>
      <w:r w:rsidR="002D63DD">
        <w:t>NB</w:t>
      </w:r>
      <w:r>
        <w:t xml:space="preserve"> keine Clearingnummer für das Clearing der RLM-Zeitreihe</w:t>
      </w:r>
      <w:r w:rsidR="00222265">
        <w:t>n</w:t>
      </w:r>
      <w:r>
        <w:t xml:space="preserve"> übermitteln, so kann der </w:t>
      </w:r>
      <w:r w:rsidR="002D63DD">
        <w:t>NB</w:t>
      </w:r>
      <w:r>
        <w:t xml:space="preserve"> beim MGV eine Netzbetreiber-Clearingnummer anfordern. </w:t>
      </w:r>
      <w:r w:rsidR="001C2456" w:rsidRPr="002A17C0">
        <w:t xml:space="preserve">Nach Anforderung einer Clearingnummer durch den </w:t>
      </w:r>
      <w:r w:rsidR="001C2456">
        <w:t>NB</w:t>
      </w:r>
      <w:r w:rsidR="001C2456" w:rsidRPr="002A17C0">
        <w:t>, wird der betroffene B</w:t>
      </w:r>
      <w:r w:rsidR="001C2456">
        <w:t>KV</w:t>
      </w:r>
      <w:r w:rsidR="001C2456" w:rsidRPr="002A17C0">
        <w:t xml:space="preserve"> vom MGV über diesen Vorgang informiert. Der MGV übersendet </w:t>
      </w:r>
      <w:r w:rsidR="001C2456">
        <w:t>Netzkonto</w:t>
      </w:r>
      <w:r w:rsidR="001C2456" w:rsidRPr="002A17C0">
        <w:t>-</w:t>
      </w:r>
      <w:r w:rsidR="004B6BE0">
        <w:t xml:space="preserve"> und Bilanzkreisn</w:t>
      </w:r>
      <w:r w:rsidR="001C2456" w:rsidRPr="002A17C0">
        <w:t>ummer, Zeitraum und Zeitreihentyp an den B</w:t>
      </w:r>
      <w:r w:rsidR="001C2456">
        <w:t xml:space="preserve">KV. </w:t>
      </w:r>
      <w:r w:rsidR="00E507E6">
        <w:t>D</w:t>
      </w:r>
      <w:r>
        <w:t xml:space="preserve">er </w:t>
      </w:r>
      <w:r w:rsidR="002D63DD">
        <w:t>NB</w:t>
      </w:r>
      <w:r>
        <w:t xml:space="preserve"> </w:t>
      </w:r>
      <w:r w:rsidR="00E507E6">
        <w:t>übermittelt</w:t>
      </w:r>
      <w:r w:rsidR="004B6BE0">
        <w:t xml:space="preserve"> </w:t>
      </w:r>
      <w:r>
        <w:t xml:space="preserve">dem </w:t>
      </w:r>
      <w:r w:rsidR="002D63DD">
        <w:t>MGV</w:t>
      </w:r>
      <w:r>
        <w:t xml:space="preserve"> </w:t>
      </w:r>
      <w:r w:rsidR="00222265">
        <w:rPr>
          <w:rFonts w:cs="Arial"/>
        </w:rPr>
        <w:t>die</w:t>
      </w:r>
      <w:r w:rsidR="00CF318B">
        <w:rPr>
          <w:rFonts w:cs="Arial"/>
        </w:rPr>
        <w:t xml:space="preserve"> Clearing-ALOCAT</w:t>
      </w:r>
      <w:r w:rsidR="00222265">
        <w:rPr>
          <w:rFonts w:cs="Arial"/>
        </w:rPr>
        <w:t>-Nachrichten</w:t>
      </w:r>
      <w:r w:rsidR="00CF318B">
        <w:rPr>
          <w:rFonts w:cs="Arial"/>
        </w:rPr>
        <w:t xml:space="preserve"> mit der </w:t>
      </w:r>
      <w:r w:rsidR="002D63DD">
        <w:rPr>
          <w:rFonts w:cs="Arial"/>
        </w:rPr>
        <w:t>NB-</w:t>
      </w:r>
      <w:r w:rsidR="00CF318B">
        <w:rPr>
          <w:rFonts w:cs="Arial"/>
        </w:rPr>
        <w:t xml:space="preserve">Clearingnummer sowohl für den </w:t>
      </w:r>
      <w:proofErr w:type="spellStart"/>
      <w:r w:rsidR="00CF318B">
        <w:rPr>
          <w:rFonts w:cs="Arial"/>
        </w:rPr>
        <w:t>geclearten</w:t>
      </w:r>
      <w:proofErr w:type="spellEnd"/>
      <w:r w:rsidR="00CF318B">
        <w:rPr>
          <w:rFonts w:cs="Arial"/>
        </w:rPr>
        <w:t xml:space="preserve"> mit Bilanzierungsbrennwert umgewerteten </w:t>
      </w:r>
      <w:r w:rsidR="00222265">
        <w:rPr>
          <w:rFonts w:cs="Arial"/>
        </w:rPr>
        <w:t>RLM-</w:t>
      </w:r>
      <w:r w:rsidR="00CF318B">
        <w:rPr>
          <w:rFonts w:cs="Arial"/>
        </w:rPr>
        <w:t xml:space="preserve">Lastgang als auch für den </w:t>
      </w:r>
      <w:proofErr w:type="spellStart"/>
      <w:r w:rsidR="00CF318B">
        <w:rPr>
          <w:rFonts w:cs="Arial"/>
        </w:rPr>
        <w:t>geclearten</w:t>
      </w:r>
      <w:proofErr w:type="spellEnd"/>
      <w:r w:rsidR="00CF318B">
        <w:rPr>
          <w:rFonts w:cs="Arial"/>
        </w:rPr>
        <w:t xml:space="preserve"> mit Abrechnungsbrennwert umgewerteten </w:t>
      </w:r>
      <w:r w:rsidR="00222265">
        <w:rPr>
          <w:rFonts w:cs="Arial"/>
        </w:rPr>
        <w:t>RLM-</w:t>
      </w:r>
      <w:r w:rsidR="00CF318B">
        <w:rPr>
          <w:rFonts w:cs="Arial"/>
        </w:rPr>
        <w:t xml:space="preserve">Lastgang. </w:t>
      </w:r>
      <w:r w:rsidR="00332066" w:rsidRPr="00431F7C">
        <w:rPr>
          <w:rFonts w:cs="Arial"/>
        </w:rPr>
        <w:t>Nur wenn beide ALOCAT-Nachrichten v</w:t>
      </w:r>
      <w:r w:rsidR="00332066">
        <w:rPr>
          <w:rFonts w:cs="Arial"/>
        </w:rPr>
        <w:t xml:space="preserve">orliegen, verarbeitet der </w:t>
      </w:r>
      <w:r w:rsidR="004F593C">
        <w:rPr>
          <w:rFonts w:cs="Arial"/>
        </w:rPr>
        <w:t>MGV</w:t>
      </w:r>
      <w:r w:rsidR="004F593C" w:rsidRPr="00431F7C">
        <w:rPr>
          <w:rFonts w:cs="Arial"/>
        </w:rPr>
        <w:t xml:space="preserve"> </w:t>
      </w:r>
      <w:r w:rsidR="00332066" w:rsidRPr="00431F7C">
        <w:rPr>
          <w:rFonts w:cs="Arial"/>
        </w:rPr>
        <w:t>die ALOCAT-Nachrichten. Ein RLM-Clearing, für das nur eine der beiden Nachrichten (Bilanzierungs- und Abrechnungsbrennwert)</w:t>
      </w:r>
      <w:r w:rsidR="00332066">
        <w:rPr>
          <w:rFonts w:cs="Arial"/>
        </w:rPr>
        <w:t xml:space="preserve"> beim MGV</w:t>
      </w:r>
      <w:r w:rsidR="00332066" w:rsidRPr="00431F7C">
        <w:rPr>
          <w:rFonts w:cs="Arial"/>
        </w:rPr>
        <w:t xml:space="preserve"> vorliegt, wird nicht durchgeführt.</w:t>
      </w:r>
      <w:r w:rsidR="00332066">
        <w:rPr>
          <w:rFonts w:cs="Arial"/>
        </w:rPr>
        <w:t xml:space="preserve"> </w:t>
      </w:r>
      <w:r w:rsidR="00F25F9E" w:rsidRPr="00F25F9E">
        <w:t xml:space="preserve">Der MGV zieht für die Bilanzierung </w:t>
      </w:r>
      <w:r w:rsidR="00E507E6">
        <w:t>nur die</w:t>
      </w:r>
      <w:r w:rsidR="00E507E6" w:rsidRPr="00F25F9E">
        <w:t xml:space="preserve"> </w:t>
      </w:r>
      <w:r w:rsidR="00F25F9E" w:rsidRPr="00F25F9E">
        <w:t>Clearing</w:t>
      </w:r>
      <w:r w:rsidR="002D63DD">
        <w:t>-</w:t>
      </w:r>
      <w:r w:rsidR="00F25F9E" w:rsidRPr="00F25F9E">
        <w:t>ALOCAT</w:t>
      </w:r>
      <w:r w:rsidR="00E507E6">
        <w:t>-Nachricht</w:t>
      </w:r>
      <w:r w:rsidR="00F25F9E" w:rsidRPr="00F25F9E">
        <w:t xml:space="preserve"> mit </w:t>
      </w:r>
      <w:r w:rsidR="002D63DD">
        <w:t>NB-</w:t>
      </w:r>
      <w:r w:rsidR="00F25F9E" w:rsidRPr="00F25F9E">
        <w:t>Clearingnummer</w:t>
      </w:r>
      <w:r w:rsidR="00E507E6">
        <w:t xml:space="preserve"> heran, welche</w:t>
      </w:r>
      <w:r w:rsidR="00F25F9E" w:rsidRPr="00F25F9E">
        <w:t xml:space="preserve"> die mit Abrechnungsbrennwert bewerte</w:t>
      </w:r>
      <w:r w:rsidR="00E930B9">
        <w:t>te</w:t>
      </w:r>
      <w:r w:rsidR="00F25F9E" w:rsidRPr="00F25F9E">
        <w:t xml:space="preserve"> Menge </w:t>
      </w:r>
      <w:r w:rsidR="00E507E6">
        <w:t>enthält</w:t>
      </w:r>
      <w:r w:rsidR="00332066">
        <w:t xml:space="preserve"> und sendet nur diese an den BKV</w:t>
      </w:r>
      <w:r w:rsidR="00F25F9E" w:rsidRPr="00F25F9E">
        <w:t>.</w:t>
      </w:r>
    </w:p>
    <w:p w14:paraId="543F3980" w14:textId="77777777" w:rsidR="00E507E6" w:rsidRDefault="00E507E6" w:rsidP="00D435A8">
      <w:r w:rsidRPr="00807D1C">
        <w:t xml:space="preserve">Für den Fall, dass ein Clearingvorgang ausschließlich mit einer </w:t>
      </w:r>
      <w:r w:rsidR="00AD75F2">
        <w:t>NB</w:t>
      </w:r>
      <w:r w:rsidRPr="00807D1C">
        <w:t xml:space="preserve">-Clearingnummer durchgeführt wurde, verwendet der </w:t>
      </w:r>
      <w:r w:rsidR="00AD75F2">
        <w:t>MGV</w:t>
      </w:r>
      <w:r w:rsidR="00AD75F2" w:rsidRPr="00807D1C">
        <w:t xml:space="preserve"> </w:t>
      </w:r>
      <w:r w:rsidRPr="00807D1C">
        <w:t xml:space="preserve">die bereits vorliegende mit </w:t>
      </w:r>
      <w:r w:rsidRPr="00807D1C">
        <w:lastRenderedPageBreak/>
        <w:t>Bilanzierungsbrennwert umgewertete Menge (D+1 oder M+12 WT)</w:t>
      </w:r>
      <w:r w:rsidR="00332066">
        <w:t xml:space="preserve"> und die mit Abrechnungsbrennwert umgewertete Menge aus der zuletzt gesendeten Nachricht</w:t>
      </w:r>
      <w:r w:rsidRPr="00807D1C">
        <w:t>.</w:t>
      </w:r>
    </w:p>
    <w:p w14:paraId="188DD1DF" w14:textId="03D87FC8" w:rsidR="00E157A6" w:rsidRDefault="00E507E6" w:rsidP="00D435A8">
      <w:r w:rsidRPr="00807D1C">
        <w:t>Für den Fall, dass ein Clearingvorgang mindestens</w:t>
      </w:r>
      <w:r w:rsidR="00332066">
        <w:t xml:space="preserve"> mit einer</w:t>
      </w:r>
      <w:r w:rsidRPr="00807D1C">
        <w:t xml:space="preserve"> </w:t>
      </w:r>
      <w:r w:rsidR="00AD75F2">
        <w:t>BKV</w:t>
      </w:r>
      <w:r w:rsidRPr="00807D1C">
        <w:t xml:space="preserve">-Clearingnummer und </w:t>
      </w:r>
      <w:r w:rsidR="00332066">
        <w:t xml:space="preserve">mit </w:t>
      </w:r>
      <w:r w:rsidR="009017F6">
        <w:t xml:space="preserve">mindestens </w:t>
      </w:r>
      <w:r w:rsidRPr="00807D1C">
        <w:t>ein</w:t>
      </w:r>
      <w:r w:rsidR="00332066">
        <w:t>er</w:t>
      </w:r>
      <w:r w:rsidRPr="00807D1C">
        <w:t xml:space="preserve"> </w:t>
      </w:r>
      <w:r w:rsidR="00AD75F2">
        <w:t>NB</w:t>
      </w:r>
      <w:r w:rsidRPr="00807D1C">
        <w:t>-Clearingnummer durchgeführt wurde, ve</w:t>
      </w:r>
      <w:r>
        <w:t>r</w:t>
      </w:r>
      <w:r w:rsidRPr="00807D1C">
        <w:t xml:space="preserve">wendet der </w:t>
      </w:r>
      <w:r w:rsidR="004F593C">
        <w:t>MGV</w:t>
      </w:r>
      <w:r w:rsidR="004F593C" w:rsidRPr="00807D1C">
        <w:t xml:space="preserve"> </w:t>
      </w:r>
      <w:r w:rsidRPr="00807D1C">
        <w:t xml:space="preserve">die mit Bilanzierungsbrennwert umgewertete Menge, die zuletzt mit </w:t>
      </w:r>
      <w:r w:rsidR="009017F6">
        <w:t>einer</w:t>
      </w:r>
      <w:r w:rsidR="009017F6" w:rsidRPr="00807D1C">
        <w:t xml:space="preserve"> </w:t>
      </w:r>
      <w:r w:rsidRPr="00807D1C">
        <w:t>Bilanzkreisverantwortlichen-Clearingnummer geschickt wurde und die mit Abrechnungsbrennwert umgewertete Menge aus der zuletzt gesendeten Nac</w:t>
      </w:r>
      <w:r>
        <w:t>h</w:t>
      </w:r>
      <w:r w:rsidRPr="00807D1C">
        <w:t>richt.</w:t>
      </w:r>
    </w:p>
    <w:p w14:paraId="13B920D8" w14:textId="77777777" w:rsidR="007E05AB" w:rsidRDefault="0031461B" w:rsidP="00D435A8">
      <w:pPr>
        <w:pStyle w:val="berschrift2"/>
        <w:spacing w:before="480"/>
        <w:ind w:left="567" w:hanging="567"/>
      </w:pPr>
      <w:bookmarkStart w:id="965" w:name="_Ref381028482"/>
      <w:bookmarkStart w:id="966" w:name="_Toc391540209"/>
      <w:bookmarkStart w:id="967" w:name="_Toc412661374"/>
      <w:bookmarkStart w:id="968" w:name="_Toc111118530"/>
      <w:r>
        <w:t>Nachträgliche Allokationskorrektur</w:t>
      </w:r>
      <w:bookmarkEnd w:id="965"/>
      <w:bookmarkEnd w:id="966"/>
      <w:bookmarkEnd w:id="967"/>
      <w:bookmarkEnd w:id="968"/>
    </w:p>
    <w:p w14:paraId="402DC739" w14:textId="77777777" w:rsidR="0031461B" w:rsidRDefault="0031461B" w:rsidP="00D435A8">
      <w:r w:rsidRPr="00A06068">
        <w:t xml:space="preserve">Erfolgt innerhalb </w:t>
      </w:r>
      <w:r>
        <w:t>der Clearingfrist</w:t>
      </w:r>
      <w:r w:rsidRPr="00A06068">
        <w:t xml:space="preserve"> </w:t>
      </w:r>
      <w:r>
        <w:t xml:space="preserve">(bis M+2M-10WT) </w:t>
      </w:r>
      <w:r w:rsidRPr="00A06068">
        <w:t xml:space="preserve">keine Beanstandung der Allokationswerte durch den </w:t>
      </w:r>
      <w:r w:rsidR="00E9291E">
        <w:t xml:space="preserve">BKV </w:t>
      </w:r>
      <w:r>
        <w:t xml:space="preserve">oder </w:t>
      </w:r>
      <w:r w:rsidR="0071541D">
        <w:t>NB</w:t>
      </w:r>
      <w:r w:rsidRPr="00A06068">
        <w:t xml:space="preserve">, so gelten die Allokationswerte als einvernehmliche Grundlage für die spätere Abrechnung durch den </w:t>
      </w:r>
      <w:r w:rsidR="00E9291E">
        <w:t>MGV</w:t>
      </w:r>
      <w:r>
        <w:t>.</w:t>
      </w:r>
    </w:p>
    <w:p w14:paraId="3740BDDC" w14:textId="0BDBB8D5" w:rsidR="0031461B" w:rsidRDefault="0031461B" w:rsidP="00D435A8">
      <w:r w:rsidRPr="00EC22B2">
        <w:t xml:space="preserve">Bei Allokationsfehlern eines </w:t>
      </w:r>
      <w:r w:rsidR="0071541D">
        <w:t>NB</w:t>
      </w:r>
      <w:r w:rsidR="0071541D" w:rsidRPr="00EC22B2">
        <w:t xml:space="preserve"> </w:t>
      </w:r>
      <w:r>
        <w:t xml:space="preserve">kann </w:t>
      </w:r>
      <w:r w:rsidRPr="00EC22B2">
        <w:t xml:space="preserve">aus den nachfolgend genannten Gründen </w:t>
      </w:r>
      <w:r>
        <w:t>auch nach Ablauf dieser Frist</w:t>
      </w:r>
      <w:r w:rsidRPr="00EC22B2">
        <w:t xml:space="preserve"> </w:t>
      </w:r>
      <w:r>
        <w:t>e</w:t>
      </w:r>
      <w:r w:rsidRPr="00EC22B2">
        <w:t>ine nachträgliche Korrektur</w:t>
      </w:r>
      <w:r>
        <w:t xml:space="preserve"> der Allokationswerte</w:t>
      </w:r>
      <w:r w:rsidRPr="00EC22B2">
        <w:t xml:space="preserve"> für RLM-</w:t>
      </w:r>
      <w:r w:rsidR="00E930B9">
        <w:t>Marktlokationen</w:t>
      </w:r>
      <w:r w:rsidR="00C0511E">
        <w:t xml:space="preserve"> </w:t>
      </w:r>
      <w:r w:rsidRPr="00EC22B2">
        <w:t>durchgeführt werden</w:t>
      </w:r>
      <w:r w:rsidR="00AA22F5">
        <w:t xml:space="preserve">, wenn der </w:t>
      </w:r>
      <w:r w:rsidR="00E9291E">
        <w:t xml:space="preserve">NB </w:t>
      </w:r>
      <w:r w:rsidR="00AA22F5">
        <w:t xml:space="preserve">unverzüglich nach Bekanntwerden den </w:t>
      </w:r>
      <w:r w:rsidR="00E9291E">
        <w:t xml:space="preserve">MGV </w:t>
      </w:r>
      <w:r w:rsidR="00AA22F5">
        <w:t>über</w:t>
      </w:r>
      <w:r w:rsidR="008A6AAB">
        <w:t xml:space="preserve"> </w:t>
      </w:r>
      <w:r w:rsidRPr="00EC22B2">
        <w:t>systematische Fehler in technischen Einrichtungen zur Messung</w:t>
      </w:r>
      <w:r w:rsidR="00AA22F5">
        <w:t xml:space="preserve"> informiert.</w:t>
      </w:r>
    </w:p>
    <w:p w14:paraId="49C066D4" w14:textId="074E8971" w:rsidR="009A14BF" w:rsidRDefault="0031461B" w:rsidP="00D435A8">
      <w:r w:rsidRPr="00EC22B2">
        <w:t xml:space="preserve">Voraussetzung für eine nachträgliche Korrektur ist die Bereitstellung einer nachvollziehbaren Dokumentation </w:t>
      </w:r>
      <w:r w:rsidR="00A13AA9">
        <w:t xml:space="preserve">unter Beachtung der relevanten Vorgaben </w:t>
      </w:r>
      <w:r w:rsidR="00BF5D73">
        <w:t xml:space="preserve">des </w:t>
      </w:r>
      <w:r w:rsidR="00A13AA9">
        <w:t>DVGW</w:t>
      </w:r>
      <w:r w:rsidR="00BF5D73">
        <w:t>-Arbeitsblattes</w:t>
      </w:r>
      <w:r w:rsidR="00A13AA9">
        <w:t xml:space="preserve"> G 685 </w:t>
      </w:r>
      <w:r w:rsidRPr="00EC22B2">
        <w:t xml:space="preserve">durch den </w:t>
      </w:r>
      <w:r w:rsidR="0071541D">
        <w:t>NB</w:t>
      </w:r>
      <w:r w:rsidRPr="00EC22B2">
        <w:t xml:space="preserve"> gegenüber dem MGV</w:t>
      </w:r>
      <w:r w:rsidR="008C5B9B">
        <w:t>.</w:t>
      </w:r>
    </w:p>
    <w:p w14:paraId="7535BEE9" w14:textId="77777777" w:rsidR="005C56BF" w:rsidRDefault="009A14BF" w:rsidP="00D435A8">
      <w:r>
        <w:t xml:space="preserve">Relevante Messwerte aus Zählwerk und Registriergerät müssen bei der Überprüfung der Messstelle in einem </w:t>
      </w:r>
      <w:r w:rsidR="004944DA">
        <w:t>P</w:t>
      </w:r>
      <w:r>
        <w:t xml:space="preserve">rotokoll festgehalten werden. Die Dokumentation sollte einen Prüfbericht über die </w:t>
      </w:r>
      <w:r w:rsidRPr="00371025">
        <w:t xml:space="preserve">Instandsetzung durch den </w:t>
      </w:r>
      <w:r w:rsidR="00A13AA9" w:rsidRPr="00371025">
        <w:t>Geräte</w:t>
      </w:r>
      <w:r w:rsidRPr="00371025">
        <w:t>hersteller sowie</w:t>
      </w:r>
      <w:r w:rsidR="00A13AA9" w:rsidRPr="00371025">
        <w:t xml:space="preserve"> muss</w:t>
      </w:r>
      <w:r w:rsidRPr="00371025">
        <w:t xml:space="preserve"> den Prüfbericht des Eichamtes </w:t>
      </w:r>
      <w:r w:rsidR="00CF318B" w:rsidRPr="00371025">
        <w:t xml:space="preserve">oder einer staatlich anerkannten Prüfstelle für Messgeräte </w:t>
      </w:r>
      <w:r w:rsidR="00A13AA9" w:rsidRPr="00371025">
        <w:t xml:space="preserve">für </w:t>
      </w:r>
      <w:r w:rsidR="00CF318B" w:rsidRPr="00371025">
        <w:t xml:space="preserve">Gas </w:t>
      </w:r>
      <w:r w:rsidRPr="00371025">
        <w:t>über die Nach</w:t>
      </w:r>
      <w:r w:rsidR="00722E0D">
        <w:t>-</w:t>
      </w:r>
      <w:r w:rsidRPr="00371025">
        <w:t xml:space="preserve">eichung enthalten. </w:t>
      </w:r>
      <w:r w:rsidR="002D63DD" w:rsidRPr="00371025">
        <w:t xml:space="preserve">Der MGV leitet die Dokumentation an den BKV weiter. </w:t>
      </w:r>
      <w:r w:rsidR="00E507E6">
        <w:t xml:space="preserve">Innerhalb von </w:t>
      </w:r>
      <w:r w:rsidR="002D63DD" w:rsidRPr="00371025">
        <w:t>10 WT nach Übermittlung der Dokumentation übermittelt der MGV an den NB eine NB-Clearingnummer</w:t>
      </w:r>
      <w:r w:rsidR="002D63DD" w:rsidRPr="002D63DD">
        <w:t xml:space="preserve"> für den Vorgang. Anschließend übermittelt der </w:t>
      </w:r>
      <w:r w:rsidR="002D63DD">
        <w:t>NB</w:t>
      </w:r>
      <w:r w:rsidR="002D63DD" w:rsidRPr="002D63DD">
        <w:t xml:space="preserve"> dem </w:t>
      </w:r>
      <w:r w:rsidR="002D63DD">
        <w:t>MGV</w:t>
      </w:r>
      <w:r w:rsidR="002D63DD" w:rsidRPr="002D63DD">
        <w:t xml:space="preserve"> die Clearing-ALOCAT</w:t>
      </w:r>
      <w:r w:rsidR="00002CAE">
        <w:t>-Nachrichten</w:t>
      </w:r>
      <w:r w:rsidR="002D63DD" w:rsidRPr="002D63DD">
        <w:t xml:space="preserve"> mit der NB-Clearingnummer </w:t>
      </w:r>
      <w:r w:rsidR="00E9291E">
        <w:rPr>
          <w:rFonts w:cs="Arial"/>
        </w:rPr>
        <w:t xml:space="preserve">sowohl für den </w:t>
      </w:r>
      <w:proofErr w:type="spellStart"/>
      <w:r w:rsidR="00E9291E">
        <w:rPr>
          <w:rFonts w:cs="Arial"/>
        </w:rPr>
        <w:t>geclearten</w:t>
      </w:r>
      <w:proofErr w:type="spellEnd"/>
      <w:r w:rsidR="00E9291E">
        <w:rPr>
          <w:rFonts w:cs="Arial"/>
        </w:rPr>
        <w:t xml:space="preserve"> mit Bilanzierungsbrennwert umgewerteten RLM-Lastgang als auch für den </w:t>
      </w:r>
      <w:proofErr w:type="spellStart"/>
      <w:r w:rsidR="00E9291E">
        <w:rPr>
          <w:rFonts w:cs="Arial"/>
        </w:rPr>
        <w:t>geclearten</w:t>
      </w:r>
      <w:proofErr w:type="spellEnd"/>
      <w:r w:rsidR="00E9291E">
        <w:rPr>
          <w:rFonts w:cs="Arial"/>
        </w:rPr>
        <w:t xml:space="preserve"> mit Abrechnungsbrennwert umgewerteten RLM-Lastgang</w:t>
      </w:r>
      <w:r w:rsidR="00E9291E">
        <w:t xml:space="preserve"> </w:t>
      </w:r>
      <w:r w:rsidR="002D63DD">
        <w:t>innerhalb von</w:t>
      </w:r>
      <w:r w:rsidR="002D63DD" w:rsidRPr="002D63DD">
        <w:t xml:space="preserve"> 5 WT. </w:t>
      </w:r>
      <w:r w:rsidR="00E9291E" w:rsidRPr="00431F7C">
        <w:rPr>
          <w:rFonts w:cs="Arial"/>
        </w:rPr>
        <w:t>Nur wenn beide ALOCAT-Nachrichten v</w:t>
      </w:r>
      <w:r w:rsidR="00E9291E">
        <w:rPr>
          <w:rFonts w:cs="Arial"/>
        </w:rPr>
        <w:t xml:space="preserve">orliegen, verarbeitet der </w:t>
      </w:r>
      <w:r w:rsidR="004F593C">
        <w:rPr>
          <w:rFonts w:cs="Arial"/>
        </w:rPr>
        <w:t>MGV</w:t>
      </w:r>
      <w:r w:rsidR="004F593C" w:rsidRPr="00431F7C">
        <w:rPr>
          <w:rFonts w:cs="Arial"/>
        </w:rPr>
        <w:t xml:space="preserve"> </w:t>
      </w:r>
      <w:r w:rsidR="00E9291E" w:rsidRPr="00431F7C">
        <w:rPr>
          <w:rFonts w:cs="Arial"/>
        </w:rPr>
        <w:t xml:space="preserve">die ALOCAT-Nachrichten. </w:t>
      </w:r>
      <w:r w:rsidR="002D63DD" w:rsidRPr="002D63DD">
        <w:t>Der MGV zieht für die Bilanzierung der Clearing</w:t>
      </w:r>
      <w:r w:rsidR="002D63DD">
        <w:t>-</w:t>
      </w:r>
      <w:r w:rsidR="002D63DD" w:rsidRPr="002D63DD">
        <w:t xml:space="preserve">ALOCAT mit </w:t>
      </w:r>
      <w:r w:rsidR="002D63DD">
        <w:t>NB-</w:t>
      </w:r>
      <w:r w:rsidR="002D63DD" w:rsidRPr="002D63DD">
        <w:t xml:space="preserve">Clearingnummer nur die mit Abrechnungsbrennwert </w:t>
      </w:r>
      <w:r w:rsidR="00F563C7">
        <w:t>umgewertete</w:t>
      </w:r>
      <w:r w:rsidR="00F563C7" w:rsidRPr="002D63DD">
        <w:t xml:space="preserve"> </w:t>
      </w:r>
      <w:r w:rsidR="002D63DD" w:rsidRPr="002D63DD">
        <w:t>Menge heran.</w:t>
      </w:r>
      <w:r w:rsidR="00CE34C7">
        <w:t xml:space="preserve"> Der MGV </w:t>
      </w:r>
      <w:r w:rsidR="0031461B">
        <w:t>storniert dann die zugehörige Bilanzkreisabrechnung und erstellt eine neue Bilanzkreisabrechnung gegenüber dem BKV.</w:t>
      </w:r>
      <w:r w:rsidR="0031461B" w:rsidRPr="0040161E">
        <w:t xml:space="preserve"> </w:t>
      </w:r>
      <w:r w:rsidR="00E507E6" w:rsidRPr="007C1791">
        <w:t>Es</w:t>
      </w:r>
      <w:r w:rsidR="00E507E6">
        <w:t xml:space="preserve"> erfolgt die Anpassung des Netzkontos</w:t>
      </w:r>
      <w:r w:rsidR="00FC5F89" w:rsidRPr="00FC5F89">
        <w:t xml:space="preserve"> </w:t>
      </w:r>
      <w:r w:rsidR="00FC5F89">
        <w:t>und der entsprechenden Allokationsdatenberichte, Netzkontoauszüge und Saldomitteilung als IMBNOT um</w:t>
      </w:r>
      <w:r w:rsidR="00E507E6">
        <w:t xml:space="preserve"> die </w:t>
      </w:r>
      <w:proofErr w:type="spellStart"/>
      <w:r w:rsidR="00E507E6">
        <w:t>geclearte</w:t>
      </w:r>
      <w:proofErr w:type="spellEnd"/>
      <w:r w:rsidR="00E507E6">
        <w:t xml:space="preserve"> RLM-Zeitreihe.</w:t>
      </w:r>
      <w:r w:rsidR="005C56BF">
        <w:t xml:space="preserve"> </w:t>
      </w:r>
      <w:r w:rsidR="00FC5F89">
        <w:t xml:space="preserve">Eine Anpassung </w:t>
      </w:r>
      <w:r w:rsidR="000E7537">
        <w:t>von bereits durchgeführten</w:t>
      </w:r>
      <w:r w:rsidR="00FC5F89">
        <w:t xml:space="preserve"> Abrechnung</w:t>
      </w:r>
      <w:r w:rsidR="000E7537">
        <w:t>en</w:t>
      </w:r>
      <w:r w:rsidR="00FC5F89">
        <w:t xml:space="preserve"> nach der täglichen </w:t>
      </w:r>
      <w:r w:rsidR="000E7537">
        <w:t>N</w:t>
      </w:r>
      <w:r w:rsidR="00FC5F89">
        <w:t>etzkontosystematik als Anreizsystem erfolgt nicht.</w:t>
      </w:r>
    </w:p>
    <w:p w14:paraId="29E9E011" w14:textId="77777777" w:rsidR="0016658D" w:rsidRDefault="0016658D" w:rsidP="00D435A8">
      <w:pPr>
        <w:pStyle w:val="berschrift2"/>
        <w:spacing w:before="480"/>
        <w:ind w:left="567" w:hanging="567"/>
      </w:pPr>
      <w:bookmarkStart w:id="969" w:name="_Ref439854960"/>
      <w:bookmarkStart w:id="970" w:name="_Toc111118531"/>
      <w:r>
        <w:lastRenderedPageBreak/>
        <w:t>Clearing der Zeitreihentypen „Entry NKP“ und „Entry Flüssiggas“</w:t>
      </w:r>
      <w:bookmarkEnd w:id="969"/>
      <w:bookmarkEnd w:id="970"/>
    </w:p>
    <w:p w14:paraId="0C45A38D" w14:textId="5978C984" w:rsidR="0016658D" w:rsidRDefault="0016658D" w:rsidP="00724839">
      <w:r w:rsidRPr="00D865DF">
        <w:t xml:space="preserve">Das Kap. </w:t>
      </w:r>
      <w:r w:rsidR="00561FFA">
        <w:fldChar w:fldCharType="begin"/>
      </w:r>
      <w:r w:rsidR="00EB609F">
        <w:instrText xml:space="preserve"> REF _Ref454808125 \r \h </w:instrText>
      </w:r>
      <w:r w:rsidR="00561FFA">
        <w:fldChar w:fldCharType="separate"/>
      </w:r>
      <w:r w:rsidR="00692E23">
        <w:t>11.4.2</w:t>
      </w:r>
      <w:r w:rsidR="00561FFA">
        <w:fldChar w:fldCharType="end"/>
      </w:r>
      <w:r w:rsidR="00EB609F">
        <w:t xml:space="preserve"> </w:t>
      </w:r>
      <w:r w:rsidRPr="00D865DF">
        <w:t>beschreibt die Abstimmung des Netzkontos zwischen MGV und NB. Zum Zeitpunkt der Erstellung des Netzkontoauszuges M+2M-</w:t>
      </w:r>
      <w:r w:rsidR="00E24D5F">
        <w:t>8WT</w:t>
      </w:r>
      <w:r w:rsidRPr="00D865DF">
        <w:t xml:space="preserve"> können nur noch Differenzen bei den NKP- und Flüssiggas-Zeitreihen vorkommen, da das Clearing der Bilanzkreisdaten bereits abgeschlossen ist. Mit der Bereitstellung des Netzkontoauszugs (M+2 Monate -</w:t>
      </w:r>
      <w:r w:rsidR="00AE2F16">
        <w:t>8</w:t>
      </w:r>
      <w:r w:rsidRPr="00D865DF">
        <w:t>WT) durch den MGV beginnt für den NB die Prüffrist gemäß Kap.</w:t>
      </w:r>
      <w:r w:rsidR="00561FFA">
        <w:fldChar w:fldCharType="begin"/>
      </w:r>
      <w:r w:rsidR="00EB609F">
        <w:instrText xml:space="preserve"> REF _Ref454808150 \r \h </w:instrText>
      </w:r>
      <w:r w:rsidR="00561FFA">
        <w:fldChar w:fldCharType="separate"/>
      </w:r>
      <w:r w:rsidR="00692E23">
        <w:t>11.4.2</w:t>
      </w:r>
      <w:r w:rsidR="00561FFA">
        <w:fldChar w:fldCharType="end"/>
      </w:r>
      <w:r w:rsidR="00724839">
        <w:t>. D</w:t>
      </w:r>
      <w:r w:rsidRPr="00D865DF">
        <w:t>ie Frist für das Clearing von NKP- und Flüssiggas-Zeitreihen</w:t>
      </w:r>
      <w:r w:rsidR="00724839">
        <w:t xml:space="preserve"> beginnt M+</w:t>
      </w:r>
      <w:r w:rsidR="00AE2F16">
        <w:t>24</w:t>
      </w:r>
      <w:r w:rsidR="00724839">
        <w:t>WT und endet M+2M+10WT</w:t>
      </w:r>
      <w:r w:rsidRPr="00D865DF">
        <w:t>. Zur Durchführung dieser Clearingfälle ist keine Clearingnummer</w:t>
      </w:r>
      <w:r>
        <w:t xml:space="preserve"> erforderlich.</w:t>
      </w:r>
    </w:p>
    <w:p w14:paraId="66A0149D" w14:textId="6D8AFDFC" w:rsidR="0016658D" w:rsidRPr="008D3C85" w:rsidRDefault="0016658D" w:rsidP="004B7EE7">
      <w:pPr>
        <w:rPr>
          <w:strike/>
        </w:rPr>
      </w:pPr>
      <w:r>
        <w:t>Die NB stimmen sich für ein Clearing von NKP-Zeitreihen untereinander über die finalen NKP-Daten ab.</w:t>
      </w:r>
    </w:p>
    <w:p w14:paraId="2643B450" w14:textId="051B146D" w:rsidR="00B41B2F" w:rsidRDefault="00B41B2F" w:rsidP="00B41B2F">
      <w:r>
        <w:t>Innerhalb des Clearingzeitraums sind beide NB berechtigt, die korrigierten aggregierten NKP-Daten an den MGV zu übersenden und verpflichtet, diese dem jeweils anderen angrenzenden NB zur Verfügung zu stellen. Die Datenlieferung im Format ALOCAT im Clearingfenster umfasst eine vollständige Monatszeitreihe. Die dabei zu generierende Datenqualität entspricht der Qualität der RLM Allokation im M+12WT Prozess. Der MGV übernimmt innerhalb des Clearingzeitraums übersandte aggregierte NKP-Daten in den Netzkonten auf eine separate Clearingspur. Über die durch den MGV bereit gestellten Netzkontodaten (siehe Kapitel</w:t>
      </w:r>
      <w:r w:rsidR="00AF5747">
        <w:t xml:space="preserve"> </w:t>
      </w:r>
      <w:r w:rsidR="00561FFA">
        <w:fldChar w:fldCharType="begin"/>
      </w:r>
      <w:r w:rsidR="00AF5747">
        <w:instrText xml:space="preserve"> REF _Ref436145044 \r \h </w:instrText>
      </w:r>
      <w:r w:rsidR="00561FFA">
        <w:fldChar w:fldCharType="separate"/>
      </w:r>
      <w:r w:rsidR="003310AC">
        <w:t>11.4.3</w:t>
      </w:r>
      <w:r w:rsidR="00561FFA">
        <w:fldChar w:fldCharType="end"/>
      </w:r>
      <w:r>
        <w:t xml:space="preserve">) können die </w:t>
      </w:r>
      <w:r w:rsidR="004F593C">
        <w:t>NB</w:t>
      </w:r>
      <w:r>
        <w:t xml:space="preserve"> das Clearing und den Stand der Verarbeitung der korrigierten NKP-Zeitreihen transparent nachvollziehen.</w:t>
      </w:r>
    </w:p>
    <w:p w14:paraId="0E691C69" w14:textId="71BB8BCF" w:rsidR="008D3C85" w:rsidRDefault="008D3C85" w:rsidP="004B7EE7">
      <w:r>
        <w:t xml:space="preserve">Liegen korrigierte aggregierte NKP-Daten von beiden angrenzenden NB vor, gelten die von dem sendepflichtigen NB nach </w:t>
      </w:r>
      <w:r w:rsidDel="00815124">
        <w:t>§</w:t>
      </w:r>
      <w:r w:rsidR="00815124">
        <w:t> </w:t>
      </w:r>
      <w:r>
        <w:t>30</w:t>
      </w:r>
      <w:r w:rsidRPr="0011782F">
        <w:t xml:space="preserve"> </w:t>
      </w:r>
      <w:proofErr w:type="spellStart"/>
      <w:r w:rsidRPr="0011782F">
        <w:t>KoV</w:t>
      </w:r>
      <w:proofErr w:type="spellEnd"/>
      <w:r>
        <w:t xml:space="preserve"> allokierten Daten als Grundlage für den finalen Netzkontostand.</w:t>
      </w:r>
    </w:p>
    <w:p w14:paraId="71739639" w14:textId="5BD584D7" w:rsidR="0016658D" w:rsidRDefault="0016658D" w:rsidP="004B7EE7">
      <w:r>
        <w:t>Für ein Clearing von Flüssiggas-Zeitreihen übersendet der NB innerhalb der Frist spätestens bis M+2M+10WT an den MGV die korrigierten Flüssiggas-Allokationsdaten.</w:t>
      </w:r>
    </w:p>
    <w:p w14:paraId="29561036" w14:textId="73CFD316" w:rsidR="00AF50F7" w:rsidRDefault="00AF50F7" w:rsidP="004B7EE7">
      <w:r>
        <w:t>Beim Clearingprozess für Leistungszeiträume vor dem 01.10.2021 müssen die jeweiligen Netzkontonummern der Marktgebiete GASPOOL und NCG verwendet werden.</w:t>
      </w:r>
    </w:p>
    <w:p w14:paraId="7A56FDBE" w14:textId="7AEB54CA" w:rsidR="0016658D" w:rsidRDefault="0016658D" w:rsidP="004B7EE7">
      <w:r>
        <w:t>Nach der Clearingfrist M+2M+</w:t>
      </w:r>
      <w:r w:rsidRPr="00D865DF">
        <w:t xml:space="preserve">10WT aktualisiert der MGV den Netzkontoauszug und </w:t>
      </w:r>
      <w:r w:rsidR="009F4A89" w:rsidRPr="00D865DF">
        <w:t xml:space="preserve">stellt </w:t>
      </w:r>
      <w:r w:rsidRPr="00D865DF">
        <w:t xml:space="preserve">diesen bis </w:t>
      </w:r>
      <w:r w:rsidR="009F4A89" w:rsidRPr="00D865DF">
        <w:t>M+2M+15WT gemäß Kap.</w:t>
      </w:r>
      <w:r w:rsidR="00AF5747">
        <w:t xml:space="preserve"> </w:t>
      </w:r>
      <w:r w:rsidR="00561FFA">
        <w:fldChar w:fldCharType="begin"/>
      </w:r>
      <w:r w:rsidR="00AF5747">
        <w:instrText xml:space="preserve"> REF _Ref436145044 \r \h </w:instrText>
      </w:r>
      <w:r w:rsidR="00561FFA">
        <w:fldChar w:fldCharType="separate"/>
      </w:r>
      <w:r w:rsidR="00692E23">
        <w:t>11.4.3</w:t>
      </w:r>
      <w:r w:rsidR="00561FFA">
        <w:fldChar w:fldCharType="end"/>
      </w:r>
      <w:r w:rsidR="009F4A89" w:rsidRPr="00D865DF">
        <w:t xml:space="preserve"> bereit.</w:t>
      </w:r>
    </w:p>
    <w:p w14:paraId="765157BC" w14:textId="77777777" w:rsidR="00BA6BEF" w:rsidRPr="00CF0C7C" w:rsidRDefault="0016658D" w:rsidP="004B7EE7">
      <w:r>
        <w:t>Der MGV versendet zusätzlich die aktualisierte Saldomitteilung als IMBNOT.</w:t>
      </w:r>
    </w:p>
    <w:p w14:paraId="299FAEED" w14:textId="77777777" w:rsidR="00DF612D" w:rsidRPr="001F1625" w:rsidRDefault="00DF612D" w:rsidP="004B7EE7">
      <w:pPr>
        <w:pStyle w:val="berschrift1"/>
      </w:pPr>
      <w:bookmarkStart w:id="971" w:name="_Toc284323679"/>
      <w:bookmarkStart w:id="972" w:name="_Toc284334356"/>
      <w:bookmarkStart w:id="973" w:name="_Toc285005330"/>
      <w:bookmarkStart w:id="974" w:name="_Toc296694140"/>
      <w:bookmarkStart w:id="975" w:name="_Toc391540210"/>
      <w:bookmarkStart w:id="976" w:name="_Toc412661375"/>
      <w:bookmarkStart w:id="977" w:name="_Toc111118532"/>
      <w:r w:rsidRPr="001F1625">
        <w:lastRenderedPageBreak/>
        <w:t>Abrechnung von Bilanzkreis</w:t>
      </w:r>
      <w:r>
        <w:t>verträgen</w:t>
      </w:r>
      <w:bookmarkEnd w:id="971"/>
      <w:bookmarkEnd w:id="972"/>
      <w:bookmarkEnd w:id="973"/>
      <w:bookmarkEnd w:id="974"/>
      <w:bookmarkEnd w:id="975"/>
      <w:bookmarkEnd w:id="976"/>
      <w:bookmarkEnd w:id="977"/>
    </w:p>
    <w:p w14:paraId="6E0675AA" w14:textId="77777777" w:rsidR="007E05AB" w:rsidRDefault="0088332F" w:rsidP="004B7EE7">
      <w:pPr>
        <w:pStyle w:val="berschrift2"/>
        <w:spacing w:before="480"/>
        <w:ind w:left="567" w:hanging="567"/>
      </w:pPr>
      <w:bookmarkStart w:id="978" w:name="_Toc284323680"/>
      <w:bookmarkStart w:id="979" w:name="_Toc284334357"/>
      <w:bookmarkStart w:id="980" w:name="_Toc285005331"/>
      <w:bookmarkStart w:id="981" w:name="_Toc296694141"/>
      <w:bookmarkStart w:id="982" w:name="_Toc391540211"/>
      <w:bookmarkStart w:id="983" w:name="_Toc412661376"/>
      <w:bookmarkStart w:id="984" w:name="_Toc111118533"/>
      <w:r>
        <w:t>Grundsätze der Bilanzkreisa</w:t>
      </w:r>
      <w:r w:rsidR="00DF612D">
        <w:t>brechnung</w:t>
      </w:r>
      <w:bookmarkEnd w:id="978"/>
      <w:bookmarkEnd w:id="979"/>
      <w:bookmarkEnd w:id="980"/>
      <w:bookmarkEnd w:id="981"/>
      <w:bookmarkEnd w:id="982"/>
      <w:bookmarkEnd w:id="983"/>
      <w:bookmarkEnd w:id="984"/>
    </w:p>
    <w:p w14:paraId="08DCE41C" w14:textId="1AAC1733" w:rsidR="00C8581C" w:rsidRDefault="00C8581C" w:rsidP="004B7EE7">
      <w:pPr>
        <w:autoSpaceDE w:val="0"/>
        <w:autoSpaceDN w:val="0"/>
        <w:adjustRightInd w:val="0"/>
        <w:rPr>
          <w:rFonts w:cs="Arial"/>
        </w:rPr>
      </w:pPr>
      <w:r>
        <w:rPr>
          <w:rFonts w:cs="Arial"/>
        </w:rPr>
        <w:t xml:space="preserve">Um die endgültige Abrechnung der Bilanzkreisverträge mit gesicherten Daten </w:t>
      </w:r>
      <w:r w:rsidR="00BD5042">
        <w:rPr>
          <w:rFonts w:cs="Arial"/>
        </w:rPr>
        <w:t>durchführen zu können</w:t>
      </w:r>
      <w:r>
        <w:rPr>
          <w:rFonts w:cs="Arial"/>
        </w:rPr>
        <w:t xml:space="preserve">, wird ein Allokationsclearing </w:t>
      </w:r>
      <w:r w:rsidR="00BE5B6E">
        <w:rPr>
          <w:rFonts w:cs="Arial"/>
        </w:rPr>
        <w:t>ermöglicht</w:t>
      </w:r>
      <w:r>
        <w:rPr>
          <w:rFonts w:cs="Arial"/>
        </w:rPr>
        <w:t xml:space="preserve">. </w:t>
      </w:r>
      <w:r w:rsidR="00BE5B6E">
        <w:rPr>
          <w:rFonts w:cs="Arial"/>
        </w:rPr>
        <w:t xml:space="preserve">Der </w:t>
      </w:r>
      <w:r w:rsidR="00E04158">
        <w:rPr>
          <w:rFonts w:cs="Arial"/>
        </w:rPr>
        <w:t>MGV</w:t>
      </w:r>
      <w:r w:rsidR="00BE5B6E">
        <w:rPr>
          <w:rFonts w:cs="Arial"/>
        </w:rPr>
        <w:t xml:space="preserve"> </w:t>
      </w:r>
      <w:r w:rsidR="00E04158">
        <w:rPr>
          <w:rFonts w:cs="Arial"/>
        </w:rPr>
        <w:t>informiert den BKV</w:t>
      </w:r>
      <w:r w:rsidR="00BE5B6E">
        <w:rPr>
          <w:rFonts w:cs="Arial"/>
        </w:rPr>
        <w:t xml:space="preserve"> am M+15</w:t>
      </w:r>
      <w:r w:rsidR="00262660">
        <w:rPr>
          <w:rFonts w:cs="Arial"/>
        </w:rPr>
        <w:t xml:space="preserve">WT </w:t>
      </w:r>
      <w:r w:rsidR="000713D6">
        <w:rPr>
          <w:rFonts w:cs="Arial"/>
        </w:rPr>
        <w:t xml:space="preserve">ohne Gewähr </w:t>
      </w:r>
      <w:r w:rsidR="00E04158">
        <w:rPr>
          <w:rFonts w:cs="Arial"/>
        </w:rPr>
        <w:t xml:space="preserve">über die zu erwartende Höhe seiner BK-Abrechnungen </w:t>
      </w:r>
      <w:r w:rsidR="00262660">
        <w:rPr>
          <w:rFonts w:cs="Arial"/>
        </w:rPr>
        <w:t xml:space="preserve">für den Liefermonat pro </w:t>
      </w:r>
      <w:r w:rsidR="004F590A">
        <w:rPr>
          <w:rFonts w:cs="Arial"/>
        </w:rPr>
        <w:t>Rechnungsbilanzkreis</w:t>
      </w:r>
      <w:r w:rsidR="00E04158">
        <w:rPr>
          <w:rFonts w:cs="Arial"/>
        </w:rPr>
        <w:t>. Dies</w:t>
      </w:r>
      <w:r w:rsidR="00262660">
        <w:rPr>
          <w:rFonts w:cs="Arial"/>
        </w:rPr>
        <w:t xml:space="preserve"> wird bis zum Vorliegen eines entsprechenden Formates </w:t>
      </w:r>
      <w:r w:rsidR="00591DC8">
        <w:rPr>
          <w:rFonts w:cs="Arial"/>
        </w:rPr>
        <w:t xml:space="preserve">bis mind. zum Zeitpunkt der Rechnungslegung für den jeweiligen Liefermonat </w:t>
      </w:r>
      <w:r w:rsidR="00AF50F7">
        <w:rPr>
          <w:rFonts w:cs="Arial"/>
        </w:rPr>
        <w:t>im Portal</w:t>
      </w:r>
      <w:r w:rsidR="00262660">
        <w:rPr>
          <w:rFonts w:cs="Arial"/>
        </w:rPr>
        <w:t xml:space="preserve"> </w:t>
      </w:r>
      <w:r w:rsidR="00AF50F7">
        <w:rPr>
          <w:rFonts w:cs="Arial"/>
        </w:rPr>
        <w:t xml:space="preserve">des </w:t>
      </w:r>
      <w:r w:rsidR="00262660">
        <w:rPr>
          <w:rFonts w:cs="Arial"/>
        </w:rPr>
        <w:t>MGV angezeigt.</w:t>
      </w:r>
    </w:p>
    <w:p w14:paraId="1D27C8A3" w14:textId="77777777" w:rsidR="00BD5042" w:rsidRDefault="00BD5042" w:rsidP="004B7EE7">
      <w:pPr>
        <w:autoSpaceDE w:val="0"/>
        <w:autoSpaceDN w:val="0"/>
        <w:adjustRightInd w:val="0"/>
        <w:rPr>
          <w:rFonts w:cs="Arial"/>
        </w:rPr>
      </w:pPr>
      <w:r>
        <w:rPr>
          <w:rFonts w:cs="Arial"/>
        </w:rPr>
        <w:t>Die endgültige Abrechnung des Bilanzkreises erfolgt bis spätestens 2 Monate nach dem Liefermonat.</w:t>
      </w:r>
    </w:p>
    <w:p w14:paraId="1A48CD1D" w14:textId="77777777" w:rsidR="00DF612D" w:rsidRDefault="00DF612D" w:rsidP="004B7EE7">
      <w:pPr>
        <w:autoSpaceDE w:val="0"/>
        <w:autoSpaceDN w:val="0"/>
        <w:adjustRightInd w:val="0"/>
        <w:rPr>
          <w:rFonts w:cs="Arial"/>
        </w:rPr>
      </w:pPr>
      <w:r w:rsidRPr="00C871B0">
        <w:rPr>
          <w:rFonts w:cs="Arial"/>
        </w:rPr>
        <w:t xml:space="preserve">Sofern der MGV die Abrechnung in Gänze oder in Teilen korrigieren muss, erfolgen ein </w:t>
      </w:r>
      <w:proofErr w:type="spellStart"/>
      <w:r w:rsidRPr="00C871B0">
        <w:rPr>
          <w:rFonts w:cs="Arial"/>
        </w:rPr>
        <w:t>Stor</w:t>
      </w:r>
      <w:r w:rsidR="00722E0D">
        <w:rPr>
          <w:rFonts w:cs="Arial"/>
        </w:rPr>
        <w:t>-</w:t>
      </w:r>
      <w:r w:rsidRPr="00C871B0">
        <w:rPr>
          <w:rFonts w:cs="Arial"/>
        </w:rPr>
        <w:t>no</w:t>
      </w:r>
      <w:proofErr w:type="spellEnd"/>
      <w:r w:rsidRPr="00C871B0">
        <w:rPr>
          <w:rFonts w:cs="Arial"/>
        </w:rPr>
        <w:t xml:space="preserve"> der kompletten Rechnung und ein Neuversand einer </w:t>
      </w:r>
      <w:r w:rsidRPr="00F646C4">
        <w:rPr>
          <w:rFonts w:cs="Arial"/>
        </w:rPr>
        <w:t>neuen Rechnung</w:t>
      </w:r>
      <w:r w:rsidR="000B39E0">
        <w:rPr>
          <w:rFonts w:cs="Arial"/>
        </w:rPr>
        <w:t xml:space="preserve"> oder die Erstellung einer Korrekturrechnung</w:t>
      </w:r>
      <w:r w:rsidRPr="00F646C4">
        <w:rPr>
          <w:rFonts w:cs="Arial"/>
        </w:rPr>
        <w:t>. Im</w:t>
      </w:r>
      <w:r>
        <w:rPr>
          <w:rFonts w:cs="Arial"/>
        </w:rPr>
        <w:t xml:space="preserve"> Storno wird als Bezug die fehlerhafte Rech</w:t>
      </w:r>
      <w:r w:rsidR="000A6638">
        <w:rPr>
          <w:rFonts w:cs="Arial"/>
        </w:rPr>
        <w:t>n</w:t>
      </w:r>
      <w:r>
        <w:rPr>
          <w:rFonts w:cs="Arial"/>
        </w:rPr>
        <w:t>ungsnummer angegeben.</w:t>
      </w:r>
    </w:p>
    <w:p w14:paraId="75F19857" w14:textId="4101E993" w:rsidR="00DF612D" w:rsidRDefault="00DF612D" w:rsidP="004B7EE7">
      <w:pPr>
        <w:autoSpaceDE w:val="0"/>
        <w:autoSpaceDN w:val="0"/>
        <w:adjustRightInd w:val="0"/>
        <w:rPr>
          <w:rFonts w:cs="Arial"/>
        </w:rPr>
      </w:pPr>
      <w:r w:rsidRPr="004A6FAE">
        <w:rPr>
          <w:rFonts w:cs="Arial"/>
        </w:rPr>
        <w:t xml:space="preserve">Um den umsatzsteuerlichen Erfordernissen zu genügen, muss das Abrechnungsdokument die Pflichtangaben gemäß </w:t>
      </w:r>
      <w:r w:rsidRPr="004A6FAE" w:rsidDel="00815124">
        <w:rPr>
          <w:rFonts w:cs="Arial"/>
        </w:rPr>
        <w:t>§</w:t>
      </w:r>
      <w:r w:rsidR="00815124">
        <w:rPr>
          <w:rFonts w:cs="Arial"/>
        </w:rPr>
        <w:t> </w:t>
      </w:r>
      <w:r w:rsidRPr="004A6FAE">
        <w:rPr>
          <w:rFonts w:cs="Arial"/>
        </w:rPr>
        <w:t>14 Abs. 4 UStG enthalten. Die Behandlung wesentlicher Angaben wird nachfolgend dargestellt.</w:t>
      </w:r>
    </w:p>
    <w:p w14:paraId="3FD93299" w14:textId="2831C5CD" w:rsidR="00AF50F7" w:rsidRPr="00BF6428" w:rsidRDefault="00AF50F7" w:rsidP="00BF6428">
      <w:pPr>
        <w:autoSpaceDE w:val="0"/>
        <w:autoSpaceDN w:val="0"/>
        <w:adjustRightInd w:val="0"/>
        <w:rPr>
          <w:rFonts w:cs="Arial"/>
        </w:rPr>
      </w:pPr>
      <w:r w:rsidRPr="00344307">
        <w:rPr>
          <w:rFonts w:cs="Arial"/>
        </w:rPr>
        <w:t xml:space="preserve">Der Marktgebietsverantwortliche übermittelt die Abrechnung in Form von elektronischen Rechnungen gem. </w:t>
      </w:r>
      <w:r w:rsidR="00815124">
        <w:rPr>
          <w:rFonts w:cs="Arial"/>
        </w:rPr>
        <w:t>§ </w:t>
      </w:r>
      <w:r w:rsidRPr="00344307">
        <w:rPr>
          <w:rFonts w:cs="Arial"/>
        </w:rPr>
        <w:t xml:space="preserve">14 Abs. 1 Satz 8 UStG. </w:t>
      </w:r>
      <w:r>
        <w:rPr>
          <w:rFonts w:cs="Arial"/>
        </w:rPr>
        <w:t>ausschließlich an den BKV des abzurechnenden Bilanzkreises</w:t>
      </w:r>
      <w:r w:rsidR="00AE4DA5">
        <w:rPr>
          <w:rFonts w:cs="Arial"/>
        </w:rPr>
        <w:t xml:space="preserve"> (alle RBK und alle UBK im Direktzahlungsmodell)</w:t>
      </w:r>
      <w:r>
        <w:rPr>
          <w:rFonts w:cs="Arial"/>
        </w:rPr>
        <w:t>.</w:t>
      </w:r>
    </w:p>
    <w:p w14:paraId="506E3465" w14:textId="16462662" w:rsidR="00DF612D" w:rsidRPr="004A6FAE" w:rsidRDefault="00DF612D" w:rsidP="004B7EE7">
      <w:pPr>
        <w:autoSpaceDE w:val="0"/>
        <w:autoSpaceDN w:val="0"/>
        <w:adjustRightInd w:val="0"/>
        <w:rPr>
          <w:rFonts w:cs="Arial"/>
        </w:rPr>
      </w:pPr>
      <w:r w:rsidRPr="004A6FAE">
        <w:rPr>
          <w:rFonts w:cs="Arial"/>
        </w:rPr>
        <w:t>Unter</w:t>
      </w:r>
      <w:r w:rsidR="00AE4DA5">
        <w:rPr>
          <w:rFonts w:cs="Arial"/>
        </w:rPr>
        <w:t>b</w:t>
      </w:r>
      <w:r w:rsidRPr="004A6FAE">
        <w:rPr>
          <w:rFonts w:cs="Arial"/>
        </w:rPr>
        <w:t>ilanzkreisverantwortliche erhalten keine Abrechnungsunterlagen</w:t>
      </w:r>
      <w:r w:rsidR="00AE4DA5">
        <w:rPr>
          <w:rFonts w:cs="Arial"/>
        </w:rPr>
        <w:t>, soweit sie nicht am Direktzahlungsmodell teilnehmen</w:t>
      </w:r>
      <w:r w:rsidRPr="004A6FAE">
        <w:rPr>
          <w:rFonts w:cs="Arial"/>
        </w:rPr>
        <w:t>.</w:t>
      </w:r>
    </w:p>
    <w:p w14:paraId="2EDCEB06" w14:textId="77777777" w:rsidR="00DF612D" w:rsidRDefault="00DF612D" w:rsidP="004B7EE7">
      <w:pPr>
        <w:autoSpaceDE w:val="0"/>
        <w:autoSpaceDN w:val="0"/>
        <w:adjustRightInd w:val="0"/>
        <w:rPr>
          <w:rFonts w:cs="Arial"/>
        </w:rPr>
      </w:pPr>
      <w:r w:rsidRPr="004A6FAE">
        <w:rPr>
          <w:rFonts w:cs="Arial"/>
        </w:rPr>
        <w:t>Das kaufmännische Rechnungs-/Gutschriftdokument bezieht sich jeweils auf einen Abrechnungsmonat und auf jeweils nur einen abzurechnenden Bilanzkreis.</w:t>
      </w:r>
    </w:p>
    <w:p w14:paraId="6C3100F8" w14:textId="034B32DB" w:rsidR="00DF612D" w:rsidRDefault="00DF612D" w:rsidP="004B7EE7">
      <w:pPr>
        <w:autoSpaceDE w:val="0"/>
        <w:autoSpaceDN w:val="0"/>
        <w:adjustRightInd w:val="0"/>
        <w:rPr>
          <w:rFonts w:cs="Arial"/>
        </w:rPr>
      </w:pPr>
      <w:r>
        <w:rPr>
          <w:rFonts w:cs="Arial"/>
        </w:rPr>
        <w:t xml:space="preserve">Folgende Abrechnungen werden gemeinsam vom MGV an den BKV </w:t>
      </w:r>
      <w:r w:rsidR="00AE4DA5">
        <w:rPr>
          <w:rFonts w:cs="Arial"/>
        </w:rPr>
        <w:t xml:space="preserve">des RBK </w:t>
      </w:r>
      <w:r>
        <w:rPr>
          <w:rFonts w:cs="Arial"/>
        </w:rPr>
        <w:t>gesendet:</w:t>
      </w:r>
    </w:p>
    <w:p w14:paraId="2EFF2859" w14:textId="77777777" w:rsidR="00E157A6" w:rsidRDefault="00DF612D" w:rsidP="007F76BC">
      <w:pPr>
        <w:pStyle w:val="Aufzhlungszeichen"/>
        <w:numPr>
          <w:ilvl w:val="0"/>
          <w:numId w:val="25"/>
        </w:numPr>
        <w:ind w:left="357" w:hanging="357"/>
      </w:pPr>
      <w:r w:rsidRPr="00925FE1">
        <w:t>Monatliche Abrechnung der täglichen Ausgleichsenergie</w:t>
      </w:r>
      <w:r w:rsidR="00377FE6">
        <w:t>;</w:t>
      </w:r>
    </w:p>
    <w:p w14:paraId="0DBBBAB9" w14:textId="77777777" w:rsidR="00E157A6" w:rsidRDefault="000F4DD1" w:rsidP="007F76BC">
      <w:pPr>
        <w:pStyle w:val="Aufzhlungszeichen"/>
        <w:numPr>
          <w:ilvl w:val="0"/>
          <w:numId w:val="25"/>
        </w:numPr>
        <w:ind w:left="357" w:hanging="357"/>
      </w:pPr>
      <w:r>
        <w:t>Monatliche Abrechnung der untertägigen Verpflich</w:t>
      </w:r>
      <w:r w:rsidR="005C7400">
        <w:t>tungen</w:t>
      </w:r>
      <w:r w:rsidR="00C85E39">
        <w:t>;</w:t>
      </w:r>
    </w:p>
    <w:p w14:paraId="75F6FD42" w14:textId="77777777" w:rsidR="007E05AB" w:rsidRDefault="00DF612D" w:rsidP="007F76BC">
      <w:pPr>
        <w:pStyle w:val="Aufzhlungszeichen"/>
        <w:numPr>
          <w:ilvl w:val="0"/>
          <w:numId w:val="25"/>
        </w:numPr>
        <w:ind w:left="357" w:hanging="357"/>
      </w:pPr>
      <w:r w:rsidRPr="00925FE1">
        <w:t xml:space="preserve">Monatliche Abrechnung der </w:t>
      </w:r>
      <w:r w:rsidR="001D4062">
        <w:t>SLP-Bilanzierungsumlage</w:t>
      </w:r>
      <w:r w:rsidR="00377FE6">
        <w:t>;</w:t>
      </w:r>
    </w:p>
    <w:p w14:paraId="1F5EB3B5" w14:textId="77777777" w:rsidR="001D4062" w:rsidRDefault="001D4062" w:rsidP="007F76BC">
      <w:pPr>
        <w:pStyle w:val="Aufzhlungszeichen"/>
        <w:numPr>
          <w:ilvl w:val="0"/>
          <w:numId w:val="25"/>
        </w:numPr>
        <w:ind w:left="357" w:hanging="357"/>
      </w:pPr>
      <w:r>
        <w:t>Monatliche Abrechnung der RLM-Bilanzierungsumlage</w:t>
      </w:r>
      <w:r w:rsidR="00773F52">
        <w:t>;</w:t>
      </w:r>
    </w:p>
    <w:p w14:paraId="0F20DB6F" w14:textId="77777777" w:rsidR="00E157A6" w:rsidRDefault="00773F52" w:rsidP="007F76BC">
      <w:pPr>
        <w:pStyle w:val="Aufzhlungszeichen"/>
        <w:numPr>
          <w:ilvl w:val="0"/>
          <w:numId w:val="25"/>
        </w:numPr>
        <w:ind w:left="357" w:hanging="357"/>
      </w:pPr>
      <w:r>
        <w:t>Monatliche Abrechnung der RLM-Differenzmengen;</w:t>
      </w:r>
    </w:p>
    <w:p w14:paraId="7A8ED908" w14:textId="77777777" w:rsidR="00426AF6" w:rsidRDefault="00426AF6" w:rsidP="007F76BC">
      <w:pPr>
        <w:pStyle w:val="Aufzhlungszeichen"/>
        <w:numPr>
          <w:ilvl w:val="0"/>
          <w:numId w:val="25"/>
        </w:numPr>
        <w:ind w:left="357" w:hanging="357"/>
      </w:pPr>
      <w:r>
        <w:t>M</w:t>
      </w:r>
      <w:r w:rsidRPr="00A76456">
        <w:t>onatliche Abrechnung des Konvertierungsentgeltes</w:t>
      </w:r>
      <w:r>
        <w:t>;</w:t>
      </w:r>
    </w:p>
    <w:p w14:paraId="55291273" w14:textId="77777777" w:rsidR="007E05AB" w:rsidRDefault="00A13CFC" w:rsidP="007F76BC">
      <w:pPr>
        <w:pStyle w:val="Aufzhlungszeichen"/>
        <w:numPr>
          <w:ilvl w:val="0"/>
          <w:numId w:val="25"/>
        </w:numPr>
        <w:ind w:left="357" w:hanging="357"/>
      </w:pPr>
      <w:r w:rsidRPr="00A76456">
        <w:t>Monatliche Abrechnung der Konvertierungsumlage</w:t>
      </w:r>
      <w:r w:rsidR="00377FE6">
        <w:t>;</w:t>
      </w:r>
    </w:p>
    <w:p w14:paraId="23B59A13" w14:textId="79CA7D0C" w:rsidR="007E05AB" w:rsidRDefault="00DF612D" w:rsidP="007F76BC">
      <w:pPr>
        <w:pStyle w:val="Aufzhlungszeichen"/>
        <w:numPr>
          <w:ilvl w:val="0"/>
          <w:numId w:val="25"/>
        </w:numPr>
        <w:ind w:left="357" w:hanging="357"/>
      </w:pPr>
      <w:r w:rsidRPr="00A76456">
        <w:rPr>
          <w:color w:val="000000" w:themeColor="text1"/>
        </w:rPr>
        <w:t>Ggf. Ausweis</w:t>
      </w:r>
      <w:r w:rsidRPr="00925FE1">
        <w:t xml:space="preserve"> der </w:t>
      </w:r>
      <w:r w:rsidR="00E930B9">
        <w:t>Energiesteuer</w:t>
      </w:r>
      <w:r w:rsidR="00426AF6">
        <w:t>.</w:t>
      </w:r>
    </w:p>
    <w:p w14:paraId="7744DF71" w14:textId="77777777" w:rsidR="00AE4DA5" w:rsidRDefault="00AE4DA5" w:rsidP="00AE4DA5">
      <w:pPr>
        <w:autoSpaceDE w:val="0"/>
        <w:autoSpaceDN w:val="0"/>
        <w:adjustRightInd w:val="0"/>
        <w:rPr>
          <w:rFonts w:cs="Arial"/>
        </w:rPr>
      </w:pPr>
      <w:r>
        <w:rPr>
          <w:rFonts w:cs="Arial"/>
        </w:rPr>
        <w:lastRenderedPageBreak/>
        <w:t>Folgende Abrechnung wird vom MGV an den BKV des UBK gesendet, sofern er am Direktzahlungsmodell teilnimmt:</w:t>
      </w:r>
    </w:p>
    <w:p w14:paraId="283CD70E" w14:textId="77777777" w:rsidR="00AE4DA5" w:rsidRPr="00E77364" w:rsidRDefault="00AE4DA5" w:rsidP="00AE4DA5">
      <w:pPr>
        <w:pStyle w:val="Aufzhlungszeichen"/>
      </w:pPr>
      <w:r w:rsidRPr="00E77364">
        <w:t>Monatliche Abrechnung der SLP-Bilanzierungsumlage;</w:t>
      </w:r>
    </w:p>
    <w:p w14:paraId="4113083B" w14:textId="77777777" w:rsidR="00AE4DA5" w:rsidRPr="00E77364" w:rsidRDefault="00AE4DA5" w:rsidP="00AE4DA5">
      <w:pPr>
        <w:pStyle w:val="Aufzhlungszeichen"/>
      </w:pPr>
      <w:r w:rsidRPr="00E77364">
        <w:t>Monatliche Abrechnung der RLM-Bilanzierungsumlage;</w:t>
      </w:r>
    </w:p>
    <w:p w14:paraId="122F989A" w14:textId="682C40F3" w:rsidR="00AE4DA5" w:rsidRPr="00C64BC9" w:rsidRDefault="00AE4DA5" w:rsidP="00AE4DA5">
      <w:pPr>
        <w:pStyle w:val="Aufzhlungszeichen"/>
        <w:rPr>
          <w:rFonts w:ascii="Calibri" w:hAnsi="Calibri" w:cs="Calibri"/>
          <w:sz w:val="24"/>
          <w:szCs w:val="24"/>
        </w:rPr>
      </w:pPr>
      <w:r w:rsidRPr="00E77364">
        <w:t>Monatliche Abrechnung der Konvertierungsumlage.</w:t>
      </w:r>
    </w:p>
    <w:p w14:paraId="69121F3A" w14:textId="77777777" w:rsidR="00AE4DA5" w:rsidRDefault="00AE4DA5" w:rsidP="004B7EE7">
      <w:pPr>
        <w:autoSpaceDE w:val="0"/>
        <w:autoSpaceDN w:val="0"/>
        <w:adjustRightInd w:val="0"/>
        <w:rPr>
          <w:rFonts w:cs="Arial"/>
        </w:rPr>
      </w:pPr>
    </w:p>
    <w:p w14:paraId="08E48BA5" w14:textId="6A26AEF0" w:rsidR="00A42E36" w:rsidRDefault="00DF612D" w:rsidP="004B7EE7">
      <w:pPr>
        <w:autoSpaceDE w:val="0"/>
        <w:autoSpaceDN w:val="0"/>
        <w:adjustRightInd w:val="0"/>
        <w:rPr>
          <w:rFonts w:cs="Arial"/>
        </w:rPr>
      </w:pPr>
      <w:r w:rsidRPr="000258C2">
        <w:rPr>
          <w:rFonts w:cs="Arial"/>
        </w:rPr>
        <w:t>Der MGV ist berechtigt</w:t>
      </w:r>
      <w:r>
        <w:rPr>
          <w:rFonts w:cs="Arial"/>
        </w:rPr>
        <w:t>,</w:t>
      </w:r>
      <w:r w:rsidRPr="000258C2">
        <w:rPr>
          <w:rFonts w:cs="Arial"/>
        </w:rPr>
        <w:t xml:space="preserve"> Abschläge für die </w:t>
      </w:r>
      <w:r w:rsidR="001D4062">
        <w:rPr>
          <w:rFonts w:cs="Arial"/>
        </w:rPr>
        <w:t>SLP- sowie die RLM-Bilanzierungsumlage</w:t>
      </w:r>
      <w:r w:rsidRPr="000258C2">
        <w:rPr>
          <w:rFonts w:cs="Arial"/>
        </w:rPr>
        <w:t xml:space="preserve"> zu erheben.</w:t>
      </w:r>
      <w:r>
        <w:rPr>
          <w:rFonts w:cs="Arial"/>
        </w:rPr>
        <w:t xml:space="preserve"> Abschläge auf Ausgleichsenergiekosten und/oder </w:t>
      </w:r>
      <w:r w:rsidR="00E9291E">
        <w:rPr>
          <w:rFonts w:cs="Arial"/>
        </w:rPr>
        <w:t xml:space="preserve">untertägige Verpflichtungen </w:t>
      </w:r>
      <w:r>
        <w:rPr>
          <w:rFonts w:cs="Arial"/>
        </w:rPr>
        <w:t xml:space="preserve">sind nicht zulässig. </w:t>
      </w:r>
      <w:r w:rsidRPr="00C871B0">
        <w:rPr>
          <w:rFonts w:cs="Arial"/>
        </w:rPr>
        <w:t>Die Abschlagsrechnung wird nach Ablauf des Liefermonats, aber zwin</w:t>
      </w:r>
      <w:r>
        <w:rPr>
          <w:rFonts w:cs="Arial"/>
        </w:rPr>
        <w:t>gend vor Fristablauf für die endgültige Bilanzkreisabrechnung, ausgestellt. Der Eurobetrag der Abschlagsrechnung wird auf der endgültigen Bilanzkreisabrechnung ausgewiesen und in Abzug gebracht.</w:t>
      </w:r>
    </w:p>
    <w:p w14:paraId="42CDEA05" w14:textId="77777777" w:rsidR="00DF612D" w:rsidRPr="000014BB" w:rsidRDefault="00DF612D" w:rsidP="004B7EE7">
      <w:pPr>
        <w:pStyle w:val="berschrift3"/>
        <w:tabs>
          <w:tab w:val="num" w:pos="-6237"/>
        </w:tabs>
        <w:spacing w:before="480"/>
        <w:ind w:left="993" w:hanging="936"/>
      </w:pPr>
      <w:bookmarkStart w:id="985" w:name="_Toc284323681"/>
      <w:bookmarkStart w:id="986" w:name="_Toc284334358"/>
      <w:bookmarkStart w:id="987" w:name="_Toc285005332"/>
      <w:bookmarkStart w:id="988" w:name="_Toc296694142"/>
      <w:bookmarkStart w:id="989" w:name="_Toc391540212"/>
      <w:bookmarkStart w:id="990" w:name="_Toc412661377"/>
      <w:bookmarkStart w:id="991" w:name="_Toc111118534"/>
      <w:r w:rsidRPr="000014BB">
        <w:t xml:space="preserve">Mindestinhalte Abrechnung Bilanzkreisvertrag und Abschlagsrechnung auf die </w:t>
      </w:r>
      <w:r w:rsidR="001D4062">
        <w:t>SLP- sowie die RLM-</w:t>
      </w:r>
      <w:proofErr w:type="spellStart"/>
      <w:r w:rsidR="001D4062">
        <w:t>Bilanzie</w:t>
      </w:r>
      <w:proofErr w:type="spellEnd"/>
      <w:r w:rsidR="00722E0D">
        <w:t>-</w:t>
      </w:r>
      <w:proofErr w:type="spellStart"/>
      <w:r w:rsidR="001D4062">
        <w:t>rungsumlage</w:t>
      </w:r>
      <w:bookmarkEnd w:id="985"/>
      <w:bookmarkEnd w:id="986"/>
      <w:bookmarkEnd w:id="987"/>
      <w:bookmarkEnd w:id="988"/>
      <w:bookmarkEnd w:id="989"/>
      <w:bookmarkEnd w:id="990"/>
      <w:bookmarkEnd w:id="991"/>
      <w:proofErr w:type="spellEnd"/>
    </w:p>
    <w:p w14:paraId="70979AAE" w14:textId="77777777" w:rsidR="00E157A6" w:rsidRDefault="00DF612D" w:rsidP="004B7EE7">
      <w:pPr>
        <w:keepNext/>
        <w:spacing w:before="240"/>
        <w:ind w:left="284" w:hanging="284"/>
        <w:rPr>
          <w:i/>
        </w:rPr>
      </w:pPr>
      <w:r>
        <w:rPr>
          <w:i/>
        </w:rPr>
        <w:t>A</w:t>
      </w:r>
      <w:r w:rsidRPr="00ED064D">
        <w:rPr>
          <w:i/>
        </w:rPr>
        <w:t>)</w:t>
      </w:r>
      <w:r w:rsidRPr="00ED064D">
        <w:rPr>
          <w:i/>
        </w:rPr>
        <w:tab/>
        <w:t>Formalitäten</w:t>
      </w:r>
      <w:r w:rsidR="00EC0790">
        <w:rPr>
          <w:i/>
        </w:rPr>
        <w:t>:</w:t>
      </w:r>
    </w:p>
    <w:p w14:paraId="0315EF63" w14:textId="77777777" w:rsidR="00E157A6" w:rsidRDefault="00EC0790" w:rsidP="003C2438">
      <w:pPr>
        <w:pStyle w:val="Aufzhlungszeichen2"/>
        <w:ind w:left="284"/>
      </w:pPr>
      <w:r>
        <w:t>V</w:t>
      </w:r>
      <w:r w:rsidR="00DF612D" w:rsidRPr="00925FE1">
        <w:t>ollständiger Name und vollständige Anschrift des leistenden Unternehmers (MGV)</w:t>
      </w:r>
      <w:r>
        <w:t>,</w:t>
      </w:r>
    </w:p>
    <w:p w14:paraId="7B8D6B46" w14:textId="77777777" w:rsidR="00E157A6" w:rsidRDefault="00EC0790" w:rsidP="003C2438">
      <w:pPr>
        <w:pStyle w:val="Aufzhlungszeichen2"/>
        <w:ind w:left="284"/>
      </w:pPr>
      <w:r>
        <w:t>V</w:t>
      </w:r>
      <w:r w:rsidR="00DF612D" w:rsidRPr="004A6FAE">
        <w:t>ollständiger Name und vollständige Anschrift des Leistungsempfängers (BKV)</w:t>
      </w:r>
      <w:r>
        <w:t>,</w:t>
      </w:r>
    </w:p>
    <w:p w14:paraId="7B59531D" w14:textId="77777777" w:rsidR="00E157A6" w:rsidRDefault="00DF612D" w:rsidP="003C2438">
      <w:pPr>
        <w:pStyle w:val="Aufzhlungszeichen2"/>
        <w:ind w:left="284"/>
      </w:pPr>
      <w:proofErr w:type="spellStart"/>
      <w:r w:rsidRPr="004A6FAE">
        <w:t>USt</w:t>
      </w:r>
      <w:proofErr w:type="spellEnd"/>
      <w:r w:rsidRPr="004A6FAE">
        <w:t>-Identifikationsnummer oder</w:t>
      </w:r>
      <w:r>
        <w:t>,</w:t>
      </w:r>
      <w:r w:rsidRPr="004A6FAE">
        <w:t xml:space="preserve"> sofern nicht vorhanden</w:t>
      </w:r>
      <w:r>
        <w:t>,</w:t>
      </w:r>
      <w:r w:rsidRPr="004A6FAE">
        <w:t xml:space="preserve"> die Steuernummer des leistenden </w:t>
      </w:r>
      <w:r w:rsidRPr="00C871B0">
        <w:t>Unternehmens (</w:t>
      </w:r>
      <w:r>
        <w:t>b</w:t>
      </w:r>
      <w:r w:rsidRPr="00C871B0">
        <w:t>ei Rechnungen Leistungserbringer = MGV, bei Gutschriften Leistungserbringer = BKV)</w:t>
      </w:r>
      <w:r w:rsidR="00EC0790">
        <w:t>,</w:t>
      </w:r>
    </w:p>
    <w:p w14:paraId="2CD68C07" w14:textId="77777777" w:rsidR="00E157A6" w:rsidRDefault="00DF612D" w:rsidP="003C2438">
      <w:pPr>
        <w:pStyle w:val="Aufzhlungszeichen2"/>
        <w:ind w:left="284"/>
      </w:pPr>
      <w:r w:rsidRPr="00C871B0">
        <w:t xml:space="preserve">Immer bei Gutschriften durch den MGV: die </w:t>
      </w:r>
      <w:proofErr w:type="spellStart"/>
      <w:r w:rsidRPr="00C871B0">
        <w:t>USt</w:t>
      </w:r>
      <w:proofErr w:type="spellEnd"/>
      <w:r w:rsidRPr="00C871B0">
        <w:t>-Identifikationsnummer oder</w:t>
      </w:r>
      <w:r>
        <w:t>,</w:t>
      </w:r>
      <w:r w:rsidRPr="00C871B0">
        <w:t xml:space="preserve"> soweit nicht vorhanden</w:t>
      </w:r>
      <w:r>
        <w:t>,</w:t>
      </w:r>
      <w:r w:rsidRPr="00C871B0">
        <w:t xml:space="preserve"> die </w:t>
      </w:r>
      <w:r w:rsidRPr="002D6222">
        <w:t>Steuernummer des die Gutschrift erhaltenden Unternehmens (BKV) (hie</w:t>
      </w:r>
      <w:r w:rsidR="00EC0790">
        <w:t>r BKV = Leistungserbringer); D</w:t>
      </w:r>
      <w:r w:rsidRPr="002D6222">
        <w:t>ies kann auc</w:t>
      </w:r>
      <w:r w:rsidR="00EC0790">
        <w:t>h bei Rechnungen enthalten sein;</w:t>
      </w:r>
    </w:p>
    <w:p w14:paraId="3DC6B233" w14:textId="77777777" w:rsidR="00E157A6" w:rsidRDefault="00DF612D" w:rsidP="003C2438">
      <w:pPr>
        <w:pStyle w:val="Aufzhlungszeichen2"/>
        <w:ind w:left="284"/>
      </w:pPr>
      <w:r w:rsidRPr="002D6222">
        <w:t>Ausstellungsdatum</w:t>
      </w:r>
      <w:r w:rsidR="00EC0790">
        <w:t>;</w:t>
      </w:r>
    </w:p>
    <w:p w14:paraId="0AAF1736" w14:textId="77777777" w:rsidR="00E157A6" w:rsidRDefault="00DF612D" w:rsidP="003C2438">
      <w:pPr>
        <w:pStyle w:val="Aufzhlungszeichen2"/>
        <w:ind w:left="284"/>
      </w:pPr>
      <w:r w:rsidRPr="00481D5E">
        <w:t xml:space="preserve">Vertragsnummer </w:t>
      </w:r>
      <w:r>
        <w:t>und gg</w:t>
      </w:r>
      <w:r w:rsidRPr="00481D5E">
        <w:t>f</w:t>
      </w:r>
      <w:r>
        <w:t>.</w:t>
      </w:r>
      <w:r w:rsidRPr="00481D5E">
        <w:t xml:space="preserve"> Bilanzkreisnummer des abzurechnenden Bilanzkreises</w:t>
      </w:r>
      <w:r w:rsidR="00EC0790">
        <w:t>;</w:t>
      </w:r>
    </w:p>
    <w:p w14:paraId="7A1A2D6F" w14:textId="77777777" w:rsidR="00E157A6" w:rsidRDefault="00DF612D" w:rsidP="003C2438">
      <w:pPr>
        <w:pStyle w:val="Aufzhlungszeichen2"/>
        <w:ind w:left="284"/>
      </w:pPr>
      <w:r w:rsidRPr="002D6222">
        <w:t>Ggf. Kundennummer des Leistungsempfängers</w:t>
      </w:r>
      <w:r w:rsidR="00EC0790">
        <w:t>;</w:t>
      </w:r>
    </w:p>
    <w:p w14:paraId="594DEBB7" w14:textId="77777777" w:rsidR="00E157A6" w:rsidRDefault="00DF612D" w:rsidP="003C2438">
      <w:pPr>
        <w:pStyle w:val="Aufzhlungszeichen2"/>
        <w:ind w:left="284"/>
      </w:pPr>
      <w:r w:rsidRPr="000014BB">
        <w:t>Bezeichnung des Beleges als „Rechnung“ oder „Gutschrift“</w:t>
      </w:r>
      <w:r w:rsidR="00EC0790">
        <w:t>;</w:t>
      </w:r>
    </w:p>
    <w:p w14:paraId="1D58B701" w14:textId="77777777" w:rsidR="00E157A6" w:rsidRDefault="00DF612D" w:rsidP="003C2438">
      <w:pPr>
        <w:pStyle w:val="Aufzhlungszeichen2"/>
        <w:ind w:left="284"/>
      </w:pPr>
      <w:r w:rsidRPr="002D6222">
        <w:t>Fortlaufende Rechnungsnummer</w:t>
      </w:r>
      <w:r w:rsidR="00EC0790">
        <w:t>;</w:t>
      </w:r>
    </w:p>
    <w:p w14:paraId="6F716DF0" w14:textId="6661BDEE" w:rsidR="00E157A6" w:rsidRDefault="00DF612D" w:rsidP="003C2438">
      <w:pPr>
        <w:pStyle w:val="Aufzhlungszeichen2"/>
        <w:ind w:left="284"/>
      </w:pPr>
      <w:r w:rsidRPr="000014BB">
        <w:t xml:space="preserve">EU: Anwendung des </w:t>
      </w:r>
      <w:r w:rsidR="00843F48">
        <w:t>Reverse-Charge-</w:t>
      </w:r>
      <w:r w:rsidRPr="000014BB">
        <w:t xml:space="preserve">Verfahrens (Nettoabrechnung) und Ausweis der </w:t>
      </w:r>
      <w:proofErr w:type="spellStart"/>
      <w:r w:rsidRPr="000014BB">
        <w:t>USt</w:t>
      </w:r>
      <w:proofErr w:type="spellEnd"/>
      <w:r w:rsidRPr="000014BB">
        <w:t>-Identifikationsnummern oder, soweit nicht vorhanden, der Steuernummer von MGV und BKV; Hinweis zum Übergang der Steuerschuldnerschaft</w:t>
      </w:r>
      <w:r w:rsidR="00EC0790">
        <w:t>;</w:t>
      </w:r>
    </w:p>
    <w:p w14:paraId="6D938273" w14:textId="77777777" w:rsidR="00E157A6" w:rsidRDefault="00DF612D" w:rsidP="003C2438">
      <w:pPr>
        <w:pStyle w:val="Aufzhlungszeichen2"/>
        <w:ind w:left="284"/>
      </w:pPr>
      <w:r w:rsidRPr="000014BB">
        <w:lastRenderedPageBreak/>
        <w:t xml:space="preserve">Bei Drittland: Beachtung des jeweils lokalen </w:t>
      </w:r>
      <w:proofErr w:type="spellStart"/>
      <w:r w:rsidRPr="000014BB">
        <w:t>USt</w:t>
      </w:r>
      <w:proofErr w:type="spellEnd"/>
      <w:r w:rsidRPr="000014BB">
        <w:t>-Rechts (Einzelfallbetrachtung</w:t>
      </w:r>
      <w:r w:rsidRPr="004A6FAE">
        <w:t>)</w:t>
      </w:r>
      <w:r w:rsidR="00EC0790">
        <w:t>.</w:t>
      </w:r>
    </w:p>
    <w:p w14:paraId="4F007621" w14:textId="77777777" w:rsidR="00E157A6" w:rsidRDefault="00DF612D" w:rsidP="004B7EE7">
      <w:pPr>
        <w:keepNext/>
        <w:spacing w:before="240"/>
        <w:ind w:left="284" w:hanging="284"/>
        <w:rPr>
          <w:i/>
        </w:rPr>
      </w:pPr>
      <w:r>
        <w:rPr>
          <w:i/>
        </w:rPr>
        <w:t>B</w:t>
      </w:r>
      <w:r w:rsidRPr="00ED064D">
        <w:rPr>
          <w:i/>
        </w:rPr>
        <w:t>)</w:t>
      </w:r>
      <w:r w:rsidRPr="00ED064D">
        <w:rPr>
          <w:i/>
        </w:rPr>
        <w:tab/>
        <w:t>Betreff/Zuordnungsangaben:</w:t>
      </w:r>
    </w:p>
    <w:p w14:paraId="5FC0AFAC" w14:textId="77777777" w:rsidR="00E157A6" w:rsidRDefault="00DF612D" w:rsidP="003C2438">
      <w:pPr>
        <w:pStyle w:val="Aufzhlungszeichen2"/>
        <w:ind w:left="284"/>
      </w:pPr>
      <w:r>
        <w:t>„Abrechnung Bilanzkreisvertrag“</w:t>
      </w:r>
      <w:r w:rsidRPr="004A6FAE">
        <w:t xml:space="preserve"> </w:t>
      </w:r>
      <w:r>
        <w:t>bzw. „Stornierung Abrechnung Nr. xxx des Bilanzkreisvertrages“</w:t>
      </w:r>
      <w:r w:rsidR="00EC0790">
        <w:t>;</w:t>
      </w:r>
    </w:p>
    <w:p w14:paraId="7E203199" w14:textId="77777777" w:rsidR="00E157A6" w:rsidRDefault="00DF612D" w:rsidP="003C2438">
      <w:pPr>
        <w:pStyle w:val="Aufzhlungszeichen2"/>
        <w:ind w:left="284"/>
      </w:pPr>
      <w:r>
        <w:t xml:space="preserve">„Abschlagsrechnung auf die </w:t>
      </w:r>
      <w:r w:rsidR="001D4062">
        <w:t>SLP- und RLM-Bilanzierungsumlage</w:t>
      </w:r>
      <w:r>
        <w:t>“</w:t>
      </w:r>
      <w:r w:rsidR="00EC0790">
        <w:t>;</w:t>
      </w:r>
    </w:p>
    <w:p w14:paraId="341BABCD" w14:textId="77777777" w:rsidR="00E157A6" w:rsidRDefault="00DF612D" w:rsidP="003C2438">
      <w:pPr>
        <w:pStyle w:val="Aufzhlungszeichen2"/>
        <w:ind w:left="284"/>
      </w:pPr>
      <w:r w:rsidRPr="004A6FAE">
        <w:t>Abrechnungsmonat</w:t>
      </w:r>
      <w:r>
        <w:t xml:space="preserve"> MM/JJJJ</w:t>
      </w:r>
      <w:r w:rsidR="00EC0790">
        <w:t>;</w:t>
      </w:r>
    </w:p>
    <w:p w14:paraId="249A9CA2" w14:textId="77777777" w:rsidR="00E157A6" w:rsidRDefault="00DF612D" w:rsidP="003C2438">
      <w:pPr>
        <w:pStyle w:val="Aufzhlungszeichen2"/>
        <w:ind w:left="284"/>
      </w:pPr>
      <w:r>
        <w:t>Bilanzkreisnummer des abzurechnenden Bilanzkreises</w:t>
      </w:r>
      <w:r w:rsidR="00EC0790">
        <w:t>.</w:t>
      </w:r>
    </w:p>
    <w:p w14:paraId="5A77BF6D" w14:textId="77777777" w:rsidR="00E157A6" w:rsidRDefault="00DF612D" w:rsidP="003C2438">
      <w:pPr>
        <w:keepNext/>
        <w:ind w:left="284" w:hanging="284"/>
        <w:rPr>
          <w:i/>
        </w:rPr>
      </w:pPr>
      <w:r>
        <w:rPr>
          <w:i/>
        </w:rPr>
        <w:t>C</w:t>
      </w:r>
      <w:r w:rsidRPr="00ED064D">
        <w:rPr>
          <w:i/>
        </w:rPr>
        <w:t>)</w:t>
      </w:r>
      <w:r w:rsidRPr="00ED064D">
        <w:rPr>
          <w:i/>
        </w:rPr>
        <w:tab/>
        <w:t>Monatssummen/-beträge für die Bilanzkreisabrechnung</w:t>
      </w:r>
      <w:r w:rsidR="00EC0790">
        <w:rPr>
          <w:i/>
        </w:rPr>
        <w:t>:</w:t>
      </w:r>
    </w:p>
    <w:p w14:paraId="3EF7AADD" w14:textId="77777777" w:rsidR="00E157A6" w:rsidRDefault="00DF612D" w:rsidP="003C2438">
      <w:pPr>
        <w:pStyle w:val="Aufzhlungszeichen2"/>
        <w:ind w:left="284"/>
      </w:pPr>
      <w:r w:rsidRPr="004A6FAE">
        <w:t>Kennzeichnung von Überspeisung</w:t>
      </w:r>
      <w:r>
        <w:t>en</w:t>
      </w:r>
      <w:r w:rsidRPr="004A6FAE">
        <w:t xml:space="preserve"> des</w:t>
      </w:r>
      <w:r>
        <w:t xml:space="preserve"> Bilanzkreises mit dem Wort </w:t>
      </w:r>
      <w:r w:rsidRPr="004A6FAE">
        <w:t>„Überspeisung</w:t>
      </w:r>
      <w:r w:rsidRPr="000765A4">
        <w:t>“</w:t>
      </w:r>
      <w:r w:rsidR="00EC0790">
        <w:t>;</w:t>
      </w:r>
    </w:p>
    <w:p w14:paraId="3E62BA33" w14:textId="77777777" w:rsidR="00E157A6" w:rsidRDefault="00DF612D" w:rsidP="003C2438">
      <w:pPr>
        <w:pStyle w:val="Aufzhlungszeichen2"/>
        <w:ind w:left="284"/>
      </w:pPr>
      <w:r w:rsidRPr="004A6FAE">
        <w:t>K</w:t>
      </w:r>
      <w:r>
        <w:t xml:space="preserve">ennzeichnung von </w:t>
      </w:r>
      <w:r w:rsidRPr="004A6FAE">
        <w:t>Unterspeisung</w:t>
      </w:r>
      <w:r>
        <w:t>en</w:t>
      </w:r>
      <w:r w:rsidRPr="004A6FAE">
        <w:t xml:space="preserve"> des Bilanzkreises mit dem Wort „Unterspeisung“</w:t>
      </w:r>
      <w:r w:rsidR="00EC0790">
        <w:t>;</w:t>
      </w:r>
    </w:p>
    <w:p w14:paraId="6C8E0F2A" w14:textId="77777777" w:rsidR="00E157A6" w:rsidRDefault="00DF612D" w:rsidP="003C2438">
      <w:pPr>
        <w:pStyle w:val="Aufzhlungszeichen2"/>
        <w:ind w:left="284"/>
      </w:pPr>
      <w:r w:rsidRPr="004A6FAE">
        <w:t>Geldbeträge in der gesetzlichen Währung, derzeit: EUR (€)</w:t>
      </w:r>
      <w:r>
        <w:t xml:space="preserve"> </w:t>
      </w:r>
      <w:r w:rsidRPr="00A01396">
        <w:t xml:space="preserve">mit </w:t>
      </w:r>
      <w:r w:rsidR="00EC0790">
        <w:t>zwei</w:t>
      </w:r>
      <w:r w:rsidRPr="00A01396">
        <w:t xml:space="preserve"> </w:t>
      </w:r>
      <w:r>
        <w:t>Dezimal</w:t>
      </w:r>
      <w:r w:rsidRPr="00A01396">
        <w:t>stellen</w:t>
      </w:r>
      <w:r w:rsidR="00EC0790">
        <w:t>;</w:t>
      </w:r>
    </w:p>
    <w:p w14:paraId="20E8B9E4" w14:textId="77777777" w:rsidR="00E157A6" w:rsidRDefault="00DF612D" w:rsidP="003C2438">
      <w:pPr>
        <w:pStyle w:val="Aufzhlungszeichen2"/>
        <w:ind w:left="284"/>
      </w:pPr>
      <w:r>
        <w:t xml:space="preserve">Preise in </w:t>
      </w:r>
      <w:r w:rsidR="00551AB9">
        <w:t>C</w:t>
      </w:r>
      <w:r>
        <w:t>t/kWh unter Angabe von vier Dezimalstellen</w:t>
      </w:r>
      <w:r w:rsidR="00EC0790">
        <w:t>;</w:t>
      </w:r>
    </w:p>
    <w:p w14:paraId="1B302E95" w14:textId="77777777" w:rsidR="00E157A6" w:rsidRDefault="00DF612D" w:rsidP="003C2438">
      <w:pPr>
        <w:pStyle w:val="Aufzhlungszeichen2"/>
        <w:ind w:left="284"/>
      </w:pPr>
      <w:r w:rsidRPr="004A6FAE">
        <w:t>Ausweis des MwSt</w:t>
      </w:r>
      <w:r>
        <w:t>.</w:t>
      </w:r>
      <w:r w:rsidRPr="004A6FAE">
        <w:t xml:space="preserve">-Satzes und Ausweis des MwSt.-Betrages, der auf das </w:t>
      </w:r>
      <w:r>
        <w:t>Gesamte</w:t>
      </w:r>
      <w:r w:rsidRPr="004A6FAE">
        <w:t>ntgelt (Geldbetrag netto) entfällt</w:t>
      </w:r>
      <w:r w:rsidR="00EC0790">
        <w:t>;</w:t>
      </w:r>
    </w:p>
    <w:p w14:paraId="2277B9EF" w14:textId="77777777" w:rsidR="00E157A6" w:rsidRDefault="00DF612D" w:rsidP="003C2438">
      <w:pPr>
        <w:pStyle w:val="Aufzhlungszeichen2"/>
        <w:ind w:left="284"/>
      </w:pPr>
      <w:r w:rsidRPr="004A6FAE">
        <w:t>Ausweis des Bruttogesamtbetrages</w:t>
      </w:r>
      <w:r w:rsidR="00EC0790">
        <w:t>;</w:t>
      </w:r>
    </w:p>
    <w:p w14:paraId="6624DB51" w14:textId="77777777" w:rsidR="00E157A6" w:rsidRDefault="00DF612D" w:rsidP="003C2438">
      <w:pPr>
        <w:pStyle w:val="Aufzhlungszeichen2"/>
        <w:ind w:left="284"/>
      </w:pPr>
      <w:r w:rsidRPr="004A6FAE">
        <w:t>Fälligkeits-/Wertstellungstermin</w:t>
      </w:r>
      <w:r w:rsidR="00EC0790">
        <w:t>;</w:t>
      </w:r>
    </w:p>
    <w:p w14:paraId="2EFE95EF" w14:textId="77777777" w:rsidR="00E157A6" w:rsidRDefault="00DF612D" w:rsidP="003C2438">
      <w:pPr>
        <w:pStyle w:val="Aufzhlungszeichen2"/>
        <w:ind w:left="284"/>
      </w:pPr>
      <w:r>
        <w:t>Ggf. Energies</w:t>
      </w:r>
      <w:r w:rsidRPr="00926325">
        <w:t>teuersatz</w:t>
      </w:r>
      <w:r w:rsidR="00EC0790">
        <w:t>;</w:t>
      </w:r>
    </w:p>
    <w:p w14:paraId="77CAADB0" w14:textId="77777777" w:rsidR="00E157A6" w:rsidRDefault="00DF612D" w:rsidP="003C2438">
      <w:pPr>
        <w:pStyle w:val="Aufzhlungszeichen2"/>
        <w:ind w:left="284"/>
      </w:pPr>
      <w:r w:rsidRPr="0087278A">
        <w:t xml:space="preserve">Ausweisung der monatlichen Mengen für </w:t>
      </w:r>
      <w:r>
        <w:t xml:space="preserve">Ausgleichsenergie aus </w:t>
      </w:r>
      <w:r w:rsidRPr="0087278A">
        <w:t>Unterspeisungen in kWh und des Geldbetrages (netto)</w:t>
      </w:r>
      <w:r w:rsidR="00EC0790">
        <w:t>;</w:t>
      </w:r>
    </w:p>
    <w:p w14:paraId="35763E29" w14:textId="77777777" w:rsidR="00E157A6" w:rsidRDefault="00DF612D" w:rsidP="003C2438">
      <w:pPr>
        <w:pStyle w:val="Aufzhlungszeichen2"/>
        <w:ind w:left="284"/>
      </w:pPr>
      <w:r w:rsidRPr="0087278A">
        <w:t xml:space="preserve">Ausweisung der monatlichen Mengen für </w:t>
      </w:r>
      <w:r>
        <w:t xml:space="preserve">Ausgleichsenergie aus </w:t>
      </w:r>
      <w:r w:rsidRPr="0087278A">
        <w:t>Überspeisungen</w:t>
      </w:r>
      <w:r w:rsidR="00593627">
        <w:t xml:space="preserve"> in</w:t>
      </w:r>
      <w:r w:rsidRPr="0087278A">
        <w:t xml:space="preserve"> kWh und des Geldbetrages (netto)</w:t>
      </w:r>
      <w:r w:rsidR="00EC0790">
        <w:t>;</w:t>
      </w:r>
    </w:p>
    <w:p w14:paraId="143B833D" w14:textId="77777777" w:rsidR="00E157A6" w:rsidRDefault="000F4DD1" w:rsidP="003C2438">
      <w:pPr>
        <w:pStyle w:val="Aufzhlungszeichen2"/>
        <w:ind w:left="284"/>
      </w:pPr>
      <w:r w:rsidRPr="0087278A">
        <w:t xml:space="preserve">Ausweisung der monatlichen </w:t>
      </w:r>
      <w:r w:rsidR="00E9291E">
        <w:t xml:space="preserve">bilanziellen Flexibilitätsmenge </w:t>
      </w:r>
      <w:r>
        <w:t>für untertägige Verpflichtungen</w:t>
      </w:r>
      <w:r w:rsidRPr="0087278A">
        <w:t xml:space="preserve"> in kWh und des Geldbetrages (net</w:t>
      </w:r>
      <w:r w:rsidR="005C7400">
        <w:t>to</w:t>
      </w:r>
      <w:r>
        <w:t>)</w:t>
      </w:r>
      <w:r w:rsidR="00EC0790">
        <w:t>;</w:t>
      </w:r>
    </w:p>
    <w:p w14:paraId="4A26748E" w14:textId="77777777" w:rsidR="00E157A6" w:rsidRDefault="00DF612D" w:rsidP="003C2438">
      <w:pPr>
        <w:pStyle w:val="Aufzhlungszeichen2"/>
        <w:ind w:left="284"/>
      </w:pPr>
      <w:r>
        <w:t xml:space="preserve">Ausweisung der monatlichen Menge für </w:t>
      </w:r>
      <w:r w:rsidR="001D4062">
        <w:t>SLP-Bilanzierungsumlage</w:t>
      </w:r>
      <w:r>
        <w:t xml:space="preserve"> in kWh, die</w:t>
      </w:r>
      <w:r w:rsidRPr="0087278A">
        <w:t xml:space="preserve"> spezifische Höhe der Umlage </w:t>
      </w:r>
      <w:r>
        <w:t>und des Geldbetrages (netto)</w:t>
      </w:r>
      <w:r w:rsidR="00EC0790">
        <w:t>;</w:t>
      </w:r>
    </w:p>
    <w:p w14:paraId="40524AAC" w14:textId="77777777" w:rsidR="00E157A6" w:rsidRDefault="001D4062" w:rsidP="003C2438">
      <w:pPr>
        <w:pStyle w:val="Aufzhlungszeichen2"/>
        <w:ind w:left="284"/>
      </w:pPr>
      <w:r>
        <w:t>Ausweisung der monatlichen Menge für RLM-Bilanzierungsumlage in kWh, die</w:t>
      </w:r>
      <w:r w:rsidRPr="0087278A">
        <w:t xml:space="preserve"> spezifische Höhe der Umlage </w:t>
      </w:r>
      <w:r>
        <w:t>und des Geldbetrages (netto)</w:t>
      </w:r>
      <w:r w:rsidR="00EC0790">
        <w:t>;</w:t>
      </w:r>
    </w:p>
    <w:p w14:paraId="30076F38" w14:textId="77777777" w:rsidR="00426AF6" w:rsidRPr="00A76456" w:rsidRDefault="00426AF6" w:rsidP="00426AF6">
      <w:pPr>
        <w:pStyle w:val="Aufzhlungszeichen2"/>
        <w:ind w:left="284"/>
        <w:rPr>
          <w:color w:val="000000" w:themeColor="text1"/>
        </w:rPr>
      </w:pPr>
      <w:r w:rsidRPr="00A76456">
        <w:rPr>
          <w:color w:val="000000" w:themeColor="text1"/>
        </w:rPr>
        <w:t>Ausweisung der monatlichen Menge für Konvertierung in kWh, des spez. Konvertierungsentgeltes und des Geldbetrags (netto)</w:t>
      </w:r>
      <w:r>
        <w:rPr>
          <w:color w:val="000000" w:themeColor="text1"/>
        </w:rPr>
        <w:t>;</w:t>
      </w:r>
    </w:p>
    <w:p w14:paraId="19BAACED" w14:textId="4EC03518" w:rsidR="00426AF6" w:rsidRPr="0017341F" w:rsidRDefault="00426AF6" w:rsidP="0017341F">
      <w:pPr>
        <w:pStyle w:val="Aufzhlungszeichen2"/>
        <w:ind w:left="284"/>
        <w:rPr>
          <w:color w:val="000000" w:themeColor="text1"/>
        </w:rPr>
      </w:pPr>
      <w:r w:rsidRPr="00A76456">
        <w:rPr>
          <w:color w:val="000000" w:themeColor="text1"/>
        </w:rPr>
        <w:t>Ausweisung der monatlichen Menge für Konvertierungsumlage in kWh, die spezifische Höhe der Umlage und des Geldbetrages (netto)</w:t>
      </w:r>
      <w:r>
        <w:rPr>
          <w:color w:val="000000" w:themeColor="text1"/>
        </w:rPr>
        <w:t>;</w:t>
      </w:r>
    </w:p>
    <w:p w14:paraId="2988BB84" w14:textId="77777777" w:rsidR="00E157A6" w:rsidRDefault="0037642D" w:rsidP="003C2438">
      <w:pPr>
        <w:pStyle w:val="Aufzhlungszeichen2"/>
        <w:ind w:left="284"/>
      </w:pPr>
      <w:r>
        <w:lastRenderedPageBreak/>
        <w:t xml:space="preserve">Ausweisung der monatlichen RLM-Differenzmengen </w:t>
      </w:r>
      <w:r w:rsidR="00593627">
        <w:t>in kWh und des Geldbetrages (netto)</w:t>
      </w:r>
      <w:r w:rsidR="00EC0790">
        <w:t>;</w:t>
      </w:r>
    </w:p>
    <w:p w14:paraId="7D8E925D" w14:textId="1A22D54B" w:rsidR="00E157A6" w:rsidRDefault="00DF612D" w:rsidP="003C2438">
      <w:pPr>
        <w:pStyle w:val="Aufzhlungszeichen2"/>
        <w:ind w:left="284"/>
      </w:pPr>
      <w:r w:rsidRPr="00A76456">
        <w:rPr>
          <w:color w:val="000000" w:themeColor="text1"/>
        </w:rPr>
        <w:t>Ausweis des ggf. nach Steuersätzen aufgeschlüsselten Entgelts (Geldbetrag netto)</w:t>
      </w:r>
      <w:r w:rsidR="00260557">
        <w:rPr>
          <w:color w:val="000000" w:themeColor="text1"/>
        </w:rPr>
        <w:t>,</w:t>
      </w:r>
      <w:r w:rsidRPr="00A76456">
        <w:rPr>
          <w:color w:val="000000" w:themeColor="text1"/>
        </w:rPr>
        <w:t xml:space="preserve"> getrennt nach U</w:t>
      </w:r>
      <w:r w:rsidR="00843F48">
        <w:rPr>
          <w:color w:val="000000" w:themeColor="text1"/>
        </w:rPr>
        <w:t>nterdeckung und Überdeckung, so</w:t>
      </w:r>
      <w:r w:rsidRPr="00A76456">
        <w:rPr>
          <w:color w:val="000000" w:themeColor="text1"/>
        </w:rPr>
        <w:t xml:space="preserve">lange dies entsprechend den gesetzlichen insbesondere umsatzsteuerlichen Vorgaben und ggf. deren Interpretation durch die für </w:t>
      </w:r>
      <w:r w:rsidR="00AF50F7">
        <w:t xml:space="preserve">den </w:t>
      </w:r>
      <w:r w:rsidRPr="00D024F7">
        <w:t>MGV zuständige Landesfinanzbehörde möglich ist. Ist eine solche Darstellung danach nicht zulässig, folgt die Darstellung den rechtlichen und dabei insbesondere den umsatzsteuerlichen Erfordernissen sowie deren Interpretation durch die vorgenannte Landesfinanzbehörde.</w:t>
      </w:r>
    </w:p>
    <w:p w14:paraId="6191EAB3" w14:textId="7EB7CC51" w:rsidR="00E157A6" w:rsidRDefault="00DF612D" w:rsidP="003C2438">
      <w:pPr>
        <w:ind w:left="284"/>
      </w:pPr>
      <w:r>
        <w:rPr>
          <w:rFonts w:cs="Arial"/>
        </w:rPr>
        <w:t>Als Anhang der Rechnung erhäl</w:t>
      </w:r>
      <w:r w:rsidR="00A76456">
        <w:rPr>
          <w:rFonts w:cs="Arial"/>
        </w:rPr>
        <w:t>t der BKV eine Tagesaufstellung</w:t>
      </w:r>
      <w:r>
        <w:rPr>
          <w:rFonts w:cs="Arial"/>
        </w:rPr>
        <w:t xml:space="preserve"> getrennt in Bilanzkreisüberspeisung, Bilanzkreisunterspeisu</w:t>
      </w:r>
      <w:r w:rsidR="00A76456">
        <w:rPr>
          <w:rFonts w:cs="Arial"/>
        </w:rPr>
        <w:t xml:space="preserve">ng, </w:t>
      </w:r>
      <w:r w:rsidR="00E9291E">
        <w:t>bilanzielle Flexibilitätsmengen</w:t>
      </w:r>
      <w:r w:rsidR="0037642D">
        <w:rPr>
          <w:rFonts w:cs="Arial"/>
        </w:rPr>
        <w:t>, RLM-Differenzmengen</w:t>
      </w:r>
      <w:r w:rsidR="00A76456">
        <w:rPr>
          <w:rFonts w:cs="Arial"/>
        </w:rPr>
        <w:t xml:space="preserve"> und</w:t>
      </w:r>
      <w:r>
        <w:rPr>
          <w:rFonts w:cs="Arial"/>
        </w:rPr>
        <w:t xml:space="preserve"> Konvertierungsmengen</w:t>
      </w:r>
      <w:r w:rsidR="00A76456">
        <w:rPr>
          <w:rFonts w:cs="Arial"/>
        </w:rPr>
        <w:t>.</w:t>
      </w:r>
    </w:p>
    <w:p w14:paraId="35E5CB0A" w14:textId="77777777" w:rsidR="00DF612D" w:rsidRPr="000014BB" w:rsidRDefault="009C54DD" w:rsidP="004B7EE7">
      <w:pPr>
        <w:pStyle w:val="berschrift3"/>
        <w:tabs>
          <w:tab w:val="num" w:pos="1134"/>
        </w:tabs>
        <w:spacing w:before="480"/>
        <w:ind w:left="1146" w:hanging="1106"/>
      </w:pPr>
      <w:bookmarkStart w:id="992" w:name="_Toc320191890"/>
      <w:bookmarkStart w:id="993" w:name="_Toc391540213"/>
      <w:bookmarkStart w:id="994" w:name="_Toc412661378"/>
      <w:bookmarkStart w:id="995" w:name="_Toc111118535"/>
      <w:r w:rsidRPr="000014BB">
        <w:t xml:space="preserve">Mindestinhalte </w:t>
      </w:r>
      <w:r w:rsidR="00DF612D">
        <w:t>Abrechnung von Entgelten für die Nutzung des Virtuellen Handels</w:t>
      </w:r>
      <w:r w:rsidR="006C3049">
        <w:t>punkt</w:t>
      </w:r>
      <w:r w:rsidR="00DF612D">
        <w:t>es</w:t>
      </w:r>
      <w:bookmarkEnd w:id="992"/>
      <w:bookmarkEnd w:id="993"/>
      <w:bookmarkEnd w:id="994"/>
      <w:bookmarkEnd w:id="995"/>
    </w:p>
    <w:p w14:paraId="4BAB1BB2" w14:textId="4A35711B" w:rsidR="00DF612D" w:rsidRDefault="00DF612D" w:rsidP="004B7EE7">
      <w:r>
        <w:t>Nach Beschluss der Bundesnetzagentur vom 23.</w:t>
      </w:r>
      <w:r w:rsidR="00E143BB">
        <w:t xml:space="preserve"> August </w:t>
      </w:r>
      <w:r>
        <w:t>2011 (Az.:</w:t>
      </w:r>
      <w:r w:rsidR="00B87B73">
        <w:t xml:space="preserve"> </w:t>
      </w:r>
      <w:r>
        <w:t xml:space="preserve">BK7-11-003) </w:t>
      </w:r>
      <w:r w:rsidR="00AF50F7">
        <w:t xml:space="preserve">ist der </w:t>
      </w:r>
      <w:r w:rsidR="004F593C">
        <w:t xml:space="preserve">MGV </w:t>
      </w:r>
      <w:r>
        <w:t xml:space="preserve">berechtigt, ein VHP-Entgelt von allen Bilanzkreisverantwortlichen zu erheben die innerhalb des Marktgebiets am VHP handeln. </w:t>
      </w:r>
      <w:r w:rsidR="00AF50F7">
        <w:t>Das</w:t>
      </w:r>
      <w:r>
        <w:t xml:space="preserve"> VHP</w:t>
      </w:r>
      <w:r w:rsidR="00E143BB">
        <w:t>-</w:t>
      </w:r>
      <w:r>
        <w:t xml:space="preserve">Entgelt </w:t>
      </w:r>
      <w:r w:rsidR="00AF50F7">
        <w:t xml:space="preserve">wird </w:t>
      </w:r>
      <w:r>
        <w:t xml:space="preserve">kostenbasiert erhoben und </w:t>
      </w:r>
      <w:r w:rsidR="00AF50F7">
        <w:t>gilt</w:t>
      </w:r>
      <w:r>
        <w:t xml:space="preserve"> jeweils für die Dauer von 12 Monaten. Beginn des Geltungszeitraums ist der 01.10. eines Kalenderjahres. </w:t>
      </w:r>
      <w:r w:rsidR="00AF50F7">
        <w:t xml:space="preserve">Der </w:t>
      </w:r>
      <w:r>
        <w:t>MGV veröffentlich</w:t>
      </w:r>
      <w:r w:rsidR="00AF50F7">
        <w:t>t</w:t>
      </w:r>
      <w:r>
        <w:t xml:space="preserve"> </w:t>
      </w:r>
      <w:r w:rsidR="00AF50F7">
        <w:t xml:space="preserve">das </w:t>
      </w:r>
      <w:r>
        <w:t>jeweilige VHP</w:t>
      </w:r>
      <w:r w:rsidR="00E143BB">
        <w:t>-</w:t>
      </w:r>
      <w:r>
        <w:t>Ent</w:t>
      </w:r>
      <w:r w:rsidR="00551AB9">
        <w:t>gelt (in C</w:t>
      </w:r>
      <w:r>
        <w:t xml:space="preserve">t/MWh) einen Monat vor Beginn des Geltungszeitraums auf </w:t>
      </w:r>
      <w:r w:rsidR="00AF50F7">
        <w:t>seiner</w:t>
      </w:r>
      <w:r>
        <w:t xml:space="preserve"> Internetseite.</w:t>
      </w:r>
    </w:p>
    <w:p w14:paraId="7E524610" w14:textId="35B0491A" w:rsidR="00DF612D" w:rsidRDefault="00DF612D" w:rsidP="004B7EE7">
      <w:r>
        <w:t xml:space="preserve">Das VHP-Entgelt wird bei jedem Gasmengenaustausch von </w:t>
      </w:r>
      <w:r w:rsidR="002D4E2A">
        <w:t xml:space="preserve">BKV </w:t>
      </w:r>
      <w:r>
        <w:t xml:space="preserve">sowohl bei dem ausspeisenden als auch einspeisenden Bilanzkreis erhoben und in Rechnung gestellt. Übertragungen von Gasmengen zwischen </w:t>
      </w:r>
      <w:r w:rsidR="000E634C">
        <w:t xml:space="preserve">UBK </w:t>
      </w:r>
      <w:r>
        <w:t>sind eingeschlossen, soweit diese am VHP nominiert wurden.</w:t>
      </w:r>
    </w:p>
    <w:p w14:paraId="46F134D9" w14:textId="61706C3A" w:rsidR="00AF50F7" w:rsidRDefault="00AF50F7" w:rsidP="004B7EE7">
      <w:r>
        <w:t xml:space="preserve">Der Marktgebietsverantwortliche übermittelt die Abrechnung in Form von elektronischen Rechnungen gem. </w:t>
      </w:r>
      <w:r w:rsidR="00815124">
        <w:t>§ </w:t>
      </w:r>
      <w:r>
        <w:t>14 Abs. 1 Satz 8 UstG.</w:t>
      </w:r>
    </w:p>
    <w:p w14:paraId="3556E22D" w14:textId="77777777" w:rsidR="00DF612D" w:rsidRDefault="00DF612D" w:rsidP="004B7EE7">
      <w:pPr>
        <w:rPr>
          <w:rFonts w:cs="Arial"/>
          <w:iCs/>
        </w:rPr>
      </w:pPr>
      <w:r>
        <w:rPr>
          <w:rFonts w:cs="Arial"/>
          <w:iCs/>
        </w:rPr>
        <w:t>Die monatliche Rechnungsstellung für die VHP</w:t>
      </w:r>
      <w:r w:rsidR="00E143BB">
        <w:rPr>
          <w:rFonts w:cs="Arial"/>
          <w:iCs/>
        </w:rPr>
        <w:t>-</w:t>
      </w:r>
      <w:r>
        <w:rPr>
          <w:rFonts w:cs="Arial"/>
          <w:iCs/>
        </w:rPr>
        <w:t xml:space="preserve">Nutzung erfolgt je </w:t>
      </w:r>
      <w:r w:rsidR="002D4E2A">
        <w:rPr>
          <w:rFonts w:cs="Arial"/>
          <w:iCs/>
        </w:rPr>
        <w:t xml:space="preserve">BKV </w:t>
      </w:r>
      <w:r>
        <w:rPr>
          <w:rFonts w:cs="Arial"/>
          <w:iCs/>
        </w:rPr>
        <w:t>auf Basis der am VHP nominierten Buy</w:t>
      </w:r>
      <w:r w:rsidR="00E143BB">
        <w:rPr>
          <w:rFonts w:cs="Arial"/>
          <w:iCs/>
        </w:rPr>
        <w:t>-</w:t>
      </w:r>
      <w:r>
        <w:rPr>
          <w:rFonts w:cs="Arial"/>
          <w:iCs/>
        </w:rPr>
        <w:t xml:space="preserve"> und Sell</w:t>
      </w:r>
      <w:r w:rsidR="00E143BB">
        <w:rPr>
          <w:rFonts w:cs="Arial"/>
          <w:iCs/>
        </w:rPr>
        <w:t>-</w:t>
      </w:r>
      <w:r>
        <w:rPr>
          <w:rFonts w:cs="Arial"/>
          <w:iCs/>
        </w:rPr>
        <w:t>Gasmengen. Wesentliche Bestandteile der Rechnung sind:</w:t>
      </w:r>
    </w:p>
    <w:p w14:paraId="612FB6AE" w14:textId="77777777" w:rsidR="007E05AB" w:rsidRDefault="00DF612D" w:rsidP="007F76BC">
      <w:pPr>
        <w:pStyle w:val="Aufzhlungszeichen"/>
        <w:numPr>
          <w:ilvl w:val="0"/>
          <w:numId w:val="26"/>
        </w:numPr>
        <w:ind w:left="357" w:hanging="357"/>
      </w:pPr>
      <w:r w:rsidRPr="00E84433">
        <w:t>Abrechnungszeitraum</w:t>
      </w:r>
      <w:r w:rsidR="00E143BB">
        <w:t>,</w:t>
      </w:r>
    </w:p>
    <w:p w14:paraId="7E802559" w14:textId="77777777" w:rsidR="007E05AB" w:rsidRDefault="00DF612D" w:rsidP="007F76BC">
      <w:pPr>
        <w:pStyle w:val="Aufzhlungszeichen"/>
        <w:numPr>
          <w:ilvl w:val="0"/>
          <w:numId w:val="26"/>
        </w:numPr>
        <w:ind w:left="357" w:hanging="357"/>
      </w:pPr>
      <w:r w:rsidRPr="00E84433">
        <w:t>Gesamtbetrag</w:t>
      </w:r>
      <w:r w:rsidR="00E143BB">
        <w:t>,</w:t>
      </w:r>
    </w:p>
    <w:p w14:paraId="1525B601" w14:textId="77777777" w:rsidR="007E05AB" w:rsidRDefault="00DF612D" w:rsidP="007F76BC">
      <w:pPr>
        <w:pStyle w:val="Aufzhlungszeichen"/>
        <w:numPr>
          <w:ilvl w:val="0"/>
          <w:numId w:val="26"/>
        </w:numPr>
        <w:ind w:left="357" w:hanging="357"/>
      </w:pPr>
      <w:r w:rsidRPr="00E84433">
        <w:t>Zahlungsziel</w:t>
      </w:r>
      <w:r w:rsidR="00E143BB">
        <w:t>,</w:t>
      </w:r>
    </w:p>
    <w:p w14:paraId="62C402C7" w14:textId="77777777" w:rsidR="007E05AB" w:rsidRDefault="00DF612D" w:rsidP="007F76BC">
      <w:pPr>
        <w:pStyle w:val="Aufzhlungszeichen"/>
        <w:numPr>
          <w:ilvl w:val="0"/>
          <w:numId w:val="26"/>
        </w:numPr>
        <w:ind w:left="357" w:hanging="357"/>
      </w:pPr>
      <w:r w:rsidRPr="00E84433">
        <w:t>Bilanzkreisnummer</w:t>
      </w:r>
      <w:r w:rsidR="00E143BB">
        <w:t>,</w:t>
      </w:r>
    </w:p>
    <w:p w14:paraId="14AB71E6" w14:textId="77777777" w:rsidR="007E05AB" w:rsidRDefault="00551AB9" w:rsidP="007F76BC">
      <w:pPr>
        <w:pStyle w:val="Aufzhlungszeichen"/>
        <w:numPr>
          <w:ilvl w:val="0"/>
          <w:numId w:val="26"/>
        </w:numPr>
        <w:ind w:left="357" w:hanging="357"/>
      </w:pPr>
      <w:r>
        <w:t>VHP Entgelt in C</w:t>
      </w:r>
      <w:r w:rsidR="005A1790">
        <w:t>t</w:t>
      </w:r>
      <w:r w:rsidR="00DF612D" w:rsidRPr="00E84433">
        <w:t>/MWh bzw. EUR/kWh</w:t>
      </w:r>
      <w:r w:rsidR="00E143BB">
        <w:t>,</w:t>
      </w:r>
    </w:p>
    <w:p w14:paraId="103D43B9" w14:textId="77777777" w:rsidR="007E05AB" w:rsidRDefault="00DF612D" w:rsidP="007F76BC">
      <w:pPr>
        <w:pStyle w:val="Aufzhlungszeichen"/>
        <w:numPr>
          <w:ilvl w:val="0"/>
          <w:numId w:val="26"/>
        </w:numPr>
        <w:ind w:left="357" w:hanging="357"/>
      </w:pPr>
      <w:r w:rsidRPr="00E84433">
        <w:t>gesamte Gasmenge der Buy</w:t>
      </w:r>
      <w:r w:rsidR="00E143BB">
        <w:t>-</w:t>
      </w:r>
      <w:r w:rsidRPr="00E84433">
        <w:t>Nominierungen bzw. VHP-Einspeisemengen und Sell</w:t>
      </w:r>
      <w:r w:rsidR="00E143BB">
        <w:t>-</w:t>
      </w:r>
      <w:r w:rsidRPr="00E84433">
        <w:t>Nominierungen bzw. VHP-Ausspeisemengen (in kWh)</w:t>
      </w:r>
      <w:r w:rsidR="00E143BB">
        <w:t>,</w:t>
      </w:r>
    </w:p>
    <w:p w14:paraId="195BC868" w14:textId="77777777" w:rsidR="007E05AB" w:rsidRDefault="00DF612D" w:rsidP="007F76BC">
      <w:pPr>
        <w:pStyle w:val="Aufzhlungszeichen"/>
        <w:numPr>
          <w:ilvl w:val="0"/>
          <w:numId w:val="26"/>
        </w:numPr>
        <w:ind w:left="357" w:hanging="357"/>
      </w:pPr>
      <w:r w:rsidRPr="00E84433">
        <w:lastRenderedPageBreak/>
        <w:t>Rechnungsbetrag in EUR je gesamte Buy/Sell-Nominierungen bzw. je VHP-</w:t>
      </w:r>
      <w:r w:rsidR="005712BC">
        <w:t>Einspeise</w:t>
      </w:r>
      <w:r w:rsidR="00315714">
        <w:t>-</w:t>
      </w:r>
      <w:r w:rsidR="005712BC">
        <w:t>mengen</w:t>
      </w:r>
      <w:r w:rsidRPr="00E84433">
        <w:t>/VHP-Ausspeisemengen</w:t>
      </w:r>
      <w:r w:rsidR="00E143BB">
        <w:t>,</w:t>
      </w:r>
    </w:p>
    <w:p w14:paraId="7123FA19" w14:textId="0101C3E6" w:rsidR="007E05AB" w:rsidRDefault="00DF612D" w:rsidP="007F76BC">
      <w:pPr>
        <w:pStyle w:val="Aufzhlungszeichen"/>
        <w:numPr>
          <w:ilvl w:val="0"/>
          <w:numId w:val="26"/>
        </w:numPr>
        <w:ind w:left="357" w:hanging="357"/>
      </w:pPr>
      <w:r w:rsidRPr="00E84433">
        <w:t>Gesamt</w:t>
      </w:r>
      <w:r w:rsidR="00A43F39">
        <w:t>n</w:t>
      </w:r>
      <w:r w:rsidRPr="00E84433">
        <w:t>ettobetrag</w:t>
      </w:r>
      <w:r w:rsidR="00E143BB">
        <w:t>,</w:t>
      </w:r>
    </w:p>
    <w:p w14:paraId="0C3E7364" w14:textId="3BC4F764" w:rsidR="007E05AB" w:rsidRDefault="00DF612D" w:rsidP="007F76BC">
      <w:pPr>
        <w:pStyle w:val="Aufzhlungszeichen"/>
        <w:numPr>
          <w:ilvl w:val="0"/>
          <w:numId w:val="26"/>
        </w:numPr>
        <w:ind w:left="357" w:hanging="357"/>
      </w:pPr>
      <w:r w:rsidRPr="00E84433">
        <w:t>Gesamt</w:t>
      </w:r>
      <w:r w:rsidR="00A43F39">
        <w:t>b</w:t>
      </w:r>
      <w:r w:rsidRPr="00E84433">
        <w:t>etrag der MwSt.</w:t>
      </w:r>
      <w:r w:rsidR="00E143BB">
        <w:t>,</w:t>
      </w:r>
    </w:p>
    <w:p w14:paraId="2AAFB5A0" w14:textId="0E5390F2" w:rsidR="00861D6D" w:rsidRDefault="00DF612D" w:rsidP="007F76BC">
      <w:pPr>
        <w:pStyle w:val="Aufzhlungszeichen"/>
        <w:numPr>
          <w:ilvl w:val="0"/>
          <w:numId w:val="26"/>
        </w:numPr>
        <w:ind w:left="357" w:hanging="357"/>
      </w:pPr>
      <w:r w:rsidRPr="00E84433">
        <w:t>Gesamt</w:t>
      </w:r>
      <w:r w:rsidR="00A43F39">
        <w:t>b</w:t>
      </w:r>
      <w:r w:rsidRPr="00E84433">
        <w:t>ruttobetrag</w:t>
      </w:r>
      <w:r w:rsidR="00227899">
        <w:t>.</w:t>
      </w:r>
    </w:p>
    <w:p w14:paraId="57A6A5FD" w14:textId="31782245" w:rsidR="00861D6D" w:rsidRDefault="00861D6D" w:rsidP="00861D6D">
      <w:pPr>
        <w:pStyle w:val="berschrift3"/>
        <w:tabs>
          <w:tab w:val="num" w:pos="1134"/>
        </w:tabs>
        <w:spacing w:before="480"/>
        <w:ind w:left="1146" w:hanging="1106"/>
      </w:pPr>
      <w:bookmarkStart w:id="996" w:name="_Toc111118536"/>
      <w:r>
        <w:t>Mindestinhalte Abrechnung SLP-, RLM-Bilanzierungsumlage sowie Konvertierungsumlage für BKV, die am Direktzahlungsmodell teilnehmen</w:t>
      </w:r>
      <w:bookmarkEnd w:id="996"/>
    </w:p>
    <w:p w14:paraId="2F3ABE6B" w14:textId="77777777" w:rsidR="00861D6D" w:rsidRPr="001A01F9" w:rsidRDefault="00861D6D" w:rsidP="00861D6D">
      <w:pPr>
        <w:pStyle w:val="Listenabsatz"/>
        <w:numPr>
          <w:ilvl w:val="0"/>
          <w:numId w:val="69"/>
        </w:numPr>
        <w:rPr>
          <w:b/>
          <w:bCs/>
        </w:rPr>
      </w:pPr>
      <w:r w:rsidRPr="001A01F9">
        <w:rPr>
          <w:b/>
          <w:bCs/>
        </w:rPr>
        <w:t>Formalitäten:</w:t>
      </w:r>
    </w:p>
    <w:p w14:paraId="7BA7CABC" w14:textId="77777777" w:rsidR="00861D6D" w:rsidRDefault="00861D6D" w:rsidP="00861D6D">
      <w:pPr>
        <w:pStyle w:val="Listenabsatz"/>
        <w:numPr>
          <w:ilvl w:val="0"/>
          <w:numId w:val="70"/>
        </w:numPr>
      </w:pPr>
      <w:r>
        <w:t>Vollständiger Name und vollständige Anschrift des zu leistenden Unternehmers;</w:t>
      </w:r>
    </w:p>
    <w:p w14:paraId="6F199384" w14:textId="77777777" w:rsidR="00861D6D" w:rsidRDefault="00861D6D" w:rsidP="00861D6D">
      <w:pPr>
        <w:pStyle w:val="Listenabsatz"/>
        <w:numPr>
          <w:ilvl w:val="0"/>
          <w:numId w:val="70"/>
        </w:numPr>
      </w:pPr>
      <w:r>
        <w:t>Vollständiger Name und vollständige Anschrift des Leistungsempfängers;</w:t>
      </w:r>
    </w:p>
    <w:p w14:paraId="433D2DA8" w14:textId="77777777" w:rsidR="00861D6D" w:rsidRDefault="00861D6D" w:rsidP="00861D6D">
      <w:pPr>
        <w:pStyle w:val="Listenabsatz"/>
        <w:numPr>
          <w:ilvl w:val="0"/>
          <w:numId w:val="70"/>
        </w:numPr>
      </w:pPr>
      <w:r>
        <w:t>Fortlaufende Belegnummer;</w:t>
      </w:r>
    </w:p>
    <w:p w14:paraId="1D0D65DE" w14:textId="77777777" w:rsidR="00861D6D" w:rsidRDefault="00861D6D" w:rsidP="00861D6D">
      <w:pPr>
        <w:pStyle w:val="Listenabsatz"/>
        <w:numPr>
          <w:ilvl w:val="0"/>
          <w:numId w:val="70"/>
        </w:numPr>
      </w:pPr>
      <w:proofErr w:type="spellStart"/>
      <w:r>
        <w:t>USt</w:t>
      </w:r>
      <w:proofErr w:type="spellEnd"/>
      <w:r>
        <w:t>-Identifikationsnummern oder, soweit nicht vorhanden, die Steuernummer von MGV und BKV;</w:t>
      </w:r>
    </w:p>
    <w:p w14:paraId="2609B557" w14:textId="77777777" w:rsidR="00861D6D" w:rsidRDefault="00861D6D" w:rsidP="00861D6D">
      <w:pPr>
        <w:pStyle w:val="Listenabsatz"/>
        <w:numPr>
          <w:ilvl w:val="0"/>
          <w:numId w:val="70"/>
        </w:numPr>
      </w:pPr>
      <w:r>
        <w:t>EU: Anwendung des Reverse-Charge-Verfahrens (Netto-Abrechnung), Hinweis zum Übergang der Steuerschuldnerschaft auf den Leistungsempfänger;</w:t>
      </w:r>
    </w:p>
    <w:p w14:paraId="5D7E8D37" w14:textId="77777777" w:rsidR="00861D6D" w:rsidRDefault="00861D6D" w:rsidP="00861D6D">
      <w:pPr>
        <w:pStyle w:val="Listenabsatz"/>
        <w:numPr>
          <w:ilvl w:val="0"/>
          <w:numId w:val="70"/>
        </w:numPr>
      </w:pPr>
      <w:r>
        <w:t xml:space="preserve">Bei Drittland: Beachtung des jeweiligen lokalen </w:t>
      </w:r>
      <w:proofErr w:type="spellStart"/>
      <w:r>
        <w:t>Ust</w:t>
      </w:r>
      <w:proofErr w:type="spellEnd"/>
      <w:r>
        <w:t>-Rechts (Einzelfallbetrachtung);</w:t>
      </w:r>
    </w:p>
    <w:p w14:paraId="5AFC632D" w14:textId="77777777" w:rsidR="00861D6D" w:rsidRDefault="00861D6D" w:rsidP="00861D6D">
      <w:pPr>
        <w:pStyle w:val="Listenabsatz"/>
        <w:numPr>
          <w:ilvl w:val="0"/>
          <w:numId w:val="70"/>
        </w:numPr>
      </w:pPr>
      <w:r>
        <w:t>Ausstellungsdatum</w:t>
      </w:r>
    </w:p>
    <w:p w14:paraId="1F759A47" w14:textId="77777777" w:rsidR="00861D6D" w:rsidRPr="001A01F9" w:rsidRDefault="00861D6D" w:rsidP="00861D6D">
      <w:pPr>
        <w:pStyle w:val="Listenabsatz"/>
        <w:numPr>
          <w:ilvl w:val="0"/>
          <w:numId w:val="69"/>
        </w:numPr>
        <w:rPr>
          <w:b/>
          <w:bCs/>
        </w:rPr>
      </w:pPr>
      <w:r w:rsidRPr="001A01F9">
        <w:rPr>
          <w:b/>
          <w:bCs/>
        </w:rPr>
        <w:t>Betreff/Zuordnungsangaben</w:t>
      </w:r>
    </w:p>
    <w:p w14:paraId="7DAC62F7" w14:textId="77777777" w:rsidR="00861D6D" w:rsidRDefault="00861D6D" w:rsidP="00861D6D">
      <w:pPr>
        <w:pStyle w:val="Listenabsatz"/>
        <w:numPr>
          <w:ilvl w:val="0"/>
          <w:numId w:val="71"/>
        </w:numPr>
      </w:pPr>
      <w:r>
        <w:t>Bezeichnung des Belegs als „Rechnung“ oder „Gutschrift“;</w:t>
      </w:r>
    </w:p>
    <w:p w14:paraId="595DA161" w14:textId="77777777" w:rsidR="00861D6D" w:rsidRDefault="00861D6D" w:rsidP="00861D6D">
      <w:pPr>
        <w:pStyle w:val="Listenabsatz"/>
        <w:numPr>
          <w:ilvl w:val="0"/>
          <w:numId w:val="71"/>
        </w:numPr>
      </w:pPr>
      <w:r>
        <w:t>Bilanzkreisnummer des entsprechenden Bilanzkreises mit umlagepflichtigen Mengen, die im Zuge des Direktzahlungsmodells abgegeben wurden;</w:t>
      </w:r>
    </w:p>
    <w:p w14:paraId="7804E59E" w14:textId="77777777" w:rsidR="00861D6D" w:rsidRDefault="00861D6D" w:rsidP="00861D6D">
      <w:pPr>
        <w:pStyle w:val="Listenabsatz"/>
        <w:numPr>
          <w:ilvl w:val="0"/>
          <w:numId w:val="71"/>
        </w:numPr>
      </w:pPr>
      <w:r>
        <w:t>Abrechnungszeitraum (Leistungszeitraum)</w:t>
      </w:r>
    </w:p>
    <w:p w14:paraId="6EE9E75D" w14:textId="77777777" w:rsidR="00861D6D" w:rsidRPr="001A01F9" w:rsidRDefault="00861D6D" w:rsidP="00861D6D">
      <w:pPr>
        <w:pStyle w:val="Listenabsatz"/>
        <w:numPr>
          <w:ilvl w:val="0"/>
          <w:numId w:val="69"/>
        </w:numPr>
        <w:rPr>
          <w:b/>
          <w:bCs/>
        </w:rPr>
      </w:pPr>
      <w:r w:rsidRPr="001A01F9">
        <w:rPr>
          <w:b/>
          <w:bCs/>
        </w:rPr>
        <w:t>Monatssummen/ -beträge für die Bilanzkreisabrechnung</w:t>
      </w:r>
    </w:p>
    <w:p w14:paraId="1E5DDC7D" w14:textId="77777777" w:rsidR="00861D6D" w:rsidRPr="001A01F9" w:rsidRDefault="00861D6D" w:rsidP="00861D6D">
      <w:pPr>
        <w:pStyle w:val="Listenabsatz"/>
        <w:numPr>
          <w:ilvl w:val="0"/>
          <w:numId w:val="72"/>
        </w:numPr>
        <w:autoSpaceDE w:val="0"/>
        <w:autoSpaceDN w:val="0"/>
        <w:adjustRightInd w:val="0"/>
        <w:spacing w:after="0" w:line="240" w:lineRule="auto"/>
        <w:rPr>
          <w:rFonts w:cs="Arial"/>
        </w:rPr>
      </w:pPr>
      <w:r>
        <w:br w:type="page"/>
      </w:r>
      <w:r w:rsidRPr="001A01F9">
        <w:rPr>
          <w:rFonts w:cs="Arial"/>
        </w:rPr>
        <w:lastRenderedPageBreak/>
        <w:t>Ausweisung der monatlichen Menge für SLP-Bilanzierungsumlage in kWh, die spezifische</w:t>
      </w:r>
      <w:r>
        <w:rPr>
          <w:rFonts w:cs="Arial"/>
        </w:rPr>
        <w:t xml:space="preserve"> </w:t>
      </w:r>
      <w:r w:rsidRPr="001A01F9">
        <w:rPr>
          <w:rFonts w:cs="Arial"/>
        </w:rPr>
        <w:t>Höhe der Umlage und des Geldbetrages (netto);</w:t>
      </w:r>
    </w:p>
    <w:p w14:paraId="11E06B13" w14:textId="77777777" w:rsidR="00861D6D" w:rsidRDefault="00861D6D" w:rsidP="00861D6D">
      <w:pPr>
        <w:pStyle w:val="Listenabsatz"/>
        <w:numPr>
          <w:ilvl w:val="0"/>
          <w:numId w:val="72"/>
        </w:numPr>
        <w:autoSpaceDE w:val="0"/>
        <w:autoSpaceDN w:val="0"/>
        <w:adjustRightInd w:val="0"/>
        <w:spacing w:after="0" w:line="240" w:lineRule="auto"/>
        <w:rPr>
          <w:rFonts w:cs="Arial"/>
        </w:rPr>
      </w:pPr>
      <w:r w:rsidRPr="001A01F9">
        <w:rPr>
          <w:rFonts w:cs="Arial"/>
        </w:rPr>
        <w:t>Ausweisung der monatlichen Mengen für RLM-Bilanzierungsumlage in kWh, die spezifische Höhe der Umlage und des Geldbetrages (netto);</w:t>
      </w:r>
    </w:p>
    <w:p w14:paraId="69786C33" w14:textId="77777777" w:rsidR="00861D6D" w:rsidRDefault="00861D6D" w:rsidP="00861D6D">
      <w:pPr>
        <w:pStyle w:val="Listenabsatz"/>
        <w:numPr>
          <w:ilvl w:val="0"/>
          <w:numId w:val="72"/>
        </w:numPr>
        <w:autoSpaceDE w:val="0"/>
        <w:autoSpaceDN w:val="0"/>
        <w:adjustRightInd w:val="0"/>
        <w:spacing w:after="0" w:line="240" w:lineRule="auto"/>
        <w:rPr>
          <w:rFonts w:cs="Arial"/>
        </w:rPr>
      </w:pPr>
      <w:r>
        <w:rPr>
          <w:rFonts w:cs="Arial"/>
        </w:rPr>
        <w:t>Ausweisung der monatlichen Mengen für Konvertierungsumlagen in kWh, die spezifische Höhe der Umlage und des Geldbetrags (netto);</w:t>
      </w:r>
    </w:p>
    <w:p w14:paraId="4BDBD87D" w14:textId="77777777" w:rsidR="00861D6D" w:rsidRDefault="00861D6D" w:rsidP="00861D6D">
      <w:pPr>
        <w:pStyle w:val="Listenabsatz"/>
        <w:numPr>
          <w:ilvl w:val="0"/>
          <w:numId w:val="72"/>
        </w:numPr>
        <w:autoSpaceDE w:val="0"/>
        <w:autoSpaceDN w:val="0"/>
        <w:adjustRightInd w:val="0"/>
        <w:spacing w:after="0" w:line="240" w:lineRule="auto"/>
        <w:rPr>
          <w:rFonts w:cs="Arial"/>
        </w:rPr>
      </w:pPr>
      <w:r>
        <w:rPr>
          <w:rFonts w:cs="Arial"/>
        </w:rPr>
        <w:t>Ausweis der anzufallenden Umsatzsteuer, der auf das Gesamtentgelt entfällt;</w:t>
      </w:r>
    </w:p>
    <w:p w14:paraId="4C0D05D5" w14:textId="77777777" w:rsidR="00861D6D" w:rsidRPr="001A01F9" w:rsidRDefault="00861D6D" w:rsidP="00861D6D">
      <w:pPr>
        <w:pStyle w:val="Listenabsatz"/>
        <w:numPr>
          <w:ilvl w:val="0"/>
          <w:numId w:val="72"/>
        </w:numPr>
        <w:autoSpaceDE w:val="0"/>
        <w:autoSpaceDN w:val="0"/>
        <w:adjustRightInd w:val="0"/>
        <w:spacing w:after="0" w:line="240" w:lineRule="auto"/>
        <w:rPr>
          <w:rFonts w:cs="Arial"/>
        </w:rPr>
      </w:pPr>
      <w:r>
        <w:rPr>
          <w:rFonts w:cs="Arial"/>
        </w:rPr>
        <w:t>Ausweisung des Bruttogesamtbetrages</w:t>
      </w:r>
    </w:p>
    <w:p w14:paraId="34D12C8B" w14:textId="77777777" w:rsidR="00861D6D" w:rsidRDefault="00861D6D" w:rsidP="00861D6D">
      <w:pPr>
        <w:pStyle w:val="Aufzhlungszeichen"/>
        <w:numPr>
          <w:ilvl w:val="0"/>
          <w:numId w:val="0"/>
        </w:numPr>
        <w:ind w:left="357" w:hanging="357"/>
      </w:pPr>
    </w:p>
    <w:p w14:paraId="16EF79D2" w14:textId="31D789E0" w:rsidR="007E05AB" w:rsidRDefault="006F3D0F" w:rsidP="00861D6D">
      <w:pPr>
        <w:pStyle w:val="Aufzhlungszeichen"/>
        <w:numPr>
          <w:ilvl w:val="0"/>
          <w:numId w:val="0"/>
        </w:numPr>
        <w:ind w:left="357" w:hanging="357"/>
      </w:pPr>
      <w:r>
        <w:br w:type="page"/>
      </w:r>
    </w:p>
    <w:p w14:paraId="7C21191E" w14:textId="77777777" w:rsidR="0094218D" w:rsidRDefault="0094218D" w:rsidP="00060230">
      <w:pPr>
        <w:pStyle w:val="berschrift2"/>
        <w:spacing w:before="0"/>
        <w:ind w:left="567" w:hanging="567"/>
      </w:pPr>
      <w:bookmarkStart w:id="997" w:name="_Toc346537701"/>
      <w:bookmarkStart w:id="998" w:name="_Toc346537851"/>
      <w:bookmarkStart w:id="999" w:name="_Toc346785061"/>
      <w:bookmarkStart w:id="1000" w:name="_Toc346868188"/>
      <w:bookmarkStart w:id="1001" w:name="_Toc347920196"/>
      <w:bookmarkStart w:id="1002" w:name="_Toc347921424"/>
      <w:bookmarkStart w:id="1003" w:name="_Toc347921482"/>
      <w:bookmarkStart w:id="1004" w:name="_Toc347921704"/>
      <w:bookmarkStart w:id="1005" w:name="_Toc347926676"/>
      <w:bookmarkStart w:id="1006" w:name="_Toc347995064"/>
      <w:bookmarkStart w:id="1007" w:name="_Toc347995159"/>
      <w:bookmarkStart w:id="1008" w:name="_Toc347997842"/>
      <w:bookmarkStart w:id="1009" w:name="_Toc347997937"/>
      <w:bookmarkStart w:id="1010" w:name="_Toc412661379"/>
      <w:bookmarkStart w:id="1011" w:name="_Toc111118537"/>
      <w:bookmarkStart w:id="1012" w:name="_Toc286935669"/>
      <w:bookmarkStart w:id="1013" w:name="_Toc296694143"/>
      <w:bookmarkStart w:id="1014" w:name="_Toc391540214"/>
      <w:bookmarkStart w:id="1015" w:name="_Toc284323682"/>
      <w:bookmarkStart w:id="1016" w:name="_Toc284334359"/>
      <w:bookmarkStart w:id="1017" w:name="_Toc285005333"/>
      <w:bookmarkStart w:id="1018" w:name="_Toc280808885"/>
      <w:bookmarkEnd w:id="997"/>
      <w:bookmarkEnd w:id="998"/>
      <w:bookmarkEnd w:id="999"/>
      <w:bookmarkEnd w:id="1000"/>
      <w:bookmarkEnd w:id="1001"/>
      <w:bookmarkEnd w:id="1002"/>
      <w:bookmarkEnd w:id="1003"/>
      <w:bookmarkEnd w:id="1004"/>
      <w:bookmarkEnd w:id="1005"/>
      <w:bookmarkEnd w:id="1006"/>
      <w:bookmarkEnd w:id="1007"/>
      <w:bookmarkEnd w:id="1008"/>
      <w:bookmarkEnd w:id="1009"/>
      <w:r>
        <w:lastRenderedPageBreak/>
        <w:t>RLM-Differenzmengenabrechnung</w:t>
      </w:r>
      <w:bookmarkEnd w:id="1010"/>
      <w:bookmarkEnd w:id="1011"/>
    </w:p>
    <w:p w14:paraId="1CCD9E12" w14:textId="77777777" w:rsidR="00CF576B" w:rsidRDefault="00B24ABC" w:rsidP="00060230">
      <w:pPr>
        <w:rPr>
          <w:szCs w:val="24"/>
        </w:rPr>
      </w:pPr>
      <w:r>
        <w:rPr>
          <w:szCs w:val="24"/>
        </w:rPr>
        <w:t xml:space="preserve">Die </w:t>
      </w:r>
      <w:r w:rsidR="00CF576B">
        <w:rPr>
          <w:szCs w:val="24"/>
        </w:rPr>
        <w:t>RLM-</w:t>
      </w:r>
      <w:r>
        <w:rPr>
          <w:szCs w:val="24"/>
        </w:rPr>
        <w:t>Differenzmengen werden monatlich</w:t>
      </w:r>
      <w:r w:rsidR="0083657E">
        <w:rPr>
          <w:szCs w:val="24"/>
        </w:rPr>
        <w:t xml:space="preserve"> tagesscharf</w:t>
      </w:r>
      <w:r>
        <w:rPr>
          <w:szCs w:val="24"/>
        </w:rPr>
        <w:t xml:space="preserve"> </w:t>
      </w:r>
      <w:r w:rsidR="00CF576B">
        <w:rPr>
          <w:szCs w:val="24"/>
        </w:rPr>
        <w:t xml:space="preserve">über die Bilanzkreisabrechnung </w:t>
      </w:r>
      <w:r>
        <w:t xml:space="preserve">im Verhältnis zwischen dem MGV und </w:t>
      </w:r>
      <w:r w:rsidR="00D034D5">
        <w:t xml:space="preserve">dem </w:t>
      </w:r>
      <w:r>
        <w:t xml:space="preserve">BKV </w:t>
      </w:r>
      <w:r>
        <w:rPr>
          <w:szCs w:val="24"/>
        </w:rPr>
        <w:t>abgerechnet</w:t>
      </w:r>
      <w:r>
        <w:t>.</w:t>
      </w:r>
      <w:r w:rsidR="00CF576B">
        <w:rPr>
          <w:szCs w:val="24"/>
        </w:rPr>
        <w:t xml:space="preserve"> Die RLM-Differenzmengen können umfassen:</w:t>
      </w:r>
    </w:p>
    <w:p w14:paraId="1735C9EB" w14:textId="1DDC7A11" w:rsidR="006E3950" w:rsidRPr="00935EE3" w:rsidRDefault="00D034D5" w:rsidP="007F76BC">
      <w:pPr>
        <w:pStyle w:val="Aufzhlungszeichen"/>
        <w:numPr>
          <w:ilvl w:val="0"/>
          <w:numId w:val="26"/>
        </w:numPr>
        <w:ind w:left="357" w:hanging="357"/>
      </w:pPr>
      <w:r w:rsidRPr="00935EE3">
        <w:t>Abweichungen</w:t>
      </w:r>
      <w:r>
        <w:t xml:space="preserve">, die sich aus der Mengenzuordnung mit </w:t>
      </w:r>
      <w:r w:rsidRPr="00935EE3">
        <w:t>Bilanzierungsbrennwert und</w:t>
      </w:r>
      <w:r w:rsidRPr="00D034D5">
        <w:t xml:space="preserve"> </w:t>
      </w:r>
      <w:r>
        <w:t xml:space="preserve">der Mengenzuordnung mit </w:t>
      </w:r>
      <w:r w:rsidRPr="00935EE3">
        <w:t>abrechnungsrelevanten Brennwerten</w:t>
      </w:r>
      <w:r>
        <w:t xml:space="preserve"> eines Bilanzkreises von </w:t>
      </w:r>
      <w:r w:rsidR="00E930B9">
        <w:t xml:space="preserve">ausspeisenden </w:t>
      </w:r>
      <w:r>
        <w:t>RLM-</w:t>
      </w:r>
      <w:r w:rsidR="00E930B9">
        <w:t>Marktlokationen</w:t>
      </w:r>
      <w:r w:rsidR="00E507E6">
        <w:t xml:space="preserve"> </w:t>
      </w:r>
      <w:r>
        <w:t>ergeben</w:t>
      </w:r>
      <w:r w:rsidR="00E507E6">
        <w:t xml:space="preserve"> nach Kap.</w:t>
      </w:r>
      <w:r w:rsidR="00D718A1">
        <w:t xml:space="preserve"> </w:t>
      </w:r>
      <w:r w:rsidR="0011373C">
        <w:fldChar w:fldCharType="begin"/>
      </w:r>
      <w:r w:rsidR="0011373C">
        <w:instrText xml:space="preserve"> REF _Ref417897746 \r \h  \* MERGEFORMAT </w:instrText>
      </w:r>
      <w:r w:rsidR="0011373C">
        <w:fldChar w:fldCharType="separate"/>
      </w:r>
      <w:r w:rsidR="00692E23">
        <w:t>5.5</w:t>
      </w:r>
      <w:r w:rsidR="0011373C">
        <w:fldChar w:fldCharType="end"/>
      </w:r>
      <w:r w:rsidR="002E4262">
        <w:t>,</w:t>
      </w:r>
    </w:p>
    <w:p w14:paraId="05900AC0" w14:textId="7C0233CE" w:rsidR="006E3950" w:rsidRPr="00935EE3" w:rsidRDefault="00CF576B" w:rsidP="007F76BC">
      <w:pPr>
        <w:pStyle w:val="Aufzhlungszeichen"/>
        <w:numPr>
          <w:ilvl w:val="0"/>
          <w:numId w:val="26"/>
        </w:numPr>
        <w:ind w:left="357" w:hanging="357"/>
      </w:pPr>
      <w:r w:rsidRPr="00935EE3">
        <w:t xml:space="preserve">Abweichungen </w:t>
      </w:r>
      <w:r w:rsidR="00D710D7">
        <w:t>je ausspeisenden</w:t>
      </w:r>
      <w:r w:rsidRPr="00935EE3">
        <w:t xml:space="preserve"> RLM-</w:t>
      </w:r>
      <w:r w:rsidR="00D034D5" w:rsidRPr="00935EE3">
        <w:t xml:space="preserve"> </w:t>
      </w:r>
      <w:r w:rsidR="00D710D7">
        <w:t>Marktlokation</w:t>
      </w:r>
      <w:r w:rsidRPr="00935EE3">
        <w:t xml:space="preserve">, die durch </w:t>
      </w:r>
      <w:r>
        <w:t>ein Clearing</w:t>
      </w:r>
      <w:r w:rsidR="008A6AAB">
        <w:t xml:space="preserve"> mit NB-Clearingnummer</w:t>
      </w:r>
      <w:r>
        <w:t xml:space="preserve"> entstehen</w:t>
      </w:r>
      <w:r w:rsidR="002E4262">
        <w:t xml:space="preserve"> nach Kap. </w:t>
      </w:r>
      <w:r w:rsidR="0011373C">
        <w:fldChar w:fldCharType="begin"/>
      </w:r>
      <w:r w:rsidR="0011373C">
        <w:instrText xml:space="preserve"> REF _Ref293074751 \r \h  \* MERGEFORMAT </w:instrText>
      </w:r>
      <w:r w:rsidR="0011373C">
        <w:fldChar w:fldCharType="separate"/>
      </w:r>
      <w:r w:rsidR="00692E23">
        <w:t>8.2</w:t>
      </w:r>
      <w:r w:rsidR="0011373C">
        <w:fldChar w:fldCharType="end"/>
      </w:r>
      <w:r>
        <w:t>,</w:t>
      </w:r>
    </w:p>
    <w:p w14:paraId="01F91B14" w14:textId="75580BF0" w:rsidR="006E3950" w:rsidRPr="00935EE3" w:rsidRDefault="00914AE9" w:rsidP="007F76BC">
      <w:pPr>
        <w:pStyle w:val="Aufzhlungszeichen"/>
        <w:numPr>
          <w:ilvl w:val="0"/>
          <w:numId w:val="26"/>
        </w:numPr>
        <w:ind w:left="357" w:hanging="357"/>
      </w:pPr>
      <w:r w:rsidRPr="00935EE3">
        <w:t>Abweichungen aufgrund einer nachträglichen Allokationsdatenkorrektu</w:t>
      </w:r>
      <w:r>
        <w:t xml:space="preserve">r nach Kap. </w:t>
      </w:r>
      <w:r w:rsidR="0011373C">
        <w:fldChar w:fldCharType="begin"/>
      </w:r>
      <w:r w:rsidR="0011373C">
        <w:instrText xml:space="preserve"> REF _Ref381028482 \r \h  \* MERGEFORMAT </w:instrText>
      </w:r>
      <w:r w:rsidR="0011373C">
        <w:fldChar w:fldCharType="separate"/>
      </w:r>
      <w:r w:rsidR="00692E23">
        <w:t>8.3</w:t>
      </w:r>
      <w:r w:rsidR="0011373C">
        <w:fldChar w:fldCharType="end"/>
      </w:r>
      <w:r w:rsidR="002044A3">
        <w:t>.</w:t>
      </w:r>
    </w:p>
    <w:p w14:paraId="4C909200" w14:textId="77777777" w:rsidR="008B6160" w:rsidRPr="00344307" w:rsidRDefault="008B6160" w:rsidP="00BF6428">
      <w:pPr>
        <w:autoSpaceDE w:val="0"/>
        <w:autoSpaceDN w:val="0"/>
        <w:adjustRightInd w:val="0"/>
        <w:rPr>
          <w:rFonts w:cs="Arial"/>
        </w:rPr>
      </w:pPr>
      <w:r w:rsidRPr="00344307">
        <w:rPr>
          <w:rFonts w:cs="Arial"/>
        </w:rPr>
        <w:t xml:space="preserve">Für Tage, an denen der </w:t>
      </w:r>
      <w:r w:rsidR="000A17CA" w:rsidRPr="00950DFE">
        <w:rPr>
          <w:rFonts w:cs="Arial"/>
        </w:rPr>
        <w:t>NB</w:t>
      </w:r>
      <w:r w:rsidRPr="00ED5276">
        <w:rPr>
          <w:rFonts w:cs="Arial"/>
        </w:rPr>
        <w:t xml:space="preserve"> dem </w:t>
      </w:r>
      <w:r w:rsidR="000A17CA" w:rsidRPr="003C5279">
        <w:rPr>
          <w:rFonts w:cs="Arial"/>
        </w:rPr>
        <w:t>MGV</w:t>
      </w:r>
      <w:r w:rsidR="00593CD7" w:rsidRPr="00BF6428">
        <w:rPr>
          <w:rFonts w:cs="Arial"/>
        </w:rPr>
        <w:t xml:space="preserve"> in Zuge der M+12</w:t>
      </w:r>
      <w:r w:rsidR="00171152" w:rsidRPr="00BF6428">
        <w:rPr>
          <w:rFonts w:cs="Arial"/>
        </w:rPr>
        <w:t>WT</w:t>
      </w:r>
      <w:r w:rsidR="00593CD7" w:rsidRPr="00BF6428">
        <w:rPr>
          <w:rFonts w:cs="Arial"/>
        </w:rPr>
        <w:t xml:space="preserve"> Datenübermittlung </w:t>
      </w:r>
      <w:r w:rsidRPr="00BF6428">
        <w:rPr>
          <w:rFonts w:cs="Arial"/>
        </w:rPr>
        <w:t xml:space="preserve">keine Mengen mit abrechnungsrelevanten Brennwerten gesendet hat, verwendet der </w:t>
      </w:r>
      <w:r w:rsidR="000A17CA" w:rsidRPr="00BF6428">
        <w:rPr>
          <w:rFonts w:cs="Arial"/>
        </w:rPr>
        <w:t>MGV</w:t>
      </w:r>
      <w:r w:rsidRPr="00BF6428">
        <w:rPr>
          <w:rFonts w:cs="Arial"/>
        </w:rPr>
        <w:t xml:space="preserve"> die Mengenzuordnung mit Bilanzierungsbrennwert auch für die abrechnungsrelevante Mengenzuordnung eines Bilanzkreises. Daraus resultiert eine Differenzmenge von Null für die entsprechenden Tage.</w:t>
      </w:r>
      <w:r w:rsidR="000A17CA" w:rsidRPr="00BF6428">
        <w:rPr>
          <w:rFonts w:cs="Arial"/>
        </w:rPr>
        <w:t xml:space="preserve"> Der MGV informiert in diesem Fall den NB über das Fehlen der RLM-Allokation umgewertet mit Abrechnungsbrennwert</w:t>
      </w:r>
      <w:r w:rsidR="007E0894" w:rsidRPr="00BF6428">
        <w:rPr>
          <w:rFonts w:cs="Arial"/>
        </w:rPr>
        <w:t>.</w:t>
      </w:r>
    </w:p>
    <w:p w14:paraId="613DEBA2" w14:textId="4F8D5708" w:rsidR="0094218D" w:rsidRPr="00BF6428" w:rsidRDefault="005C3BAB" w:rsidP="00BF6428">
      <w:pPr>
        <w:autoSpaceDE w:val="0"/>
        <w:autoSpaceDN w:val="0"/>
        <w:adjustRightInd w:val="0"/>
        <w:rPr>
          <w:rFonts w:cs="Arial"/>
        </w:rPr>
      </w:pPr>
      <w:r w:rsidRPr="00950DFE">
        <w:rPr>
          <w:rFonts w:cs="Arial"/>
        </w:rPr>
        <w:t xml:space="preserve">Für die Abrechnung ist der tägliche </w:t>
      </w:r>
      <w:r w:rsidR="000F4DD1" w:rsidRPr="00ED5276">
        <w:rPr>
          <w:rFonts w:cs="Arial"/>
        </w:rPr>
        <w:t>Differenzmengenpreis</w:t>
      </w:r>
      <w:r w:rsidRPr="003C5279">
        <w:rPr>
          <w:rFonts w:cs="Arial"/>
        </w:rPr>
        <w:t xml:space="preserve"> heranzuziehen. Dieser ist </w:t>
      </w:r>
      <w:r w:rsidR="002E4262" w:rsidRPr="00BF6428">
        <w:rPr>
          <w:rFonts w:cs="Arial"/>
        </w:rPr>
        <w:t>auf die sich</w:t>
      </w:r>
      <w:r w:rsidRPr="00BF6428">
        <w:rPr>
          <w:rFonts w:cs="Arial"/>
        </w:rPr>
        <w:t xml:space="preserve"> ergebenden positiven als auch negativen Differenzmengen anzuwenden.</w:t>
      </w:r>
    </w:p>
    <w:p w14:paraId="1F858A55" w14:textId="7B8A6FA0" w:rsidR="00F65FCE" w:rsidRPr="00C824D5" w:rsidRDefault="00F65FCE" w:rsidP="00BF6428">
      <w:pPr>
        <w:autoSpaceDE w:val="0"/>
        <w:autoSpaceDN w:val="0"/>
        <w:adjustRightInd w:val="0"/>
        <w:rPr>
          <w:rFonts w:cs="Arial"/>
        </w:rPr>
      </w:pPr>
      <w:r w:rsidRPr="00BF6428">
        <w:rPr>
          <w:rFonts w:cs="Arial"/>
        </w:rPr>
        <w:t>Eine RLM-Differenzmengenabrechnung für RLM-</w:t>
      </w:r>
      <w:r w:rsidR="00D710D7">
        <w:rPr>
          <w:rFonts w:cs="Arial"/>
        </w:rPr>
        <w:t>Marktlokationen</w:t>
      </w:r>
      <w:r w:rsidRPr="00BF6428">
        <w:rPr>
          <w:rFonts w:cs="Arial"/>
        </w:rPr>
        <w:t>, die einem Biogas-Bilanzkreis bzw. Subbilanzkonto zugeordnet sind, entfällt.</w:t>
      </w:r>
    </w:p>
    <w:p w14:paraId="6118A89B" w14:textId="77777777" w:rsidR="00EB3BF5" w:rsidRDefault="00EB3BF5" w:rsidP="00060230">
      <w:pPr>
        <w:pStyle w:val="berschrift2"/>
        <w:spacing w:before="480"/>
        <w:ind w:left="567" w:hanging="567"/>
      </w:pPr>
      <w:bookmarkStart w:id="1019" w:name="_Toc111118538"/>
      <w:bookmarkStart w:id="1020" w:name="_Ref411947592"/>
      <w:r>
        <w:t>Abrechnung Biogasbilanzkreise</w:t>
      </w:r>
      <w:bookmarkEnd w:id="1019"/>
    </w:p>
    <w:p w14:paraId="0A093853" w14:textId="77777777" w:rsidR="007E05AB" w:rsidRDefault="009C54DD" w:rsidP="005D3099">
      <w:pPr>
        <w:pStyle w:val="berschrift3"/>
        <w:tabs>
          <w:tab w:val="num" w:pos="1134"/>
        </w:tabs>
        <w:spacing w:before="480"/>
        <w:ind w:left="1146" w:hanging="1106"/>
      </w:pPr>
      <w:bookmarkStart w:id="1021" w:name="_Toc412661380"/>
      <w:bookmarkStart w:id="1022" w:name="_Toc111118539"/>
      <w:r w:rsidRPr="005D3099">
        <w:t>Abrechnung</w:t>
      </w:r>
      <w:r>
        <w:t xml:space="preserve"> der tatsächlich in Anspruch genommene</w:t>
      </w:r>
      <w:r w:rsidR="00094966">
        <w:t>n</w:t>
      </w:r>
      <w:r>
        <w:t xml:space="preserve"> Flexibilität bei Biogasbilanzkreisen</w:t>
      </w:r>
      <w:bookmarkEnd w:id="1012"/>
      <w:bookmarkEnd w:id="1013"/>
      <w:bookmarkEnd w:id="1014"/>
      <w:bookmarkEnd w:id="1020"/>
      <w:bookmarkEnd w:id="1021"/>
      <w:bookmarkEnd w:id="1022"/>
    </w:p>
    <w:bookmarkEnd w:id="1015"/>
    <w:bookmarkEnd w:id="1016"/>
    <w:bookmarkEnd w:id="1017"/>
    <w:bookmarkEnd w:id="1018"/>
    <w:p w14:paraId="1EC27EDA" w14:textId="77777777" w:rsidR="00DF612D" w:rsidRDefault="00DF612D" w:rsidP="00C824D5">
      <w:pPr>
        <w:autoSpaceDE w:val="0"/>
        <w:autoSpaceDN w:val="0"/>
        <w:adjustRightInd w:val="0"/>
        <w:rPr>
          <w:rFonts w:cs="Arial"/>
        </w:rPr>
      </w:pPr>
      <w:r>
        <w:rPr>
          <w:rFonts w:cs="Arial"/>
        </w:rPr>
        <w:t xml:space="preserve">Die tatsächlich in Anspruch genommene Flexibilität – ermittelt nach sämtlichen Flexibilitätsübertragungsprozessen – wird als </w:t>
      </w:r>
      <w:r w:rsidRPr="003961E6">
        <w:rPr>
          <w:rFonts w:cs="Arial"/>
        </w:rPr>
        <w:t>der höchste positive oder negative angefallene kumulierte Saldo zwischen der Ausspeisemenge und der Einspeisemenge auf Tagesbasis bestimmt</w:t>
      </w:r>
      <w:r>
        <w:rPr>
          <w:rFonts w:cs="Arial"/>
        </w:rPr>
        <w:t xml:space="preserve"> und während des Bilanzierungszeitraums berechnet. D</w:t>
      </w:r>
      <w:r w:rsidRPr="009A4AD7">
        <w:rPr>
          <w:rFonts w:cs="Arial"/>
        </w:rPr>
        <w:t>abei darf der zuvor</w:t>
      </w:r>
      <w:r>
        <w:rPr>
          <w:rFonts w:cs="Arial"/>
        </w:rPr>
        <w:t xml:space="preserve"> ermittelte Flexibilitätsrahmen</w:t>
      </w:r>
      <w:r w:rsidRPr="009A4AD7">
        <w:rPr>
          <w:rFonts w:cs="Arial"/>
        </w:rPr>
        <w:t xml:space="preserve"> nicht überschritten werden</w:t>
      </w:r>
      <w:r>
        <w:rPr>
          <w:rFonts w:cs="Arial"/>
        </w:rPr>
        <w:t>. Für jede kWh der in Anspruch genommenen Flexibilität innerhalb des Flexibilitätsrahmens hat der Bilanzkreisverantwortliche ein E</w:t>
      </w:r>
      <w:r w:rsidR="00DD4A5B">
        <w:rPr>
          <w:rFonts w:cs="Arial"/>
        </w:rPr>
        <w:t xml:space="preserve">ntgelt von 0,001 </w:t>
      </w:r>
      <w:r w:rsidR="00530656">
        <w:rPr>
          <w:rFonts w:cs="Arial"/>
        </w:rPr>
        <w:t xml:space="preserve">EUR </w:t>
      </w:r>
      <w:r w:rsidR="00DD4A5B">
        <w:rPr>
          <w:rFonts w:cs="Arial"/>
        </w:rPr>
        <w:t>zu zahlen.</w:t>
      </w:r>
    </w:p>
    <w:p w14:paraId="26893B9A" w14:textId="77777777" w:rsidR="005E563F" w:rsidRDefault="00DF612D" w:rsidP="00060230">
      <w:pPr>
        <w:rPr>
          <w:rFonts w:cs="Arial"/>
        </w:rPr>
      </w:pPr>
      <w:r>
        <w:rPr>
          <w:rFonts w:cs="Arial"/>
        </w:rPr>
        <w:t>Für die Berechnung des Saldos werden alle Ein- und Ausspeisungen von Biogas-</w:t>
      </w:r>
      <w:r w:rsidR="00A64019">
        <w:rPr>
          <w:rFonts w:cs="Arial"/>
        </w:rPr>
        <w:t>BK</w:t>
      </w:r>
      <w:r>
        <w:rPr>
          <w:rFonts w:cs="Arial"/>
        </w:rPr>
        <w:t xml:space="preserve"> mit ihren zugeordneten Biogas-</w:t>
      </w:r>
      <w:r w:rsidR="00A64019">
        <w:rPr>
          <w:rFonts w:cs="Arial"/>
        </w:rPr>
        <w:t>SBK</w:t>
      </w:r>
      <w:r>
        <w:rPr>
          <w:rFonts w:cs="Arial"/>
        </w:rPr>
        <w:t xml:space="preserve"> aggregiert. Das gleiche gilt für die Ein- und Ausspeisemengen von Biogas-</w:t>
      </w:r>
      <w:r w:rsidR="000E634C">
        <w:rPr>
          <w:rFonts w:cs="Arial"/>
        </w:rPr>
        <w:t xml:space="preserve">RBK </w:t>
      </w:r>
      <w:r>
        <w:rPr>
          <w:rFonts w:cs="Arial"/>
        </w:rPr>
        <w:t xml:space="preserve">und verbundenen </w:t>
      </w:r>
      <w:r w:rsidR="000E634C">
        <w:rPr>
          <w:rFonts w:cs="Arial"/>
        </w:rPr>
        <w:t>UBK</w:t>
      </w:r>
      <w:r>
        <w:rPr>
          <w:rFonts w:cs="Arial"/>
        </w:rPr>
        <w:t>.</w:t>
      </w:r>
    </w:p>
    <w:p w14:paraId="79C04494" w14:textId="77777777" w:rsidR="000B39E0" w:rsidRDefault="000B39E0" w:rsidP="00060230">
      <w:pPr>
        <w:rPr>
          <w:rFonts w:cs="Arial"/>
        </w:rPr>
      </w:pPr>
      <w:r>
        <w:rPr>
          <w:rFonts w:cs="Arial"/>
        </w:rPr>
        <w:lastRenderedPageBreak/>
        <w:t xml:space="preserve">Der MGV verwendet die am Ende des Bilanzierungszeitraums vorliegende Bilanzkreisverbindung zur Abrechnung der </w:t>
      </w:r>
      <w:r w:rsidR="000E634C">
        <w:rPr>
          <w:rFonts w:cs="Arial"/>
        </w:rPr>
        <w:t>BK</w:t>
      </w:r>
      <w:r>
        <w:rPr>
          <w:rFonts w:cs="Arial"/>
        </w:rPr>
        <w:t>.</w:t>
      </w:r>
    </w:p>
    <w:p w14:paraId="6013E676" w14:textId="77777777" w:rsidR="00DF612D" w:rsidRDefault="00DF612D" w:rsidP="00060230">
      <w:pPr>
        <w:rPr>
          <w:rFonts w:cs="Arial"/>
        </w:rPr>
      </w:pPr>
      <w:r>
        <w:rPr>
          <w:rFonts w:cs="Arial"/>
        </w:rPr>
        <w:t>Die Entgelte für die tatsächlich in Anspruch genommene Flexibilität können erst berechnet werden, wenn der Prozess der Flexibilitätsübertragung abges</w:t>
      </w:r>
      <w:r w:rsidR="00B21794">
        <w:rPr>
          <w:rFonts w:cs="Arial"/>
        </w:rPr>
        <w:t xml:space="preserve">chlossen ist. Dieser Zeitpunkt </w:t>
      </w:r>
      <w:r>
        <w:rPr>
          <w:rFonts w:cs="Arial"/>
        </w:rPr>
        <w:t>ist spätestens 2M+17 WT nach Ende des Bilanzierungszeitraums.</w:t>
      </w:r>
    </w:p>
    <w:p w14:paraId="767D3114" w14:textId="77777777" w:rsidR="00E157A6" w:rsidRDefault="000C3014" w:rsidP="005F74AF">
      <w:pPr>
        <w:rPr>
          <w:b/>
          <w:bCs/>
        </w:rPr>
      </w:pPr>
      <w:r w:rsidRPr="00B03454">
        <w:rPr>
          <w:b/>
          <w:bCs/>
          <w:noProof/>
        </w:rPr>
        <w:drawing>
          <wp:inline distT="0" distB="0" distL="0" distR="0" wp14:anchorId="2F791A9F" wp14:editId="53FF10D7">
            <wp:extent cx="5080519" cy="3616970"/>
            <wp:effectExtent l="19050" t="0" r="5831"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2" cstate="print"/>
                    <a:srcRect l="2845" t="1535" b="3046"/>
                    <a:stretch>
                      <a:fillRect/>
                    </a:stretch>
                  </pic:blipFill>
                  <pic:spPr bwMode="auto">
                    <a:xfrm>
                      <a:off x="0" y="0"/>
                      <a:ext cx="5080519" cy="3616970"/>
                    </a:xfrm>
                    <a:prstGeom prst="rect">
                      <a:avLst/>
                    </a:prstGeom>
                    <a:noFill/>
                    <a:ln w="9525">
                      <a:noFill/>
                      <a:miter lim="800000"/>
                      <a:headEnd/>
                      <a:tailEnd/>
                    </a:ln>
                  </pic:spPr>
                </pic:pic>
              </a:graphicData>
            </a:graphic>
          </wp:inline>
        </w:drawing>
      </w:r>
      <w:bookmarkStart w:id="1023" w:name="_Toc280702179"/>
      <w:bookmarkStart w:id="1024" w:name="_Toc285005417"/>
      <w:bookmarkStart w:id="1025" w:name="_Toc285313974"/>
      <w:bookmarkStart w:id="1026" w:name="_Toc285126097"/>
      <w:bookmarkStart w:id="1027" w:name="_Toc296694364"/>
      <w:bookmarkStart w:id="1028" w:name="_Toc357092031"/>
      <w:bookmarkStart w:id="1029" w:name="_Toc390346587"/>
    </w:p>
    <w:p w14:paraId="3BD0C1E7" w14:textId="0D312735" w:rsidR="00E157A6" w:rsidRDefault="00DF612D" w:rsidP="005D3099">
      <w:pPr>
        <w:spacing w:before="360" w:after="240"/>
        <w:rPr>
          <w:b/>
          <w:bCs/>
        </w:rPr>
      </w:pPr>
      <w:bookmarkStart w:id="1030" w:name="_Toc412562659"/>
      <w:bookmarkStart w:id="1031" w:name="_Toc437530349"/>
      <w:bookmarkStart w:id="1032" w:name="_Toc111118619"/>
      <w:bookmarkStart w:id="1033" w:name="_Toc111196165"/>
      <w:r w:rsidRPr="00B03454">
        <w:rPr>
          <w:b/>
          <w:bCs/>
        </w:rPr>
        <w:t xml:space="preserve">Abbildung </w:t>
      </w:r>
      <w:r w:rsidR="00561FFA" w:rsidRPr="00B03454">
        <w:rPr>
          <w:b/>
          <w:bCs/>
        </w:rPr>
        <w:fldChar w:fldCharType="begin"/>
      </w:r>
      <w:r w:rsidR="00384FCA" w:rsidRPr="00B03454">
        <w:rPr>
          <w:b/>
          <w:bCs/>
        </w:rPr>
        <w:instrText xml:space="preserve"> SEQ Abbildung \* ARABIC </w:instrText>
      </w:r>
      <w:r w:rsidR="00561FFA" w:rsidRPr="00B03454">
        <w:rPr>
          <w:b/>
          <w:bCs/>
        </w:rPr>
        <w:fldChar w:fldCharType="separate"/>
      </w:r>
      <w:r w:rsidR="007A098D">
        <w:rPr>
          <w:b/>
          <w:bCs/>
          <w:noProof/>
        </w:rPr>
        <w:t>36</w:t>
      </w:r>
      <w:r w:rsidR="00561FFA" w:rsidRPr="00B03454">
        <w:rPr>
          <w:b/>
          <w:bCs/>
        </w:rPr>
        <w:fldChar w:fldCharType="end"/>
      </w:r>
      <w:r w:rsidRPr="00B03454">
        <w:rPr>
          <w:b/>
          <w:bCs/>
        </w:rPr>
        <w:t>: Abrechnung des Flexibilitätsrahmens eines Biogas-Bilanzkreises</w:t>
      </w:r>
      <w:bookmarkEnd w:id="1023"/>
      <w:bookmarkEnd w:id="1024"/>
      <w:bookmarkEnd w:id="1025"/>
      <w:bookmarkEnd w:id="1026"/>
      <w:bookmarkEnd w:id="1027"/>
      <w:bookmarkEnd w:id="1028"/>
      <w:bookmarkEnd w:id="1029"/>
      <w:bookmarkEnd w:id="1030"/>
      <w:bookmarkEnd w:id="1031"/>
      <w:bookmarkEnd w:id="1032"/>
      <w:bookmarkEnd w:id="1033"/>
    </w:p>
    <w:p w14:paraId="52AB9BA6" w14:textId="77777777" w:rsidR="007E05AB" w:rsidRDefault="009C54DD" w:rsidP="005D3099">
      <w:pPr>
        <w:pStyle w:val="berschrift3"/>
        <w:tabs>
          <w:tab w:val="num" w:pos="1134"/>
        </w:tabs>
        <w:spacing w:before="480"/>
        <w:ind w:left="1146" w:hanging="1106"/>
      </w:pPr>
      <w:bookmarkStart w:id="1034" w:name="_Toc280808886"/>
      <w:bookmarkStart w:id="1035" w:name="_Toc284323684"/>
      <w:bookmarkStart w:id="1036" w:name="_Toc284334361"/>
      <w:bookmarkStart w:id="1037" w:name="_Toc285005335"/>
      <w:bookmarkStart w:id="1038" w:name="_Toc296694145"/>
      <w:bookmarkStart w:id="1039" w:name="_Toc391540215"/>
      <w:bookmarkStart w:id="1040" w:name="_Ref411949092"/>
      <w:bookmarkStart w:id="1041" w:name="_Toc412661381"/>
      <w:bookmarkStart w:id="1042" w:name="_Toc111118540"/>
      <w:r>
        <w:t xml:space="preserve">Abrechnung </w:t>
      </w:r>
      <w:r w:rsidR="00DF612D" w:rsidRPr="00A87A77">
        <w:t xml:space="preserve">von </w:t>
      </w:r>
      <w:r w:rsidR="00695EC2">
        <w:t>Biogas-Differenzmengen</w:t>
      </w:r>
      <w:r w:rsidR="00695EC2" w:rsidRPr="00A87A77">
        <w:t xml:space="preserve"> </w:t>
      </w:r>
      <w:r w:rsidR="00DF612D" w:rsidRPr="00A87A77">
        <w:t>außerhalb des Flexibilitätsrahmen</w:t>
      </w:r>
      <w:r w:rsidR="00DF612D">
        <w:t xml:space="preserve">s </w:t>
      </w:r>
      <w:r>
        <w:t>eines B</w:t>
      </w:r>
      <w:r w:rsidR="00094966">
        <w:t>iogasb</w:t>
      </w:r>
      <w:r>
        <w:t xml:space="preserve">ilanzkreises </w:t>
      </w:r>
      <w:r w:rsidR="00DF612D" w:rsidRPr="00A87A77">
        <w:t>(Ausgleichsenergie)</w:t>
      </w:r>
      <w:bookmarkEnd w:id="1034"/>
      <w:bookmarkEnd w:id="1035"/>
      <w:bookmarkEnd w:id="1036"/>
      <w:bookmarkEnd w:id="1037"/>
      <w:bookmarkEnd w:id="1038"/>
      <w:bookmarkEnd w:id="1039"/>
      <w:bookmarkEnd w:id="1040"/>
      <w:bookmarkEnd w:id="1041"/>
      <w:bookmarkEnd w:id="1042"/>
    </w:p>
    <w:p w14:paraId="1C7F1C41" w14:textId="670CC95B" w:rsidR="00B03454" w:rsidRDefault="00DF612D" w:rsidP="003C2438">
      <w:pPr>
        <w:rPr>
          <w:rFonts w:cs="Arial"/>
        </w:rPr>
      </w:pPr>
      <w:r>
        <w:rPr>
          <w:rFonts w:cs="Arial"/>
        </w:rPr>
        <w:t xml:space="preserve">Sofern der zulässige Flexibilitätsrahmen während des Bilanzierungszeitraums überschritten wird, werden die </w:t>
      </w:r>
      <w:r w:rsidR="00404DBF">
        <w:rPr>
          <w:rFonts w:cs="Arial"/>
        </w:rPr>
        <w:t>außerhalb des Flexibilitätsrahmens liegenden Mengen</w:t>
      </w:r>
      <w:r>
        <w:rPr>
          <w:rFonts w:cs="Arial"/>
        </w:rPr>
        <w:t xml:space="preserve"> </w:t>
      </w:r>
      <w:r w:rsidRPr="00BF2201">
        <w:rPr>
          <w:rFonts w:cs="Arial"/>
          <w:u w:val="single"/>
        </w:rPr>
        <w:t>tagesscharf</w:t>
      </w:r>
      <w:r>
        <w:rPr>
          <w:rFonts w:cs="Arial"/>
        </w:rPr>
        <w:t xml:space="preserve"> abgerechnet. Solange für Biogas keine Marktpreise veröffentlicht und von der Bundesnetzagentur akzeptiert werden, finden die gleichen Entgelte für den Kauf oder Verkauf von Ausgleichsenergie wie für Erdgas Anwendung. </w:t>
      </w:r>
      <w:r w:rsidR="00AF50F7">
        <w:rPr>
          <w:rFonts w:cs="Arial"/>
        </w:rPr>
        <w:t xml:space="preserve">Im Rahmen der Marktgebietszusammenlegung zum 01.10.2021 kann sich der Sonderfall ergeben, dass es in einzelnen Monaten einer Bilanzierungsperiode zwei Marktgebiete gibt und am Ende der Bilanzierungsperiode nur noch eines. Liegt der Beginn der Bilanzierungsperiode eines Biogas-BK vor dem 01.10.2021 und das Ende nach dem 01.10.2021, gelten für Zeiträume </w:t>
      </w:r>
      <w:r w:rsidR="00AF50F7">
        <w:rPr>
          <w:rFonts w:cs="Arial"/>
        </w:rPr>
        <w:lastRenderedPageBreak/>
        <w:t xml:space="preserve">vor dem 01.10.2021 das jeweilige arithmetische Mittel der täglichen Ausgleichsenergiepreise für Kauf oder Verkauf beider Marktgebiete als Ausgleichsenergiepreis. </w:t>
      </w:r>
      <w:r>
        <w:rPr>
          <w:rFonts w:cs="Arial"/>
        </w:rPr>
        <w:t>Maßgeblich ist jeweils der Ausgleichsenergiepreis des Tages</w:t>
      </w:r>
      <w:r w:rsidR="00E143BB">
        <w:rPr>
          <w:rFonts w:cs="Arial"/>
        </w:rPr>
        <w:t>,</w:t>
      </w:r>
      <w:r>
        <w:rPr>
          <w:rFonts w:cs="Arial"/>
        </w:rPr>
        <w:t xml:space="preserve"> an dem die Über- bzw. Unterschreitung stattgefunden hat. Je nach Vorzeichen der Abweichung gilt der Preis für Kauf oder Verkauf von Ausgleichsenergie. Bei Über- bzw. Unterschreitungen des Flexibilitätsrahmens innerhalb des Bilanzierungszeitraums wird der Status als Biogas-Bilanzkreis nicht tangiert.</w:t>
      </w:r>
    </w:p>
    <w:p w14:paraId="536BA122" w14:textId="77777777" w:rsidR="00E157A6" w:rsidRDefault="00670612" w:rsidP="005F74AF">
      <w:pPr>
        <w:spacing w:after="0"/>
      </w:pPr>
      <w:r w:rsidRPr="00B03454">
        <w:rPr>
          <w:noProof/>
        </w:rPr>
        <w:drawing>
          <wp:inline distT="0" distB="0" distL="0" distR="0" wp14:anchorId="7B35E217" wp14:editId="5D2F9253">
            <wp:extent cx="5641917" cy="3167151"/>
            <wp:effectExtent l="1905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3" cstate="print"/>
                    <a:srcRect l="2132" t="3313" b="6538"/>
                    <a:stretch>
                      <a:fillRect/>
                    </a:stretch>
                  </pic:blipFill>
                  <pic:spPr bwMode="auto">
                    <a:xfrm>
                      <a:off x="0" y="0"/>
                      <a:ext cx="5641917" cy="3167151"/>
                    </a:xfrm>
                    <a:prstGeom prst="rect">
                      <a:avLst/>
                    </a:prstGeom>
                    <a:noFill/>
                    <a:ln w="9525">
                      <a:noFill/>
                      <a:miter lim="800000"/>
                      <a:headEnd/>
                      <a:tailEnd/>
                    </a:ln>
                  </pic:spPr>
                </pic:pic>
              </a:graphicData>
            </a:graphic>
          </wp:inline>
        </w:drawing>
      </w:r>
      <w:bookmarkStart w:id="1043" w:name="_Toc280702180"/>
      <w:bookmarkStart w:id="1044" w:name="_Toc285005418"/>
      <w:bookmarkStart w:id="1045" w:name="_Toc285313975"/>
      <w:bookmarkStart w:id="1046" w:name="_Toc285126098"/>
      <w:bookmarkStart w:id="1047" w:name="_Toc296694365"/>
      <w:bookmarkStart w:id="1048" w:name="_Toc357092033"/>
      <w:bookmarkStart w:id="1049" w:name="_Toc390346588"/>
      <w:bookmarkStart w:id="1050" w:name="_Toc412562660"/>
    </w:p>
    <w:p w14:paraId="6311860B" w14:textId="4FC6B75C" w:rsidR="00DF612D" w:rsidRPr="00B03454" w:rsidRDefault="00DF612D" w:rsidP="005F74AF">
      <w:pPr>
        <w:pStyle w:val="Abbildung"/>
        <w:spacing w:before="360" w:after="240"/>
        <w:rPr>
          <w:b/>
          <w:bCs/>
        </w:rPr>
      </w:pPr>
      <w:bookmarkStart w:id="1051" w:name="_Ref428797661"/>
      <w:bookmarkStart w:id="1052" w:name="_Toc437530350"/>
      <w:bookmarkStart w:id="1053" w:name="_Toc111118620"/>
      <w:bookmarkStart w:id="1054" w:name="_Toc111196166"/>
      <w:r w:rsidRPr="00B03454">
        <w:rPr>
          <w:b/>
          <w:bCs/>
        </w:rPr>
        <w:t xml:space="preserve">Abbildung </w:t>
      </w:r>
      <w:r w:rsidR="00561FFA" w:rsidRPr="00B03454">
        <w:rPr>
          <w:b/>
          <w:bCs/>
        </w:rPr>
        <w:fldChar w:fldCharType="begin"/>
      </w:r>
      <w:r w:rsidR="002A17C0" w:rsidRPr="00B03454">
        <w:rPr>
          <w:b/>
          <w:bCs/>
        </w:rPr>
        <w:instrText xml:space="preserve"> SEQ Abbildung \* ARABIC </w:instrText>
      </w:r>
      <w:r w:rsidR="00561FFA" w:rsidRPr="00B03454">
        <w:rPr>
          <w:b/>
          <w:bCs/>
        </w:rPr>
        <w:fldChar w:fldCharType="separate"/>
      </w:r>
      <w:r w:rsidR="007A098D">
        <w:rPr>
          <w:b/>
          <w:bCs/>
        </w:rPr>
        <w:t>37</w:t>
      </w:r>
      <w:r w:rsidR="00561FFA" w:rsidRPr="00B03454">
        <w:rPr>
          <w:b/>
          <w:bCs/>
        </w:rPr>
        <w:fldChar w:fldCharType="end"/>
      </w:r>
      <w:bookmarkEnd w:id="1051"/>
      <w:r w:rsidRPr="00B03454">
        <w:rPr>
          <w:b/>
          <w:bCs/>
        </w:rPr>
        <w:t>: Überschreitung des Flexibilitätsrahmens</w:t>
      </w:r>
      <w:bookmarkEnd w:id="1043"/>
      <w:bookmarkEnd w:id="1044"/>
      <w:bookmarkEnd w:id="1045"/>
      <w:bookmarkEnd w:id="1046"/>
      <w:bookmarkEnd w:id="1047"/>
      <w:bookmarkEnd w:id="1048"/>
      <w:bookmarkEnd w:id="1049"/>
      <w:bookmarkEnd w:id="1050"/>
      <w:bookmarkEnd w:id="1052"/>
      <w:bookmarkEnd w:id="1053"/>
      <w:bookmarkEnd w:id="1054"/>
    </w:p>
    <w:p w14:paraId="32503508" w14:textId="0DEF5892" w:rsidR="00227899" w:rsidRDefault="00DF612D" w:rsidP="003C2438">
      <w:pPr>
        <w:rPr>
          <w:rFonts w:cs="Arial"/>
        </w:rPr>
      </w:pPr>
      <w:r w:rsidRPr="00CF0289">
        <w:rPr>
          <w:rFonts w:cs="Arial"/>
        </w:rPr>
        <w:t>Die</w:t>
      </w:r>
      <w:r>
        <w:rPr>
          <w:rFonts w:cs="Arial"/>
        </w:rPr>
        <w:t xml:space="preserve"> </w:t>
      </w:r>
      <w:r w:rsidR="002D4E2A">
        <w:rPr>
          <w:rFonts w:cs="Arial"/>
        </w:rPr>
        <w:t xml:space="preserve">in </w:t>
      </w:r>
      <w:r w:rsidR="0011373C">
        <w:fldChar w:fldCharType="begin"/>
      </w:r>
      <w:r w:rsidR="0011373C">
        <w:instrText xml:space="preserve"> REF _Ref428797661 \h  \* MERGEFORMAT </w:instrText>
      </w:r>
      <w:r w:rsidR="0011373C">
        <w:fldChar w:fldCharType="separate"/>
      </w:r>
      <w:r w:rsidR="00692E23" w:rsidRPr="00692E23">
        <w:rPr>
          <w:bCs/>
        </w:rPr>
        <w:t>Abbildung</w:t>
      </w:r>
      <w:r w:rsidR="00692E23" w:rsidRPr="00B03454">
        <w:rPr>
          <w:b/>
          <w:bCs/>
        </w:rPr>
        <w:t xml:space="preserve"> </w:t>
      </w:r>
      <w:r w:rsidR="00692E23" w:rsidRPr="00692E23">
        <w:rPr>
          <w:bCs/>
        </w:rPr>
        <w:t>37</w:t>
      </w:r>
      <w:r w:rsidR="0011373C">
        <w:fldChar w:fldCharType="end"/>
      </w:r>
      <w:r w:rsidR="002D4E2A">
        <w:rPr>
          <w:rFonts w:cs="Arial"/>
        </w:rPr>
        <w:t xml:space="preserve"> </w:t>
      </w:r>
      <w:r w:rsidRPr="002D4E2A">
        <w:rPr>
          <w:rFonts w:cs="Arial"/>
        </w:rPr>
        <w:t>grün</w:t>
      </w:r>
      <w:r>
        <w:rPr>
          <w:rFonts w:cs="Arial"/>
        </w:rPr>
        <w:t xml:space="preserve"> markierte Fläche wird in Realität nicht abgerechnet. Für die Höhe der Abrechnung werden die Tage nacheinander abgearbeitet.</w:t>
      </w:r>
    </w:p>
    <w:tbl>
      <w:tblPr>
        <w:tblStyle w:val="Tabellenraster"/>
        <w:tblW w:w="0" w:type="auto"/>
        <w:tblLayout w:type="fixed"/>
        <w:tblLook w:val="04A0" w:firstRow="1" w:lastRow="0" w:firstColumn="1" w:lastColumn="0" w:noHBand="0" w:noVBand="1"/>
      </w:tblPr>
      <w:tblGrid>
        <w:gridCol w:w="1076"/>
        <w:gridCol w:w="1324"/>
        <w:gridCol w:w="1324"/>
        <w:gridCol w:w="1368"/>
        <w:gridCol w:w="1280"/>
        <w:gridCol w:w="1352"/>
        <w:gridCol w:w="1296"/>
      </w:tblGrid>
      <w:tr w:rsidR="002E130D" w14:paraId="40588E12" w14:textId="77777777" w:rsidTr="00921B5C">
        <w:trPr>
          <w:trHeight w:val="1447"/>
        </w:trPr>
        <w:tc>
          <w:tcPr>
            <w:tcW w:w="1076" w:type="dxa"/>
            <w:vAlign w:val="bottom"/>
          </w:tcPr>
          <w:p w14:paraId="4A0F3000" w14:textId="77777777" w:rsidR="002E130D" w:rsidRPr="00B21794" w:rsidRDefault="002E130D" w:rsidP="005F74AF">
            <w:pPr>
              <w:spacing w:line="300" w:lineRule="atLeast"/>
              <w:rPr>
                <w:rFonts w:cs="Arial"/>
                <w:color w:val="000000"/>
                <w:sz w:val="20"/>
                <w:szCs w:val="20"/>
              </w:rPr>
            </w:pPr>
          </w:p>
        </w:tc>
        <w:tc>
          <w:tcPr>
            <w:tcW w:w="1324" w:type="dxa"/>
            <w:vAlign w:val="bottom"/>
          </w:tcPr>
          <w:p w14:paraId="43B13D67" w14:textId="77777777" w:rsidR="000326AD" w:rsidRPr="00B21794" w:rsidRDefault="000326AD" w:rsidP="005F74AF">
            <w:pPr>
              <w:spacing w:line="300" w:lineRule="atLeast"/>
              <w:rPr>
                <w:rFonts w:cs="Arial"/>
                <w:color w:val="000000"/>
                <w:sz w:val="20"/>
                <w:szCs w:val="20"/>
              </w:rPr>
            </w:pPr>
            <w:proofErr w:type="spellStart"/>
            <w:r w:rsidRPr="00B21794">
              <w:rPr>
                <w:rFonts w:cs="Arial"/>
                <w:color w:val="000000"/>
                <w:sz w:val="20"/>
                <w:szCs w:val="20"/>
              </w:rPr>
              <w:t>k</w:t>
            </w:r>
            <w:r w:rsidR="002F0E40">
              <w:rPr>
                <w:rFonts w:cs="Arial"/>
                <w:color w:val="000000"/>
                <w:sz w:val="20"/>
                <w:szCs w:val="20"/>
              </w:rPr>
              <w:t>um</w:t>
            </w:r>
            <w:proofErr w:type="spellEnd"/>
            <w:r w:rsidRPr="00B21794">
              <w:rPr>
                <w:rFonts w:cs="Arial"/>
                <w:color w:val="000000"/>
                <w:sz w:val="20"/>
                <w:szCs w:val="20"/>
              </w:rPr>
              <w:t>.</w:t>
            </w:r>
          </w:p>
          <w:p w14:paraId="018D644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Saldo o</w:t>
            </w:r>
            <w:r w:rsidR="00DD4A5B" w:rsidRPr="00B21794">
              <w:rPr>
                <w:rFonts w:cs="Arial"/>
                <w:color w:val="000000"/>
                <w:sz w:val="20"/>
                <w:szCs w:val="20"/>
              </w:rPr>
              <w:t>h</w:t>
            </w:r>
            <w:r w:rsidRPr="00B21794">
              <w:rPr>
                <w:rFonts w:cs="Arial"/>
                <w:color w:val="000000"/>
                <w:sz w:val="20"/>
                <w:szCs w:val="20"/>
              </w:rPr>
              <w:t>ne Berücksichtigung der Abrechnung</w:t>
            </w:r>
          </w:p>
        </w:tc>
        <w:tc>
          <w:tcPr>
            <w:tcW w:w="1324" w:type="dxa"/>
            <w:vAlign w:val="bottom"/>
          </w:tcPr>
          <w:p w14:paraId="284B97D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tägliches Delta</w:t>
            </w:r>
          </w:p>
        </w:tc>
        <w:tc>
          <w:tcPr>
            <w:tcW w:w="1368" w:type="dxa"/>
            <w:vAlign w:val="bottom"/>
          </w:tcPr>
          <w:p w14:paraId="770CA323" w14:textId="77777777" w:rsidR="000326AD" w:rsidRPr="00B21794" w:rsidRDefault="002F0E40" w:rsidP="005F74AF">
            <w:pPr>
              <w:spacing w:line="300" w:lineRule="atLeast"/>
              <w:rPr>
                <w:rFonts w:cs="Arial"/>
                <w:color w:val="000000"/>
                <w:sz w:val="20"/>
                <w:szCs w:val="20"/>
              </w:rPr>
            </w:pPr>
            <w:r>
              <w:rPr>
                <w:rFonts w:cs="Arial"/>
                <w:color w:val="000000"/>
                <w:sz w:val="20"/>
                <w:szCs w:val="20"/>
              </w:rPr>
              <w:t xml:space="preserve">tägliches </w:t>
            </w:r>
            <w:proofErr w:type="gramStart"/>
            <w:r>
              <w:rPr>
                <w:rFonts w:cs="Arial"/>
                <w:color w:val="000000"/>
                <w:sz w:val="20"/>
                <w:szCs w:val="20"/>
              </w:rPr>
              <w:t>Ku</w:t>
            </w:r>
            <w:r w:rsidR="000326AD" w:rsidRPr="00B21794">
              <w:rPr>
                <w:rFonts w:cs="Arial"/>
                <w:color w:val="000000"/>
                <w:sz w:val="20"/>
                <w:szCs w:val="20"/>
              </w:rPr>
              <w:t>mulativ</w:t>
            </w:r>
            <w:proofErr w:type="gramEnd"/>
            <w:r w:rsidR="000326AD" w:rsidRPr="00B21794">
              <w:rPr>
                <w:rFonts w:cs="Arial"/>
                <w:color w:val="000000"/>
                <w:sz w:val="20"/>
                <w:szCs w:val="20"/>
              </w:rPr>
              <w:t xml:space="preserve"> vor</w:t>
            </w:r>
          </w:p>
          <w:p w14:paraId="3ADB7C79"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Abrechnung</w:t>
            </w:r>
          </w:p>
        </w:tc>
        <w:tc>
          <w:tcPr>
            <w:tcW w:w="1280" w:type="dxa"/>
            <w:vAlign w:val="bottom"/>
          </w:tcPr>
          <w:p w14:paraId="11430ED8"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tägliche Abrechnung</w:t>
            </w:r>
          </w:p>
        </w:tc>
        <w:tc>
          <w:tcPr>
            <w:tcW w:w="1352" w:type="dxa"/>
            <w:vAlign w:val="bottom"/>
          </w:tcPr>
          <w:p w14:paraId="549D22A0" w14:textId="77777777" w:rsidR="000326AD" w:rsidRPr="00B21794" w:rsidRDefault="002F0E40" w:rsidP="005F74AF">
            <w:pPr>
              <w:spacing w:line="300" w:lineRule="atLeast"/>
              <w:rPr>
                <w:rFonts w:cs="Arial"/>
                <w:color w:val="000000"/>
                <w:sz w:val="20"/>
                <w:szCs w:val="20"/>
              </w:rPr>
            </w:pPr>
            <w:r>
              <w:rPr>
                <w:rFonts w:cs="Arial"/>
                <w:color w:val="000000"/>
                <w:sz w:val="20"/>
                <w:szCs w:val="20"/>
              </w:rPr>
              <w:t xml:space="preserve">tägliches </w:t>
            </w:r>
            <w:proofErr w:type="gramStart"/>
            <w:r>
              <w:rPr>
                <w:rFonts w:cs="Arial"/>
                <w:color w:val="000000"/>
                <w:sz w:val="20"/>
                <w:szCs w:val="20"/>
              </w:rPr>
              <w:t>Ku</w:t>
            </w:r>
            <w:r w:rsidR="000326AD" w:rsidRPr="00B21794">
              <w:rPr>
                <w:rFonts w:cs="Arial"/>
                <w:color w:val="000000"/>
                <w:sz w:val="20"/>
                <w:szCs w:val="20"/>
              </w:rPr>
              <w:t>mulativ</w:t>
            </w:r>
            <w:proofErr w:type="gramEnd"/>
            <w:r w:rsidR="000326AD" w:rsidRPr="00B21794">
              <w:rPr>
                <w:rFonts w:cs="Arial"/>
                <w:color w:val="000000"/>
                <w:sz w:val="20"/>
                <w:szCs w:val="20"/>
              </w:rPr>
              <w:t xml:space="preserve"> nach</w:t>
            </w:r>
          </w:p>
          <w:p w14:paraId="2B4629C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Abrechnung</w:t>
            </w:r>
          </w:p>
        </w:tc>
        <w:tc>
          <w:tcPr>
            <w:tcW w:w="1296" w:type="dxa"/>
            <w:vAlign w:val="bottom"/>
          </w:tcPr>
          <w:p w14:paraId="3DBD35A5"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max.</w:t>
            </w:r>
          </w:p>
          <w:p w14:paraId="1EBFD4EF"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Flexibilität</w:t>
            </w:r>
          </w:p>
        </w:tc>
      </w:tr>
      <w:tr w:rsidR="000326AD" w14:paraId="22755307" w14:textId="77777777" w:rsidTr="00921B5C">
        <w:trPr>
          <w:trHeight w:val="229"/>
        </w:trPr>
        <w:tc>
          <w:tcPr>
            <w:tcW w:w="1076" w:type="dxa"/>
            <w:vAlign w:val="bottom"/>
          </w:tcPr>
          <w:p w14:paraId="204F19B0"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04.03.10</w:t>
            </w:r>
          </w:p>
        </w:tc>
        <w:tc>
          <w:tcPr>
            <w:tcW w:w="1324" w:type="dxa"/>
            <w:vAlign w:val="bottom"/>
          </w:tcPr>
          <w:p w14:paraId="159943EA"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-849.924</w:t>
            </w:r>
          </w:p>
        </w:tc>
        <w:tc>
          <w:tcPr>
            <w:tcW w:w="1324" w:type="dxa"/>
            <w:vMerge w:val="restart"/>
            <w:vAlign w:val="bottom"/>
          </w:tcPr>
          <w:p w14:paraId="33CF2CB8"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keine Abrechnung</w:t>
            </w:r>
          </w:p>
        </w:tc>
        <w:tc>
          <w:tcPr>
            <w:tcW w:w="1368" w:type="dxa"/>
            <w:vMerge w:val="restart"/>
            <w:vAlign w:val="bottom"/>
          </w:tcPr>
          <w:p w14:paraId="2DF357FA"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keine Abrechnung</w:t>
            </w:r>
          </w:p>
        </w:tc>
        <w:tc>
          <w:tcPr>
            <w:tcW w:w="1280" w:type="dxa"/>
            <w:vMerge w:val="restart"/>
            <w:vAlign w:val="bottom"/>
          </w:tcPr>
          <w:p w14:paraId="6B82D015"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keine Abrechnung</w:t>
            </w:r>
          </w:p>
        </w:tc>
        <w:tc>
          <w:tcPr>
            <w:tcW w:w="1352" w:type="dxa"/>
            <w:vAlign w:val="bottom"/>
          </w:tcPr>
          <w:p w14:paraId="1475B3A9"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-849.924</w:t>
            </w:r>
          </w:p>
        </w:tc>
        <w:tc>
          <w:tcPr>
            <w:tcW w:w="1296" w:type="dxa"/>
            <w:vAlign w:val="bottom"/>
          </w:tcPr>
          <w:p w14:paraId="027A21F5"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-866.875</w:t>
            </w:r>
          </w:p>
        </w:tc>
      </w:tr>
      <w:tr w:rsidR="000326AD" w14:paraId="26C50165" w14:textId="77777777" w:rsidTr="00921B5C">
        <w:trPr>
          <w:trHeight w:val="244"/>
        </w:trPr>
        <w:tc>
          <w:tcPr>
            <w:tcW w:w="1076" w:type="dxa"/>
            <w:vAlign w:val="bottom"/>
          </w:tcPr>
          <w:p w14:paraId="09FEEEAB"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05.03.10</w:t>
            </w:r>
          </w:p>
        </w:tc>
        <w:tc>
          <w:tcPr>
            <w:tcW w:w="1324" w:type="dxa"/>
            <w:vAlign w:val="bottom"/>
          </w:tcPr>
          <w:p w14:paraId="1416C64E"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-862.587</w:t>
            </w:r>
          </w:p>
        </w:tc>
        <w:tc>
          <w:tcPr>
            <w:tcW w:w="1324" w:type="dxa"/>
            <w:vMerge/>
            <w:vAlign w:val="center"/>
          </w:tcPr>
          <w:p w14:paraId="48C249F2" w14:textId="77777777" w:rsidR="000326AD" w:rsidRPr="00B21794" w:rsidRDefault="000326AD" w:rsidP="005F74AF">
            <w:pPr>
              <w:spacing w:line="300" w:lineRule="atLeast"/>
              <w:rPr>
                <w:rFonts w:cs="Arial"/>
                <w:color w:val="000000"/>
                <w:sz w:val="20"/>
                <w:szCs w:val="20"/>
              </w:rPr>
            </w:pPr>
          </w:p>
        </w:tc>
        <w:tc>
          <w:tcPr>
            <w:tcW w:w="1368" w:type="dxa"/>
            <w:vMerge/>
            <w:vAlign w:val="center"/>
          </w:tcPr>
          <w:p w14:paraId="609B97D0" w14:textId="77777777" w:rsidR="000326AD" w:rsidRPr="00B21794" w:rsidRDefault="000326AD" w:rsidP="005F74AF">
            <w:pPr>
              <w:spacing w:line="300" w:lineRule="atLeast"/>
              <w:rPr>
                <w:rFonts w:cs="Arial"/>
                <w:color w:val="000000"/>
                <w:sz w:val="20"/>
                <w:szCs w:val="20"/>
              </w:rPr>
            </w:pPr>
          </w:p>
        </w:tc>
        <w:tc>
          <w:tcPr>
            <w:tcW w:w="1280" w:type="dxa"/>
            <w:vMerge/>
            <w:vAlign w:val="center"/>
          </w:tcPr>
          <w:p w14:paraId="4C1BEAAB" w14:textId="77777777" w:rsidR="000326AD" w:rsidRPr="00B21794" w:rsidRDefault="000326AD" w:rsidP="005F74AF">
            <w:pPr>
              <w:spacing w:line="300" w:lineRule="atLeast"/>
              <w:rPr>
                <w:rFonts w:cs="Arial"/>
                <w:color w:val="000000"/>
                <w:sz w:val="20"/>
                <w:szCs w:val="20"/>
              </w:rPr>
            </w:pPr>
          </w:p>
        </w:tc>
        <w:tc>
          <w:tcPr>
            <w:tcW w:w="1352" w:type="dxa"/>
            <w:vAlign w:val="bottom"/>
          </w:tcPr>
          <w:p w14:paraId="66066F5F"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-862.587</w:t>
            </w:r>
          </w:p>
        </w:tc>
        <w:tc>
          <w:tcPr>
            <w:tcW w:w="1296" w:type="dxa"/>
            <w:vAlign w:val="bottom"/>
          </w:tcPr>
          <w:p w14:paraId="1FEB73C5" w14:textId="77777777" w:rsidR="000326AD" w:rsidRPr="00B21794" w:rsidRDefault="000326AD" w:rsidP="005F74AF">
            <w:pPr>
              <w:spacing w:line="300" w:lineRule="atLeast"/>
              <w:rPr>
                <w:rFonts w:cs="Arial"/>
                <w:color w:val="000000"/>
                <w:sz w:val="20"/>
                <w:szCs w:val="20"/>
              </w:rPr>
            </w:pPr>
            <w:r w:rsidRPr="00B21794">
              <w:rPr>
                <w:rFonts w:cs="Arial"/>
                <w:color w:val="000000"/>
                <w:sz w:val="20"/>
                <w:szCs w:val="20"/>
              </w:rPr>
              <w:t>-866.875</w:t>
            </w:r>
          </w:p>
        </w:tc>
      </w:tr>
      <w:tr w:rsidR="002E130D" w14:paraId="5FBA7EAF" w14:textId="77777777" w:rsidTr="00921B5C">
        <w:trPr>
          <w:trHeight w:val="244"/>
        </w:trPr>
        <w:tc>
          <w:tcPr>
            <w:tcW w:w="1076" w:type="dxa"/>
            <w:vAlign w:val="bottom"/>
          </w:tcPr>
          <w:p w14:paraId="6ED33556"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06.03.</w:t>
            </w:r>
            <w:r w:rsidR="002E130D" w:rsidRPr="00B21794">
              <w:rPr>
                <w:rFonts w:cs="Arial"/>
                <w:color w:val="000000"/>
                <w:sz w:val="20"/>
                <w:szCs w:val="20"/>
              </w:rPr>
              <w:t>10</w:t>
            </w:r>
          </w:p>
        </w:tc>
        <w:tc>
          <w:tcPr>
            <w:tcW w:w="1324" w:type="dxa"/>
            <w:vAlign w:val="bottom"/>
          </w:tcPr>
          <w:p w14:paraId="37B2268B"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-875.984</w:t>
            </w:r>
          </w:p>
        </w:tc>
        <w:tc>
          <w:tcPr>
            <w:tcW w:w="1324" w:type="dxa"/>
            <w:vAlign w:val="bottom"/>
          </w:tcPr>
          <w:p w14:paraId="487D778A"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-13.397</w:t>
            </w:r>
          </w:p>
        </w:tc>
        <w:tc>
          <w:tcPr>
            <w:tcW w:w="1368" w:type="dxa"/>
            <w:vAlign w:val="bottom"/>
          </w:tcPr>
          <w:p w14:paraId="105FC932"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-875.984</w:t>
            </w:r>
          </w:p>
        </w:tc>
        <w:tc>
          <w:tcPr>
            <w:tcW w:w="1280" w:type="dxa"/>
            <w:vAlign w:val="bottom"/>
          </w:tcPr>
          <w:p w14:paraId="45B6316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-9.109</w:t>
            </w:r>
          </w:p>
        </w:tc>
        <w:tc>
          <w:tcPr>
            <w:tcW w:w="1352" w:type="dxa"/>
            <w:vAlign w:val="bottom"/>
          </w:tcPr>
          <w:p w14:paraId="7991CC4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6957934A"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4295DEA9" w14:textId="77777777" w:rsidTr="00921B5C">
        <w:trPr>
          <w:trHeight w:val="229"/>
        </w:trPr>
        <w:tc>
          <w:tcPr>
            <w:tcW w:w="1076" w:type="dxa"/>
            <w:vAlign w:val="bottom"/>
          </w:tcPr>
          <w:p w14:paraId="109AE2A2"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07.03.</w:t>
            </w:r>
            <w:r w:rsidR="002E130D" w:rsidRPr="00B21794">
              <w:rPr>
                <w:rFonts w:cs="Arial"/>
                <w:color w:val="000000"/>
                <w:sz w:val="20"/>
                <w:szCs w:val="20"/>
              </w:rPr>
              <w:t>10</w:t>
            </w:r>
          </w:p>
        </w:tc>
        <w:tc>
          <w:tcPr>
            <w:tcW w:w="1324" w:type="dxa"/>
            <w:vAlign w:val="bottom"/>
          </w:tcPr>
          <w:p w14:paraId="20F5194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-884.190</w:t>
            </w:r>
          </w:p>
        </w:tc>
        <w:tc>
          <w:tcPr>
            <w:tcW w:w="1324" w:type="dxa"/>
            <w:vAlign w:val="bottom"/>
          </w:tcPr>
          <w:p w14:paraId="75D763A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-8.206</w:t>
            </w:r>
          </w:p>
        </w:tc>
        <w:tc>
          <w:tcPr>
            <w:tcW w:w="1368" w:type="dxa"/>
            <w:vAlign w:val="bottom"/>
          </w:tcPr>
          <w:p w14:paraId="6316D39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-875.081</w:t>
            </w:r>
          </w:p>
        </w:tc>
        <w:tc>
          <w:tcPr>
            <w:tcW w:w="1280" w:type="dxa"/>
            <w:vAlign w:val="bottom"/>
          </w:tcPr>
          <w:p w14:paraId="7DC0EEB2"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-8.206</w:t>
            </w:r>
          </w:p>
        </w:tc>
        <w:tc>
          <w:tcPr>
            <w:tcW w:w="1352" w:type="dxa"/>
            <w:vAlign w:val="bottom"/>
          </w:tcPr>
          <w:p w14:paraId="6D92197F"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18E920A3"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267E5AE0" w14:textId="77777777" w:rsidTr="00921B5C">
        <w:trPr>
          <w:trHeight w:val="244"/>
        </w:trPr>
        <w:tc>
          <w:tcPr>
            <w:tcW w:w="1076" w:type="dxa"/>
            <w:vAlign w:val="bottom"/>
          </w:tcPr>
          <w:p w14:paraId="0A8BE43F"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08.03.</w:t>
            </w:r>
            <w:r w:rsidR="002E130D" w:rsidRPr="00B21794">
              <w:rPr>
                <w:rFonts w:cs="Arial"/>
                <w:color w:val="000000"/>
                <w:sz w:val="20"/>
                <w:szCs w:val="20"/>
              </w:rPr>
              <w:t>10</w:t>
            </w:r>
          </w:p>
        </w:tc>
        <w:tc>
          <w:tcPr>
            <w:tcW w:w="1324" w:type="dxa"/>
            <w:vAlign w:val="bottom"/>
          </w:tcPr>
          <w:p w14:paraId="33BFF91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-884.269</w:t>
            </w:r>
          </w:p>
        </w:tc>
        <w:tc>
          <w:tcPr>
            <w:tcW w:w="1324" w:type="dxa"/>
            <w:vAlign w:val="bottom"/>
          </w:tcPr>
          <w:p w14:paraId="66C49829"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-79</w:t>
            </w:r>
          </w:p>
        </w:tc>
        <w:tc>
          <w:tcPr>
            <w:tcW w:w="1368" w:type="dxa"/>
            <w:vAlign w:val="bottom"/>
          </w:tcPr>
          <w:p w14:paraId="1F0E59C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-866.954</w:t>
            </w:r>
          </w:p>
        </w:tc>
        <w:tc>
          <w:tcPr>
            <w:tcW w:w="1280" w:type="dxa"/>
            <w:vAlign w:val="bottom"/>
          </w:tcPr>
          <w:p w14:paraId="0497DF73"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-79</w:t>
            </w:r>
          </w:p>
        </w:tc>
        <w:tc>
          <w:tcPr>
            <w:tcW w:w="1352" w:type="dxa"/>
            <w:vAlign w:val="bottom"/>
          </w:tcPr>
          <w:p w14:paraId="5163E75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00ADCC2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758D1F02" w14:textId="77777777" w:rsidTr="00921B5C">
        <w:trPr>
          <w:trHeight w:val="229"/>
        </w:trPr>
        <w:tc>
          <w:tcPr>
            <w:tcW w:w="1076" w:type="dxa"/>
            <w:vAlign w:val="bottom"/>
          </w:tcPr>
          <w:p w14:paraId="58710144"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09.03.</w:t>
            </w:r>
            <w:r w:rsidR="002E130D" w:rsidRPr="00B21794">
              <w:rPr>
                <w:rFonts w:cs="Arial"/>
                <w:color w:val="000000"/>
                <w:sz w:val="20"/>
                <w:szCs w:val="20"/>
              </w:rPr>
              <w:t>10</w:t>
            </w:r>
          </w:p>
        </w:tc>
        <w:tc>
          <w:tcPr>
            <w:tcW w:w="1324" w:type="dxa"/>
            <w:vAlign w:val="bottom"/>
          </w:tcPr>
          <w:p w14:paraId="024A746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-896.315</w:t>
            </w:r>
          </w:p>
        </w:tc>
        <w:tc>
          <w:tcPr>
            <w:tcW w:w="1324" w:type="dxa"/>
            <w:vAlign w:val="bottom"/>
          </w:tcPr>
          <w:p w14:paraId="7D600B0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-12.046</w:t>
            </w:r>
          </w:p>
        </w:tc>
        <w:tc>
          <w:tcPr>
            <w:tcW w:w="1368" w:type="dxa"/>
            <w:vAlign w:val="bottom"/>
          </w:tcPr>
          <w:p w14:paraId="6893D832"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-878.921</w:t>
            </w:r>
          </w:p>
        </w:tc>
        <w:tc>
          <w:tcPr>
            <w:tcW w:w="1280" w:type="dxa"/>
            <w:vAlign w:val="bottom"/>
          </w:tcPr>
          <w:p w14:paraId="0AD9E00B"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-12.046</w:t>
            </w:r>
          </w:p>
        </w:tc>
        <w:tc>
          <w:tcPr>
            <w:tcW w:w="1352" w:type="dxa"/>
            <w:vAlign w:val="bottom"/>
          </w:tcPr>
          <w:p w14:paraId="6374AC5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0E051F44"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44B070D3" w14:textId="77777777" w:rsidTr="00921B5C">
        <w:trPr>
          <w:trHeight w:val="244"/>
        </w:trPr>
        <w:tc>
          <w:tcPr>
            <w:tcW w:w="1076" w:type="dxa"/>
            <w:vAlign w:val="bottom"/>
          </w:tcPr>
          <w:p w14:paraId="41EB8F7B"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10.03.</w:t>
            </w:r>
            <w:r w:rsidR="002E130D" w:rsidRPr="00B21794">
              <w:rPr>
                <w:rFonts w:cs="Arial"/>
                <w:color w:val="000000"/>
                <w:sz w:val="20"/>
                <w:szCs w:val="20"/>
              </w:rPr>
              <w:t>10</w:t>
            </w:r>
          </w:p>
        </w:tc>
        <w:tc>
          <w:tcPr>
            <w:tcW w:w="1324" w:type="dxa"/>
            <w:vAlign w:val="bottom"/>
          </w:tcPr>
          <w:p w14:paraId="04EC2FF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-909.819</w:t>
            </w:r>
          </w:p>
        </w:tc>
        <w:tc>
          <w:tcPr>
            <w:tcW w:w="1324" w:type="dxa"/>
            <w:vAlign w:val="bottom"/>
          </w:tcPr>
          <w:p w14:paraId="73F9A944"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-13.504</w:t>
            </w:r>
          </w:p>
        </w:tc>
        <w:tc>
          <w:tcPr>
            <w:tcW w:w="1368" w:type="dxa"/>
            <w:vAlign w:val="bottom"/>
          </w:tcPr>
          <w:p w14:paraId="4BDF83E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-880.379</w:t>
            </w:r>
          </w:p>
        </w:tc>
        <w:tc>
          <w:tcPr>
            <w:tcW w:w="1280" w:type="dxa"/>
            <w:vAlign w:val="bottom"/>
          </w:tcPr>
          <w:p w14:paraId="58D4D611"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-13.504</w:t>
            </w:r>
          </w:p>
        </w:tc>
        <w:tc>
          <w:tcPr>
            <w:tcW w:w="1352" w:type="dxa"/>
            <w:vAlign w:val="bottom"/>
          </w:tcPr>
          <w:p w14:paraId="78252223"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439BA25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67C81145" w14:textId="77777777" w:rsidTr="00921B5C">
        <w:trPr>
          <w:trHeight w:val="229"/>
        </w:trPr>
        <w:tc>
          <w:tcPr>
            <w:tcW w:w="1076" w:type="dxa"/>
            <w:vAlign w:val="bottom"/>
          </w:tcPr>
          <w:p w14:paraId="3FE51A7B"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11.03.</w:t>
            </w:r>
            <w:r w:rsidR="002E130D" w:rsidRPr="00B21794">
              <w:rPr>
                <w:rFonts w:cs="Arial"/>
                <w:color w:val="000000"/>
                <w:sz w:val="20"/>
                <w:szCs w:val="20"/>
              </w:rPr>
              <w:t>10</w:t>
            </w:r>
          </w:p>
        </w:tc>
        <w:tc>
          <w:tcPr>
            <w:tcW w:w="1324" w:type="dxa"/>
            <w:vAlign w:val="bottom"/>
          </w:tcPr>
          <w:p w14:paraId="5335B3A1"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-925.079</w:t>
            </w:r>
          </w:p>
        </w:tc>
        <w:tc>
          <w:tcPr>
            <w:tcW w:w="1324" w:type="dxa"/>
            <w:vAlign w:val="bottom"/>
          </w:tcPr>
          <w:p w14:paraId="4E39044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-15.260</w:t>
            </w:r>
          </w:p>
        </w:tc>
        <w:tc>
          <w:tcPr>
            <w:tcW w:w="1368" w:type="dxa"/>
            <w:vAlign w:val="bottom"/>
          </w:tcPr>
          <w:p w14:paraId="7C64E024"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-882.135</w:t>
            </w:r>
          </w:p>
        </w:tc>
        <w:tc>
          <w:tcPr>
            <w:tcW w:w="1280" w:type="dxa"/>
            <w:vAlign w:val="bottom"/>
          </w:tcPr>
          <w:p w14:paraId="44F7BD9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-15.260</w:t>
            </w:r>
          </w:p>
        </w:tc>
        <w:tc>
          <w:tcPr>
            <w:tcW w:w="1352" w:type="dxa"/>
            <w:vAlign w:val="bottom"/>
          </w:tcPr>
          <w:p w14:paraId="6F301A2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2367FFAB"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72A883E4" w14:textId="77777777" w:rsidTr="00921B5C">
        <w:trPr>
          <w:trHeight w:val="244"/>
        </w:trPr>
        <w:tc>
          <w:tcPr>
            <w:tcW w:w="1076" w:type="dxa"/>
            <w:vAlign w:val="bottom"/>
          </w:tcPr>
          <w:p w14:paraId="014B6F38"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lastRenderedPageBreak/>
              <w:t>12.03.</w:t>
            </w:r>
            <w:r w:rsidR="002E130D" w:rsidRPr="00B21794">
              <w:rPr>
                <w:rFonts w:cs="Arial"/>
                <w:color w:val="000000"/>
                <w:sz w:val="20"/>
                <w:szCs w:val="20"/>
              </w:rPr>
              <w:t>10</w:t>
            </w:r>
          </w:p>
        </w:tc>
        <w:tc>
          <w:tcPr>
            <w:tcW w:w="1324" w:type="dxa"/>
            <w:vAlign w:val="bottom"/>
          </w:tcPr>
          <w:p w14:paraId="45F66114"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-938.726</w:t>
            </w:r>
          </w:p>
        </w:tc>
        <w:tc>
          <w:tcPr>
            <w:tcW w:w="1324" w:type="dxa"/>
            <w:vAlign w:val="bottom"/>
          </w:tcPr>
          <w:p w14:paraId="17F71CC7"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-13.647</w:t>
            </w:r>
          </w:p>
        </w:tc>
        <w:tc>
          <w:tcPr>
            <w:tcW w:w="1368" w:type="dxa"/>
            <w:vAlign w:val="bottom"/>
          </w:tcPr>
          <w:p w14:paraId="7E17BB6E"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-880.522</w:t>
            </w:r>
          </w:p>
        </w:tc>
        <w:tc>
          <w:tcPr>
            <w:tcW w:w="1280" w:type="dxa"/>
            <w:vAlign w:val="bottom"/>
          </w:tcPr>
          <w:p w14:paraId="6F7E738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-13.647</w:t>
            </w:r>
          </w:p>
        </w:tc>
        <w:tc>
          <w:tcPr>
            <w:tcW w:w="1352" w:type="dxa"/>
            <w:vAlign w:val="bottom"/>
          </w:tcPr>
          <w:p w14:paraId="6123ED8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3A5BE68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3E495318" w14:textId="77777777" w:rsidTr="00921B5C">
        <w:trPr>
          <w:trHeight w:val="229"/>
        </w:trPr>
        <w:tc>
          <w:tcPr>
            <w:tcW w:w="1076" w:type="dxa"/>
            <w:vAlign w:val="bottom"/>
          </w:tcPr>
          <w:p w14:paraId="45D8A568"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13.03.</w:t>
            </w:r>
            <w:r w:rsidR="002E130D" w:rsidRPr="00B21794">
              <w:rPr>
                <w:rFonts w:cs="Arial"/>
                <w:color w:val="000000"/>
                <w:sz w:val="20"/>
                <w:szCs w:val="20"/>
              </w:rPr>
              <w:t>10</w:t>
            </w:r>
          </w:p>
        </w:tc>
        <w:tc>
          <w:tcPr>
            <w:tcW w:w="1324" w:type="dxa"/>
            <w:vAlign w:val="bottom"/>
          </w:tcPr>
          <w:p w14:paraId="234E700F"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-944.579</w:t>
            </w:r>
          </w:p>
        </w:tc>
        <w:tc>
          <w:tcPr>
            <w:tcW w:w="1324" w:type="dxa"/>
            <w:vAlign w:val="bottom"/>
          </w:tcPr>
          <w:p w14:paraId="132DAAC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-5.853</w:t>
            </w:r>
          </w:p>
        </w:tc>
        <w:tc>
          <w:tcPr>
            <w:tcW w:w="1368" w:type="dxa"/>
            <w:vAlign w:val="bottom"/>
          </w:tcPr>
          <w:p w14:paraId="59FE023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-872.728</w:t>
            </w:r>
          </w:p>
        </w:tc>
        <w:tc>
          <w:tcPr>
            <w:tcW w:w="1280" w:type="dxa"/>
            <w:vAlign w:val="bottom"/>
          </w:tcPr>
          <w:p w14:paraId="00A6E07B"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-5.853</w:t>
            </w:r>
          </w:p>
        </w:tc>
        <w:tc>
          <w:tcPr>
            <w:tcW w:w="1352" w:type="dxa"/>
            <w:vAlign w:val="bottom"/>
          </w:tcPr>
          <w:p w14:paraId="1CFE778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c>
          <w:tcPr>
            <w:tcW w:w="1296" w:type="dxa"/>
            <w:vAlign w:val="bottom"/>
          </w:tcPr>
          <w:p w14:paraId="693C02EE"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30ABDA36" w14:textId="77777777" w:rsidTr="00921B5C">
        <w:trPr>
          <w:trHeight w:val="244"/>
        </w:trPr>
        <w:tc>
          <w:tcPr>
            <w:tcW w:w="1076" w:type="dxa"/>
            <w:vAlign w:val="bottom"/>
          </w:tcPr>
          <w:p w14:paraId="1E058DCC" w14:textId="77777777" w:rsidR="002E130D" w:rsidRPr="00B21794" w:rsidRDefault="00DD4A5B" w:rsidP="005F74AF">
            <w:pPr>
              <w:spacing w:line="300" w:lineRule="atLeast"/>
              <w:rPr>
                <w:rFonts w:cs="Arial"/>
                <w:color w:val="000000"/>
                <w:sz w:val="20"/>
                <w:szCs w:val="20"/>
              </w:rPr>
            </w:pPr>
            <w:r w:rsidRPr="00B21794">
              <w:rPr>
                <w:rFonts w:cs="Arial"/>
                <w:color w:val="000000"/>
                <w:sz w:val="20"/>
                <w:szCs w:val="20"/>
              </w:rPr>
              <w:t>14.03.</w:t>
            </w:r>
            <w:r w:rsidR="002E130D" w:rsidRPr="00B21794">
              <w:rPr>
                <w:rFonts w:cs="Arial"/>
                <w:color w:val="000000"/>
                <w:sz w:val="20"/>
                <w:szCs w:val="20"/>
              </w:rPr>
              <w:t>10</w:t>
            </w:r>
          </w:p>
        </w:tc>
        <w:tc>
          <w:tcPr>
            <w:tcW w:w="1324" w:type="dxa"/>
            <w:vAlign w:val="bottom"/>
          </w:tcPr>
          <w:p w14:paraId="561D88E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-940.238</w:t>
            </w:r>
          </w:p>
        </w:tc>
        <w:tc>
          <w:tcPr>
            <w:tcW w:w="1324" w:type="dxa"/>
            <w:vAlign w:val="bottom"/>
          </w:tcPr>
          <w:p w14:paraId="461AC051"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4.341</w:t>
            </w:r>
          </w:p>
        </w:tc>
        <w:tc>
          <w:tcPr>
            <w:tcW w:w="1368" w:type="dxa"/>
            <w:vAlign w:val="bottom"/>
          </w:tcPr>
          <w:p w14:paraId="0B50C390"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-862.534</w:t>
            </w:r>
          </w:p>
        </w:tc>
        <w:tc>
          <w:tcPr>
            <w:tcW w:w="1280" w:type="dxa"/>
            <w:vAlign w:val="bottom"/>
          </w:tcPr>
          <w:p w14:paraId="346B2083"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0</w:t>
            </w:r>
          </w:p>
        </w:tc>
        <w:tc>
          <w:tcPr>
            <w:tcW w:w="1352" w:type="dxa"/>
            <w:vAlign w:val="bottom"/>
          </w:tcPr>
          <w:p w14:paraId="0CCB1A1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-862.534</w:t>
            </w:r>
          </w:p>
        </w:tc>
        <w:tc>
          <w:tcPr>
            <w:tcW w:w="1296" w:type="dxa"/>
            <w:vAlign w:val="bottom"/>
          </w:tcPr>
          <w:p w14:paraId="66B45EF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r w:rsidR="002E130D" w14:paraId="10AEB2D9" w14:textId="77777777" w:rsidTr="00921B5C">
        <w:trPr>
          <w:trHeight w:val="70"/>
        </w:trPr>
        <w:tc>
          <w:tcPr>
            <w:tcW w:w="1076" w:type="dxa"/>
            <w:vAlign w:val="bottom"/>
          </w:tcPr>
          <w:p w14:paraId="4BDF1119"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1</w:t>
            </w:r>
            <w:r w:rsidR="00DD4A5B" w:rsidRPr="00B21794">
              <w:rPr>
                <w:rFonts w:cs="Arial"/>
                <w:color w:val="000000"/>
                <w:sz w:val="20"/>
                <w:szCs w:val="20"/>
              </w:rPr>
              <w:t>5.03.</w:t>
            </w:r>
            <w:r w:rsidRPr="00B21794">
              <w:rPr>
                <w:rFonts w:cs="Arial"/>
                <w:color w:val="000000"/>
                <w:sz w:val="20"/>
                <w:szCs w:val="20"/>
              </w:rPr>
              <w:t>10</w:t>
            </w:r>
          </w:p>
        </w:tc>
        <w:tc>
          <w:tcPr>
            <w:tcW w:w="1324" w:type="dxa"/>
            <w:vAlign w:val="bottom"/>
          </w:tcPr>
          <w:p w14:paraId="479FD0DC"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-936.726</w:t>
            </w:r>
          </w:p>
        </w:tc>
        <w:tc>
          <w:tcPr>
            <w:tcW w:w="1324" w:type="dxa"/>
            <w:vAlign w:val="bottom"/>
          </w:tcPr>
          <w:p w14:paraId="591C6D86"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3.512</w:t>
            </w:r>
          </w:p>
        </w:tc>
        <w:tc>
          <w:tcPr>
            <w:tcW w:w="1368" w:type="dxa"/>
            <w:vAlign w:val="bottom"/>
          </w:tcPr>
          <w:p w14:paraId="32A29335"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-859.022</w:t>
            </w:r>
          </w:p>
        </w:tc>
        <w:tc>
          <w:tcPr>
            <w:tcW w:w="1280" w:type="dxa"/>
            <w:vAlign w:val="bottom"/>
          </w:tcPr>
          <w:p w14:paraId="21F636D1"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0</w:t>
            </w:r>
          </w:p>
        </w:tc>
        <w:tc>
          <w:tcPr>
            <w:tcW w:w="1352" w:type="dxa"/>
            <w:vAlign w:val="bottom"/>
          </w:tcPr>
          <w:p w14:paraId="7DA1AC3D"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-859.022</w:t>
            </w:r>
          </w:p>
        </w:tc>
        <w:tc>
          <w:tcPr>
            <w:tcW w:w="1296" w:type="dxa"/>
            <w:vAlign w:val="bottom"/>
          </w:tcPr>
          <w:p w14:paraId="3E59A8D4" w14:textId="77777777" w:rsidR="002E130D" w:rsidRPr="00B21794" w:rsidRDefault="002E130D" w:rsidP="005F74AF">
            <w:pPr>
              <w:spacing w:line="300" w:lineRule="atLeast"/>
              <w:rPr>
                <w:rFonts w:cs="Arial"/>
                <w:color w:val="000000"/>
                <w:sz w:val="20"/>
                <w:szCs w:val="20"/>
              </w:rPr>
            </w:pPr>
            <w:r w:rsidRPr="00B21794">
              <w:rPr>
                <w:rFonts w:cs="Arial"/>
                <w:color w:val="000000"/>
                <w:sz w:val="20"/>
                <w:szCs w:val="20"/>
              </w:rPr>
              <w:t>-866.875</w:t>
            </w:r>
          </w:p>
        </w:tc>
      </w:tr>
    </w:tbl>
    <w:p w14:paraId="190FDC8A" w14:textId="389E6A96" w:rsidR="00DF612D" w:rsidRPr="005E563F" w:rsidRDefault="00921B5C" w:rsidP="005F74AF">
      <w:pPr>
        <w:pStyle w:val="Abbildung"/>
        <w:spacing w:before="360" w:after="0"/>
        <w:rPr>
          <w:b/>
        </w:rPr>
      </w:pPr>
      <w:bookmarkStart w:id="1055" w:name="_Toc296694466"/>
      <w:bookmarkStart w:id="1056" w:name="_Toc285005456"/>
      <w:bookmarkStart w:id="1057" w:name="_Toc285314011"/>
      <w:bookmarkStart w:id="1058" w:name="_Toc285126061"/>
      <w:bookmarkStart w:id="1059" w:name="_Toc357092034"/>
      <w:bookmarkStart w:id="1060" w:name="_Toc390346589"/>
      <w:bookmarkStart w:id="1061" w:name="_Toc412562661"/>
      <w:bookmarkStart w:id="1062" w:name="_Toc437530351"/>
      <w:bookmarkStart w:id="1063" w:name="_Toc111118621"/>
      <w:bookmarkStart w:id="1064" w:name="_Toc111196167"/>
      <w:r>
        <w:rPr>
          <w:b/>
        </w:rPr>
        <w:t>A</w:t>
      </w:r>
      <w:r w:rsidR="00DF612D" w:rsidRPr="005E563F">
        <w:rPr>
          <w:b/>
        </w:rPr>
        <w:t xml:space="preserve">bbildung </w:t>
      </w:r>
      <w:r w:rsidR="00561FFA" w:rsidRPr="005E563F">
        <w:rPr>
          <w:b/>
        </w:rPr>
        <w:fldChar w:fldCharType="begin"/>
      </w:r>
      <w:r w:rsidR="00807177" w:rsidRPr="005E563F">
        <w:rPr>
          <w:b/>
        </w:rPr>
        <w:instrText xml:space="preserve"> SEQ Abbildung \* ARABIC </w:instrText>
      </w:r>
      <w:r w:rsidR="00561FFA" w:rsidRPr="005E563F">
        <w:rPr>
          <w:b/>
        </w:rPr>
        <w:fldChar w:fldCharType="separate"/>
      </w:r>
      <w:r w:rsidR="007A098D">
        <w:rPr>
          <w:b/>
        </w:rPr>
        <w:t>38</w:t>
      </w:r>
      <w:r w:rsidR="00561FFA" w:rsidRPr="005E563F">
        <w:rPr>
          <w:b/>
        </w:rPr>
        <w:fldChar w:fldCharType="end"/>
      </w:r>
      <w:r w:rsidR="00DF612D" w:rsidRPr="005E563F">
        <w:rPr>
          <w:b/>
        </w:rPr>
        <w:t>: Beispiel für die Abrechnung von Überschreitungsmengen</w:t>
      </w:r>
      <w:bookmarkEnd w:id="1055"/>
      <w:bookmarkEnd w:id="1056"/>
      <w:bookmarkEnd w:id="1057"/>
      <w:bookmarkEnd w:id="1058"/>
      <w:bookmarkEnd w:id="1059"/>
      <w:bookmarkEnd w:id="1060"/>
      <w:bookmarkEnd w:id="1061"/>
      <w:bookmarkEnd w:id="1062"/>
      <w:bookmarkEnd w:id="1063"/>
      <w:bookmarkEnd w:id="1064"/>
    </w:p>
    <w:p w14:paraId="108C6C55" w14:textId="77777777" w:rsidR="005F74AF" w:rsidRDefault="005F74AF" w:rsidP="005F74AF">
      <w:pPr>
        <w:spacing w:after="0"/>
        <w:rPr>
          <w:rFonts w:cs="Arial"/>
        </w:rPr>
      </w:pPr>
    </w:p>
    <w:p w14:paraId="7624B651" w14:textId="1623E04B" w:rsidR="00DF612D" w:rsidRDefault="00DF612D" w:rsidP="003C2438">
      <w:pPr>
        <w:rPr>
          <w:rFonts w:cs="Arial"/>
        </w:rPr>
      </w:pPr>
      <w:r w:rsidRPr="00005570">
        <w:rPr>
          <w:rFonts w:cs="Arial"/>
        </w:rPr>
        <w:t>Bis zum 6.</w:t>
      </w:r>
      <w:r w:rsidR="002F0E40">
        <w:rPr>
          <w:rFonts w:cs="Arial"/>
        </w:rPr>
        <w:t xml:space="preserve"> März</w:t>
      </w:r>
      <w:r w:rsidRPr="00005570">
        <w:rPr>
          <w:rFonts w:cs="Arial"/>
        </w:rPr>
        <w:t xml:space="preserve"> liegen die kumulativen Differenzen </w:t>
      </w:r>
      <w:r>
        <w:rPr>
          <w:rFonts w:cs="Arial"/>
        </w:rPr>
        <w:t xml:space="preserve">oberhalb der unteren Flexibilitätsgrenze von 866.875 kWh. Am </w:t>
      </w:r>
      <w:r w:rsidR="002F0E40" w:rsidRPr="00005570">
        <w:rPr>
          <w:rFonts w:cs="Arial"/>
        </w:rPr>
        <w:t>6.</w:t>
      </w:r>
      <w:r w:rsidR="002F0E40">
        <w:rPr>
          <w:rFonts w:cs="Arial"/>
        </w:rPr>
        <w:t xml:space="preserve"> März</w:t>
      </w:r>
      <w:r w:rsidR="002F0E40" w:rsidRPr="00005570">
        <w:rPr>
          <w:rFonts w:cs="Arial"/>
        </w:rPr>
        <w:t xml:space="preserve"> </w:t>
      </w:r>
      <w:r>
        <w:rPr>
          <w:rFonts w:cs="Arial"/>
        </w:rPr>
        <w:t xml:space="preserve">wird die Grenze überschritten um 9.109 kWh. Diese Überschreitung wird dann abgerechnet und die kumulierte Menge wird dann wieder auf die untere Flexibilitätsgrenze gesetzt. Am </w:t>
      </w:r>
      <w:r w:rsidR="002F0E40">
        <w:rPr>
          <w:rFonts w:cs="Arial"/>
        </w:rPr>
        <w:t>7</w:t>
      </w:r>
      <w:r w:rsidR="002F0E40" w:rsidRPr="00005570">
        <w:rPr>
          <w:rFonts w:cs="Arial"/>
        </w:rPr>
        <w:t>.</w:t>
      </w:r>
      <w:r w:rsidR="002F0E40">
        <w:rPr>
          <w:rFonts w:cs="Arial"/>
        </w:rPr>
        <w:t xml:space="preserve"> März</w:t>
      </w:r>
      <w:r w:rsidR="002F0E40" w:rsidRPr="00005570">
        <w:rPr>
          <w:rFonts w:cs="Arial"/>
        </w:rPr>
        <w:t xml:space="preserve"> </w:t>
      </w:r>
      <w:r>
        <w:rPr>
          <w:rFonts w:cs="Arial"/>
        </w:rPr>
        <w:t xml:space="preserve">ist der Bilanzkreis wieder unterspeist, die kumulierte </w:t>
      </w:r>
      <w:r w:rsidR="00E74588">
        <w:rPr>
          <w:rFonts w:cs="Arial"/>
        </w:rPr>
        <w:t>Biogas-</w:t>
      </w:r>
      <w:r>
        <w:rPr>
          <w:rFonts w:cs="Arial"/>
        </w:rPr>
        <w:t>Differenzmenge sinkt wieder unter die Flexibilitätsgrenze. Es werden 8.206 kWh abgerechnet. So er</w:t>
      </w:r>
      <w:r w:rsidR="002F0E40">
        <w:rPr>
          <w:rFonts w:cs="Arial"/>
        </w:rPr>
        <w:t>folgt die Abrechnung bis zum 13</w:t>
      </w:r>
      <w:r w:rsidR="002F0E40" w:rsidRPr="00005570">
        <w:rPr>
          <w:rFonts w:cs="Arial"/>
        </w:rPr>
        <w:t>.</w:t>
      </w:r>
      <w:r w:rsidR="002F0E40">
        <w:rPr>
          <w:rFonts w:cs="Arial"/>
        </w:rPr>
        <w:t xml:space="preserve"> März.</w:t>
      </w:r>
      <w:r w:rsidR="002F0E40" w:rsidRPr="00005570">
        <w:rPr>
          <w:rFonts w:cs="Arial"/>
        </w:rPr>
        <w:t xml:space="preserve"> </w:t>
      </w:r>
      <w:r w:rsidR="002F0E40">
        <w:rPr>
          <w:rFonts w:cs="Arial"/>
        </w:rPr>
        <w:t>Am 14</w:t>
      </w:r>
      <w:r w:rsidR="002F0E40" w:rsidRPr="00005570">
        <w:rPr>
          <w:rFonts w:cs="Arial"/>
        </w:rPr>
        <w:t>.</w:t>
      </w:r>
      <w:r w:rsidR="002F0E40">
        <w:rPr>
          <w:rFonts w:cs="Arial"/>
        </w:rPr>
        <w:t xml:space="preserve"> März</w:t>
      </w:r>
      <w:r w:rsidR="002F0E40" w:rsidRPr="00005570">
        <w:rPr>
          <w:rFonts w:cs="Arial"/>
        </w:rPr>
        <w:t xml:space="preserve"> </w:t>
      </w:r>
      <w:r>
        <w:rPr>
          <w:rFonts w:cs="Arial"/>
        </w:rPr>
        <w:t xml:space="preserve">ist der Bilanzkreis überspeist, die kumulierte </w:t>
      </w:r>
      <w:r w:rsidR="00E74588">
        <w:rPr>
          <w:rFonts w:cs="Arial"/>
        </w:rPr>
        <w:t>Biogas-</w:t>
      </w:r>
      <w:r>
        <w:rPr>
          <w:rFonts w:cs="Arial"/>
        </w:rPr>
        <w:t>Differenzmenge steigt auf -862.534 kWh an, es muss keine Überschreitung abgerechnet werden. Gleiches gilt für den 15.</w:t>
      </w:r>
      <w:r w:rsidR="002F0E40">
        <w:rPr>
          <w:rFonts w:cs="Arial"/>
        </w:rPr>
        <w:t xml:space="preserve"> März</w:t>
      </w:r>
      <w:r w:rsidR="002F0E40" w:rsidRPr="00005570">
        <w:rPr>
          <w:rFonts w:cs="Arial"/>
        </w:rPr>
        <w:t xml:space="preserve"> </w:t>
      </w:r>
      <w:r>
        <w:rPr>
          <w:rFonts w:cs="Arial"/>
        </w:rPr>
        <w:t xml:space="preserve">Der Verlauf der abzurechnenden Menge im Verhältnis zur kumulierten </w:t>
      </w:r>
      <w:r w:rsidR="00E74588">
        <w:rPr>
          <w:rFonts w:cs="Arial"/>
        </w:rPr>
        <w:t>Biogas-</w:t>
      </w:r>
      <w:r>
        <w:rPr>
          <w:rFonts w:cs="Arial"/>
        </w:rPr>
        <w:t xml:space="preserve">Differenzmenge ist </w:t>
      </w:r>
      <w:r w:rsidR="00E74588">
        <w:rPr>
          <w:rFonts w:cs="Arial"/>
        </w:rPr>
        <w:t xml:space="preserve">in </w:t>
      </w:r>
      <w:r w:rsidR="0011373C">
        <w:fldChar w:fldCharType="begin"/>
      </w:r>
      <w:r w:rsidR="0011373C">
        <w:instrText xml:space="preserve"> REF _Ref428798185 \h  \* MERGEFORMAT </w:instrText>
      </w:r>
      <w:r w:rsidR="0011373C">
        <w:fldChar w:fldCharType="separate"/>
      </w:r>
      <w:r w:rsidR="00692E23" w:rsidRPr="00692E23">
        <w:t>Abbildung 39</w:t>
      </w:r>
      <w:r w:rsidR="0011373C">
        <w:fldChar w:fldCharType="end"/>
      </w:r>
      <w:r w:rsidRPr="00E74588">
        <w:rPr>
          <w:rFonts w:cs="Arial"/>
        </w:rPr>
        <w:t xml:space="preserve"> </w:t>
      </w:r>
      <w:r>
        <w:rPr>
          <w:rFonts w:cs="Arial"/>
        </w:rPr>
        <w:t xml:space="preserve">aufgetragen. Nur die blau gestrichelte Linie wird abgerechnet. Die grüne kumulierte </w:t>
      </w:r>
      <w:r w:rsidR="00E74588">
        <w:rPr>
          <w:rFonts w:cs="Arial"/>
        </w:rPr>
        <w:t>Biogas-</w:t>
      </w:r>
      <w:r>
        <w:rPr>
          <w:rFonts w:cs="Arial"/>
        </w:rPr>
        <w:t>Differenzmenge wird durch die andauernde Abrechnung nicht mehr erreicht.</w:t>
      </w:r>
    </w:p>
    <w:p w14:paraId="79733F87" w14:textId="77777777" w:rsidR="007E05AB" w:rsidRDefault="007E05AB" w:rsidP="003C2438">
      <w:pPr>
        <w:spacing w:after="0"/>
        <w:rPr>
          <w:rFonts w:cs="Arial"/>
        </w:rPr>
      </w:pPr>
    </w:p>
    <w:p w14:paraId="555912DB" w14:textId="77777777" w:rsidR="00E157A6" w:rsidRDefault="0000332D" w:rsidP="003C2438">
      <w:pPr>
        <w:rPr>
          <w:rFonts w:cs="Arial"/>
        </w:rPr>
      </w:pPr>
      <w:r w:rsidRPr="0000332D">
        <w:rPr>
          <w:noProof/>
        </w:rPr>
        <w:lastRenderedPageBreak/>
        <w:drawing>
          <wp:inline distT="0" distB="0" distL="0" distR="0" wp14:anchorId="050D71AB" wp14:editId="6FCE55BB">
            <wp:extent cx="5753310" cy="4124325"/>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4" cstate="print"/>
                    <a:srcRect/>
                    <a:stretch>
                      <a:fillRect/>
                    </a:stretch>
                  </pic:blipFill>
                  <pic:spPr bwMode="auto">
                    <a:xfrm>
                      <a:off x="0" y="0"/>
                      <a:ext cx="5760555" cy="4129519"/>
                    </a:xfrm>
                    <a:prstGeom prst="rect">
                      <a:avLst/>
                    </a:prstGeom>
                    <a:noFill/>
                    <a:ln w="9525">
                      <a:noFill/>
                      <a:miter lim="800000"/>
                      <a:headEnd/>
                      <a:tailEnd/>
                    </a:ln>
                  </pic:spPr>
                </pic:pic>
              </a:graphicData>
            </a:graphic>
          </wp:inline>
        </w:drawing>
      </w:r>
      <w:bookmarkStart w:id="1065" w:name="_Toc285005419"/>
      <w:bookmarkStart w:id="1066" w:name="_Toc285313976"/>
      <w:bookmarkStart w:id="1067" w:name="_Toc285126099"/>
    </w:p>
    <w:p w14:paraId="55353C4A" w14:textId="2B1A922A" w:rsidR="00921B5C" w:rsidRPr="00C7506D" w:rsidRDefault="00921B5C" w:rsidP="0020289E">
      <w:pPr>
        <w:pStyle w:val="Abbildung"/>
        <w:spacing w:before="360" w:after="240"/>
        <w:rPr>
          <w:b/>
        </w:rPr>
      </w:pPr>
      <w:bookmarkStart w:id="1068" w:name="_Ref428798185"/>
      <w:bookmarkStart w:id="1069" w:name="_Toc296694366"/>
      <w:bookmarkStart w:id="1070" w:name="_Toc357092035"/>
      <w:bookmarkStart w:id="1071" w:name="_Toc390346590"/>
      <w:bookmarkStart w:id="1072" w:name="_Toc412562662"/>
      <w:bookmarkStart w:id="1073" w:name="_Toc437530352"/>
      <w:bookmarkStart w:id="1074" w:name="_Toc111118622"/>
      <w:bookmarkStart w:id="1075" w:name="_Toc111196168"/>
      <w:bookmarkEnd w:id="1065"/>
      <w:bookmarkEnd w:id="1066"/>
      <w:bookmarkEnd w:id="1067"/>
      <w:r w:rsidRPr="00C7506D">
        <w:rPr>
          <w:b/>
        </w:rPr>
        <w:t xml:space="preserve">Abbildung </w:t>
      </w:r>
      <w:r w:rsidR="00561FFA" w:rsidRPr="00C7506D">
        <w:rPr>
          <w:b/>
        </w:rPr>
        <w:fldChar w:fldCharType="begin"/>
      </w:r>
      <w:r w:rsidRPr="00C7506D">
        <w:rPr>
          <w:b/>
        </w:rPr>
        <w:instrText xml:space="preserve"> SEQ Abbildung \* ARABIC </w:instrText>
      </w:r>
      <w:r w:rsidR="00561FFA" w:rsidRPr="00C7506D">
        <w:rPr>
          <w:b/>
        </w:rPr>
        <w:fldChar w:fldCharType="separate"/>
      </w:r>
      <w:r w:rsidR="007A098D">
        <w:rPr>
          <w:b/>
        </w:rPr>
        <w:t>39</w:t>
      </w:r>
      <w:r w:rsidR="00561FFA" w:rsidRPr="00C7506D">
        <w:rPr>
          <w:b/>
        </w:rPr>
        <w:fldChar w:fldCharType="end"/>
      </w:r>
      <w:bookmarkEnd w:id="1068"/>
      <w:r w:rsidRPr="00C7506D">
        <w:rPr>
          <w:b/>
        </w:rPr>
        <w:t>: Überschreitung des Flexibilitätsrahmens</w:t>
      </w:r>
      <w:bookmarkEnd w:id="1069"/>
      <w:bookmarkEnd w:id="1070"/>
      <w:bookmarkEnd w:id="1071"/>
      <w:bookmarkEnd w:id="1072"/>
      <w:bookmarkEnd w:id="1073"/>
      <w:bookmarkEnd w:id="1074"/>
      <w:bookmarkEnd w:id="1075"/>
    </w:p>
    <w:p w14:paraId="7656CFD3" w14:textId="77777777" w:rsidR="00DF612D" w:rsidRDefault="00DF612D" w:rsidP="003C2438">
      <w:pPr>
        <w:rPr>
          <w:rFonts w:cs="Arial"/>
        </w:rPr>
      </w:pPr>
      <w:r>
        <w:rPr>
          <w:rFonts w:cs="Arial"/>
        </w:rPr>
        <w:t xml:space="preserve">Bezogen auf einen einzelnen Tag wird zuerst festgestellt, wie hoch der kumulierte Saldo am Ende des Tages ist. Sofern der Saldo – im dargestellten Beispiel um 9.109 kWh </w:t>
      </w:r>
      <w:r w:rsidR="00E74588">
        <w:rPr>
          <w:rFonts w:cs="Arial"/>
        </w:rPr>
        <w:t xml:space="preserve">– </w:t>
      </w:r>
      <w:r>
        <w:rPr>
          <w:rFonts w:cs="Arial"/>
        </w:rPr>
        <w:t>unterhalb der unteren Flexibilitätsgrenze liegt, wird diese Differenz abgerechnet.</w:t>
      </w:r>
    </w:p>
    <w:p w14:paraId="7B6FD5E6" w14:textId="77777777" w:rsidR="00E157A6" w:rsidRDefault="005D2F31" w:rsidP="003C2438">
      <w:pPr>
        <w:rPr>
          <w:rFonts w:cs="Arial"/>
        </w:rPr>
      </w:pPr>
      <w:r w:rsidRPr="005D2F31">
        <w:rPr>
          <w:noProof/>
        </w:rPr>
        <w:lastRenderedPageBreak/>
        <w:drawing>
          <wp:inline distT="0" distB="0" distL="0" distR="0" wp14:anchorId="59BBD201" wp14:editId="15745FEF">
            <wp:extent cx="5759450" cy="3462694"/>
            <wp:effectExtent l="0" t="0" r="0" b="0"/>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srcRect/>
                    <a:stretch>
                      <a:fillRect/>
                    </a:stretch>
                  </pic:blipFill>
                  <pic:spPr bwMode="auto">
                    <a:xfrm>
                      <a:off x="0" y="0"/>
                      <a:ext cx="5759450" cy="3462694"/>
                    </a:xfrm>
                    <a:prstGeom prst="rect">
                      <a:avLst/>
                    </a:prstGeom>
                    <a:noFill/>
                    <a:ln w="9525">
                      <a:noFill/>
                      <a:miter lim="800000"/>
                      <a:headEnd/>
                      <a:tailEnd/>
                    </a:ln>
                  </pic:spPr>
                </pic:pic>
              </a:graphicData>
            </a:graphic>
          </wp:inline>
        </w:drawing>
      </w:r>
    </w:p>
    <w:p w14:paraId="0C6DC953" w14:textId="25C1365F" w:rsidR="003D6FA3" w:rsidRDefault="00DF612D" w:rsidP="002F0E40">
      <w:pPr>
        <w:pStyle w:val="Abbildung"/>
        <w:spacing w:before="360" w:after="240"/>
        <w:rPr>
          <w:b/>
        </w:rPr>
      </w:pPr>
      <w:bookmarkStart w:id="1076" w:name="_Toc285005420"/>
      <w:bookmarkStart w:id="1077" w:name="_Toc285313977"/>
      <w:bookmarkStart w:id="1078" w:name="_Toc285126100"/>
      <w:bookmarkStart w:id="1079" w:name="_Toc296694367"/>
      <w:bookmarkStart w:id="1080" w:name="_Toc357092036"/>
      <w:bookmarkStart w:id="1081" w:name="_Toc390346591"/>
      <w:bookmarkStart w:id="1082" w:name="_Toc412562663"/>
      <w:bookmarkStart w:id="1083" w:name="_Toc437530353"/>
      <w:bookmarkStart w:id="1084" w:name="_Toc111118623"/>
      <w:bookmarkStart w:id="1085" w:name="_Toc111196169"/>
      <w:r w:rsidRPr="005E563F">
        <w:rPr>
          <w:b/>
        </w:rPr>
        <w:t xml:space="preserve">Abbildung </w:t>
      </w:r>
      <w:r w:rsidR="00561FFA" w:rsidRPr="005E563F">
        <w:rPr>
          <w:b/>
        </w:rPr>
        <w:fldChar w:fldCharType="begin"/>
      </w:r>
      <w:r w:rsidR="00B62083" w:rsidRPr="005E563F">
        <w:rPr>
          <w:b/>
        </w:rPr>
        <w:instrText xml:space="preserve"> SEQ Abbildung \* ARABIC </w:instrText>
      </w:r>
      <w:r w:rsidR="00561FFA" w:rsidRPr="005E563F">
        <w:rPr>
          <w:b/>
        </w:rPr>
        <w:fldChar w:fldCharType="separate"/>
      </w:r>
      <w:r w:rsidR="007A098D">
        <w:rPr>
          <w:b/>
        </w:rPr>
        <w:t>40</w:t>
      </w:r>
      <w:r w:rsidR="00561FFA" w:rsidRPr="005E563F">
        <w:rPr>
          <w:b/>
        </w:rPr>
        <w:fldChar w:fldCharType="end"/>
      </w:r>
      <w:r w:rsidRPr="005E563F">
        <w:rPr>
          <w:b/>
        </w:rPr>
        <w:t xml:space="preserve">: Überschreitung und Abrechnung des Flexibilitätsrahmens am </w:t>
      </w:r>
      <w:r w:rsidR="005D2F31" w:rsidRPr="005E563F">
        <w:rPr>
          <w:b/>
        </w:rPr>
        <w:t>0</w:t>
      </w:r>
      <w:r w:rsidRPr="005E563F">
        <w:rPr>
          <w:b/>
        </w:rPr>
        <w:t>6.03.10</w:t>
      </w:r>
      <w:bookmarkStart w:id="1086" w:name="_Toc346537704"/>
      <w:bookmarkStart w:id="1087" w:name="_Toc346537856"/>
      <w:bookmarkStart w:id="1088" w:name="_Toc346785064"/>
      <w:bookmarkStart w:id="1089" w:name="_Toc346868191"/>
      <w:bookmarkStart w:id="1090" w:name="_Toc347920199"/>
      <w:bookmarkStart w:id="1091" w:name="_Toc347921428"/>
      <w:bookmarkStart w:id="1092" w:name="_Toc347921486"/>
      <w:bookmarkStart w:id="1093" w:name="_Toc347921708"/>
      <w:bookmarkStart w:id="1094" w:name="_Toc347926679"/>
      <w:bookmarkStart w:id="1095" w:name="_Toc347995067"/>
      <w:bookmarkStart w:id="1096" w:name="_Toc347995163"/>
      <w:bookmarkStart w:id="1097" w:name="_Toc347997845"/>
      <w:bookmarkStart w:id="1098" w:name="_Toc347997941"/>
      <w:bookmarkEnd w:id="1076"/>
      <w:bookmarkEnd w:id="1077"/>
      <w:bookmarkEnd w:id="1078"/>
      <w:bookmarkEnd w:id="1079"/>
      <w:bookmarkEnd w:id="1080"/>
      <w:bookmarkEnd w:id="1081"/>
      <w:bookmarkEnd w:id="1082"/>
      <w:bookmarkEnd w:id="1083"/>
      <w:bookmarkEnd w:id="1084"/>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85"/>
    </w:p>
    <w:p w14:paraId="27CBFC74" w14:textId="68786BA0" w:rsidR="00B52757" w:rsidRDefault="00B52757">
      <w:pPr>
        <w:rPr>
          <w:b/>
          <w:noProof/>
        </w:rPr>
      </w:pPr>
      <w:r>
        <w:rPr>
          <w:b/>
        </w:rPr>
        <w:br w:type="page"/>
      </w:r>
    </w:p>
    <w:p w14:paraId="6EC5D701" w14:textId="77777777" w:rsidR="00B52757" w:rsidRDefault="00B52757" w:rsidP="002F0E40">
      <w:pPr>
        <w:pStyle w:val="Abbildung"/>
        <w:spacing w:before="360" w:after="240"/>
        <w:rPr>
          <w:b/>
        </w:rPr>
      </w:pPr>
    </w:p>
    <w:p w14:paraId="6AD136DD" w14:textId="77777777" w:rsidR="007E05AB" w:rsidRDefault="00DF612D" w:rsidP="005D3099">
      <w:pPr>
        <w:pStyle w:val="berschrift3"/>
        <w:tabs>
          <w:tab w:val="num" w:pos="1134"/>
        </w:tabs>
        <w:spacing w:before="480"/>
        <w:ind w:left="1146" w:hanging="1106"/>
      </w:pPr>
      <w:bookmarkStart w:id="1099" w:name="_Toc280808887"/>
      <w:bookmarkStart w:id="1100" w:name="_Toc284323685"/>
      <w:bookmarkStart w:id="1101" w:name="_Toc284334362"/>
      <w:bookmarkStart w:id="1102" w:name="_Toc285005336"/>
      <w:bookmarkStart w:id="1103" w:name="_Toc296694146"/>
      <w:bookmarkStart w:id="1104" w:name="_Toc391540216"/>
      <w:bookmarkStart w:id="1105" w:name="_Ref411949057"/>
      <w:bookmarkStart w:id="1106" w:name="_Ref411949077"/>
      <w:bookmarkStart w:id="1107" w:name="_Toc412661382"/>
      <w:bookmarkStart w:id="1108" w:name="_Toc111118541"/>
      <w:r>
        <w:t>Übertragung</w:t>
      </w:r>
      <w:r w:rsidRPr="00A87A77">
        <w:t xml:space="preserve"> </w:t>
      </w:r>
      <w:r>
        <w:t xml:space="preserve">oder Abrechnung </w:t>
      </w:r>
      <w:r w:rsidRPr="00A87A77">
        <w:t xml:space="preserve">von </w:t>
      </w:r>
      <w:r w:rsidR="005C3BAB">
        <w:t>Salden</w:t>
      </w:r>
      <w:r w:rsidR="005C3BAB" w:rsidRPr="00A87A77">
        <w:t xml:space="preserve"> </w:t>
      </w:r>
      <w:r w:rsidRPr="00A87A77">
        <w:t>am Ende des Bilanzierungszeitraums</w:t>
      </w:r>
      <w:bookmarkEnd w:id="1099"/>
      <w:bookmarkEnd w:id="1100"/>
      <w:bookmarkEnd w:id="1101"/>
      <w:bookmarkEnd w:id="1102"/>
      <w:bookmarkEnd w:id="1103"/>
      <w:bookmarkEnd w:id="1104"/>
      <w:bookmarkEnd w:id="1105"/>
      <w:bookmarkEnd w:id="1106"/>
      <w:bookmarkEnd w:id="1107"/>
      <w:r w:rsidR="00DB222A">
        <w:t xml:space="preserve"> bei Biogasbilanzkreisen</w:t>
      </w:r>
      <w:bookmarkEnd w:id="1108"/>
    </w:p>
    <w:p w14:paraId="7732A196" w14:textId="77777777" w:rsidR="00DF612D" w:rsidRDefault="00DF612D" w:rsidP="003C2438">
      <w:pPr>
        <w:rPr>
          <w:rFonts w:cs="Arial"/>
        </w:rPr>
      </w:pPr>
      <w:r>
        <w:rPr>
          <w:rFonts w:cs="Arial"/>
        </w:rPr>
        <w:t xml:space="preserve">Am Ende des Bilanzierungszeitraums kann ein positiver oder negativer Endsaldo auftreten. Der Endsaldo ergibt sich aus dem gekürzten </w:t>
      </w:r>
      <w:proofErr w:type="spellStart"/>
      <w:r>
        <w:rPr>
          <w:rFonts w:cs="Arial"/>
        </w:rPr>
        <w:t>kum</w:t>
      </w:r>
      <w:proofErr w:type="spellEnd"/>
      <w:r>
        <w:rPr>
          <w:rFonts w:cs="Arial"/>
        </w:rPr>
        <w:t>. Jahressaldo.</w:t>
      </w:r>
    </w:p>
    <w:p w14:paraId="6C6DE782" w14:textId="77777777" w:rsidR="00DF612D" w:rsidRPr="00DA5FE4" w:rsidRDefault="00DF612D" w:rsidP="003C2438">
      <w:pPr>
        <w:rPr>
          <w:rFonts w:cs="Arial"/>
        </w:rPr>
      </w:pPr>
      <w:r w:rsidRPr="00DA5FE4">
        <w:rPr>
          <w:rFonts w:cs="Arial"/>
        </w:rPr>
        <w:t xml:space="preserve">Im Rahmen der Biogas-Bilanzierung ist ein Übertrag eines positiven Saldos bis in Höhe des bestehenden Flexibilitätsrahmens auf den nächsten Bilanzierungszeitraum möglich. Die Übertragung erfolgt automatisch, wenn der </w:t>
      </w:r>
      <w:proofErr w:type="gramStart"/>
      <w:r w:rsidRPr="00DA5FE4">
        <w:rPr>
          <w:rFonts w:cs="Arial"/>
        </w:rPr>
        <w:t>BKV</w:t>
      </w:r>
      <w:proofErr w:type="gramEnd"/>
      <w:r w:rsidRPr="00DA5FE4">
        <w:rPr>
          <w:rFonts w:cs="Arial"/>
        </w:rPr>
        <w:t xml:space="preserve"> dem nicht rechtzeitig vor Ablauf des Bilanzierungszeitraums widerspricht. Dieser Saldo wird bei der Ermittlung des i</w:t>
      </w:r>
      <w:r>
        <w:rPr>
          <w:rFonts w:cs="Arial"/>
        </w:rPr>
        <w:t>m</w:t>
      </w:r>
      <w:r w:rsidRPr="00DA5FE4">
        <w:rPr>
          <w:rFonts w:cs="Arial"/>
        </w:rPr>
        <w:t xml:space="preserve"> nächsten Bilanzierungszeitraum in Anspruch genommenen Flexibilitätsrahmens nicht berücksichtigt, sondern am Ende des nächsten Bilanzierungszeitraums mit dem dann festgestellten Saldo verrechnet. Eine Übertragung auf einen ander</w:t>
      </w:r>
      <w:r>
        <w:rPr>
          <w:rFonts w:cs="Arial"/>
        </w:rPr>
        <w:t>en Biogas-BK ist nicht möglich.</w:t>
      </w:r>
    </w:p>
    <w:p w14:paraId="4F575558" w14:textId="3BD543D4" w:rsidR="00A42E36" w:rsidRDefault="00DF612D" w:rsidP="003C2438">
      <w:pPr>
        <w:rPr>
          <w:rFonts w:cs="Arial"/>
        </w:rPr>
      </w:pPr>
      <w:r>
        <w:rPr>
          <w:rFonts w:cs="Arial"/>
        </w:rPr>
        <w:t xml:space="preserve">Sofern der BKV nicht die Übertragung, sondern die Auszahlung der positiven Salden wünscht, teilt er dieses dem MGV mit. Negative Salden müssen ausgeglichen werden. Für den Ausgleich wird das arithmetische Mittel aller </w:t>
      </w:r>
      <w:r w:rsidR="000903EA">
        <w:t>negativen und positiven Ausgleichsenergiepreise</w:t>
      </w:r>
      <w:r>
        <w:rPr>
          <w:rFonts w:cs="Arial"/>
        </w:rPr>
        <w:t xml:space="preserve"> innerhalb des </w:t>
      </w:r>
      <w:r w:rsidRPr="00DC5459">
        <w:rPr>
          <w:rFonts w:cs="Arial"/>
          <w:u w:val="single"/>
        </w:rPr>
        <w:t>Bilanzierungszeitraums</w:t>
      </w:r>
      <w:r>
        <w:rPr>
          <w:rFonts w:cs="Arial"/>
        </w:rPr>
        <w:t xml:space="preserve"> herangezogen. Der Preis für den jeweiligen Bilanzierungszeitraum ist abhängig von Beginn und Enddatum des Bilanzkreises und kann so</w:t>
      </w:r>
      <w:r w:rsidR="00B23F11">
        <w:rPr>
          <w:rFonts w:cs="Arial"/>
        </w:rPr>
        <w:t>-</w:t>
      </w:r>
      <w:r>
        <w:rPr>
          <w:rFonts w:cs="Arial"/>
        </w:rPr>
        <w:t>mit je Biogas-Bilanzkreis variieren.</w:t>
      </w:r>
    </w:p>
    <w:p w14:paraId="49E04D0F" w14:textId="36EC5C25" w:rsidR="00B52757" w:rsidRDefault="00B52757" w:rsidP="003C2438">
      <w:pPr>
        <w:rPr>
          <w:rFonts w:cs="Arial"/>
        </w:rPr>
      </w:pPr>
      <w:r>
        <w:rPr>
          <w:rFonts w:cs="Arial"/>
        </w:rPr>
        <w:br w:type="page"/>
      </w:r>
    </w:p>
    <w:p w14:paraId="6471F931" w14:textId="77777777" w:rsidR="007E05AB" w:rsidRDefault="00DF612D" w:rsidP="0020289E">
      <w:pPr>
        <w:pStyle w:val="berschrift3"/>
        <w:tabs>
          <w:tab w:val="num" w:pos="1134"/>
        </w:tabs>
        <w:spacing w:before="480"/>
        <w:ind w:left="1146" w:hanging="1106"/>
      </w:pPr>
      <w:bookmarkStart w:id="1109" w:name="_Toc280808888"/>
      <w:bookmarkStart w:id="1110" w:name="_Toc284323686"/>
      <w:bookmarkStart w:id="1111" w:name="_Toc284334363"/>
      <w:bookmarkStart w:id="1112" w:name="_Toc285005337"/>
      <w:bookmarkStart w:id="1113" w:name="_Toc296694147"/>
      <w:bookmarkStart w:id="1114" w:name="_Toc391540217"/>
      <w:bookmarkStart w:id="1115" w:name="_Toc412661383"/>
      <w:bookmarkStart w:id="1116" w:name="_Toc111118542"/>
      <w:r w:rsidRPr="00212CFC">
        <w:lastRenderedPageBreak/>
        <w:t>Rechnungserstellung für Überschreitungsmengen</w:t>
      </w:r>
      <w:bookmarkEnd w:id="1109"/>
      <w:bookmarkEnd w:id="1110"/>
      <w:bookmarkEnd w:id="1111"/>
      <w:bookmarkEnd w:id="1112"/>
      <w:bookmarkEnd w:id="1113"/>
      <w:bookmarkEnd w:id="1114"/>
      <w:bookmarkEnd w:id="1115"/>
      <w:r w:rsidR="00DB222A">
        <w:t xml:space="preserve"> bei Biogasbilanzkreisen</w:t>
      </w:r>
      <w:bookmarkEnd w:id="1116"/>
    </w:p>
    <w:p w14:paraId="0371C00B" w14:textId="4B6F0A84" w:rsidR="00DF612D" w:rsidRDefault="00AF50F7" w:rsidP="003C2438">
      <w:pPr>
        <w:rPr>
          <w:rFonts w:cs="Arial"/>
        </w:rPr>
      </w:pPr>
      <w:r>
        <w:t xml:space="preserve">Der Marktgebietsverantwortliche übermittelt die Abrechnung in Form von elektronischen Rechnungen gem. </w:t>
      </w:r>
      <w:r w:rsidR="00815124">
        <w:t>§ </w:t>
      </w:r>
      <w:r>
        <w:t>14 Abs. 1 Satz 8 UStG</w:t>
      </w:r>
      <w:r>
        <w:rPr>
          <w:rFonts w:cs="Arial"/>
        </w:rPr>
        <w:t xml:space="preserve"> ausschließlich an den BKV des abzurechnenden Bilanzkreises. </w:t>
      </w:r>
      <w:r w:rsidR="00DF612D">
        <w:rPr>
          <w:rFonts w:cs="Arial"/>
        </w:rPr>
        <w:t>F</w:t>
      </w:r>
      <w:r w:rsidR="00DF612D" w:rsidRPr="003C1AA3">
        <w:rPr>
          <w:rFonts w:cs="Arial"/>
        </w:rPr>
        <w:t>olgende Inhalte werden ausgewiesen</w:t>
      </w:r>
      <w:r w:rsidR="00DF612D">
        <w:rPr>
          <w:rFonts w:cs="Arial"/>
        </w:rPr>
        <w:t>:</w:t>
      </w:r>
    </w:p>
    <w:p w14:paraId="3DE12769" w14:textId="77777777" w:rsidR="00DF612D" w:rsidRDefault="00DF612D" w:rsidP="003C2438">
      <w:pPr>
        <w:pStyle w:val="Aufzhlungszeichen"/>
      </w:pPr>
      <w:r>
        <w:t>Biogas-Bilanzkreisnummer</w:t>
      </w:r>
      <w:r w:rsidR="00227899">
        <w:t>;</w:t>
      </w:r>
    </w:p>
    <w:p w14:paraId="01B1B094" w14:textId="77777777" w:rsidR="00DF612D" w:rsidRDefault="00DF612D" w:rsidP="003C2438">
      <w:pPr>
        <w:pStyle w:val="Aufzhlungszeichen"/>
      </w:pPr>
      <w:r>
        <w:t>Bilanzierungszeitraum</w:t>
      </w:r>
      <w:r w:rsidR="00227899">
        <w:t>;</w:t>
      </w:r>
    </w:p>
    <w:p w14:paraId="18CFD18B" w14:textId="77777777" w:rsidR="00DF612D" w:rsidRPr="002B385A" w:rsidRDefault="00DF612D" w:rsidP="003C2438">
      <w:pPr>
        <w:pStyle w:val="Aufzhlungszeichen"/>
      </w:pPr>
      <w:r w:rsidRPr="002B385A">
        <w:t>Abrechnung des in</w:t>
      </w:r>
      <w:r w:rsidRPr="009C5B84">
        <w:t xml:space="preserve"> </w:t>
      </w:r>
      <w:r w:rsidRPr="002B385A">
        <w:t>Anspruch genommene</w:t>
      </w:r>
      <w:r>
        <w:t>n</w:t>
      </w:r>
      <w:r w:rsidRPr="002B385A">
        <w:t xml:space="preserve"> Flexibilitätsrahmen</w:t>
      </w:r>
      <w:r>
        <w:t xml:space="preserve">s (absolut) multipliziert mit dem </w:t>
      </w:r>
      <w:r w:rsidRPr="009C5B84">
        <w:t>Entgelt für den erweiterten Bilanzausgleich in Höhe von 0,001</w:t>
      </w:r>
      <w:r w:rsidRPr="002B385A">
        <w:t xml:space="preserve"> €</w:t>
      </w:r>
      <w:r>
        <w:t>/kWh</w:t>
      </w:r>
      <w:r w:rsidR="00227899">
        <w:t>;</w:t>
      </w:r>
    </w:p>
    <w:p w14:paraId="77A688AD" w14:textId="77777777" w:rsidR="00DF612D" w:rsidRDefault="00DF612D" w:rsidP="003C2438">
      <w:pPr>
        <w:pStyle w:val="Aufzhlungszeichen"/>
      </w:pPr>
      <w:r w:rsidRPr="00074DA9">
        <w:t xml:space="preserve">Gutschrift der Summe aus den täglichen, positiven </w:t>
      </w:r>
      <w:r w:rsidR="002627A1">
        <w:t>Salden</w:t>
      </w:r>
      <w:r w:rsidR="002627A1" w:rsidRPr="00074DA9">
        <w:t xml:space="preserve"> </w:t>
      </w:r>
      <w:r w:rsidRPr="00074DA9">
        <w:t xml:space="preserve">(Überspeisung) </w:t>
      </w:r>
      <w:r>
        <w:t>außerhalb des Flexibilitätsrahmens</w:t>
      </w:r>
      <w:r w:rsidRPr="00074DA9">
        <w:t xml:space="preserve"> multipliziert mit dem jeweils zugehörigen täglichen Preis für negative Ausgleichsenergie</w:t>
      </w:r>
      <w:r w:rsidR="00227899">
        <w:t>;</w:t>
      </w:r>
    </w:p>
    <w:p w14:paraId="4AD65B1E" w14:textId="77777777" w:rsidR="00DF612D" w:rsidRDefault="00DF612D" w:rsidP="003C2438">
      <w:pPr>
        <w:pStyle w:val="Aufzhlungszeichen"/>
      </w:pPr>
      <w:r w:rsidRPr="00074DA9">
        <w:t xml:space="preserve">Abrechnung der Summe aus den täglichen, negativen </w:t>
      </w:r>
      <w:r w:rsidR="002627A1">
        <w:t>Salden</w:t>
      </w:r>
      <w:r w:rsidR="002627A1" w:rsidRPr="00074DA9">
        <w:t xml:space="preserve"> </w:t>
      </w:r>
      <w:r w:rsidRPr="00074DA9">
        <w:t xml:space="preserve">(Unterspeisung) </w:t>
      </w:r>
      <w:r>
        <w:t>außerhalb des Flexibilitätsrahmens,</w:t>
      </w:r>
      <w:r w:rsidRPr="00074DA9">
        <w:t xml:space="preserve"> multipliziert mit dem jeweils zugehörigen täglichen Preis für positive Aus</w:t>
      </w:r>
      <w:r>
        <w:t>gleichsenergie</w:t>
      </w:r>
      <w:r w:rsidR="00227899">
        <w:t>;</w:t>
      </w:r>
    </w:p>
    <w:p w14:paraId="1C727AEC" w14:textId="77777777" w:rsidR="00DF612D" w:rsidRPr="00074DA9" w:rsidRDefault="00DF612D" w:rsidP="003C2438">
      <w:pPr>
        <w:pStyle w:val="Aufzhlungszeichen"/>
      </w:pPr>
      <w:r w:rsidRPr="00074DA9">
        <w:t xml:space="preserve">Übertrag </w:t>
      </w:r>
      <w:r w:rsidRPr="00FF2484">
        <w:t xml:space="preserve">des positiven Saldos innerhalb des bestehenden Flexibilitätsrahmens am Ende des Bilanzierungszeitraums </w:t>
      </w:r>
      <w:r w:rsidRPr="00074DA9">
        <w:t>auf den nächsten Bilanzierungszeitraum in kWh</w:t>
      </w:r>
      <w:r w:rsidR="00227899">
        <w:t>;</w:t>
      </w:r>
    </w:p>
    <w:p w14:paraId="6EE26E39" w14:textId="77777777" w:rsidR="007E05AB" w:rsidRDefault="00DF612D" w:rsidP="003C2438">
      <w:pPr>
        <w:pStyle w:val="Aufzhlungszeichen"/>
      </w:pPr>
      <w:r w:rsidRPr="006701AA">
        <w:t>Abrechnung des</w:t>
      </w:r>
      <w:r>
        <w:t xml:space="preserve"> kumulierten, positiven oder negativen (absolut)</w:t>
      </w:r>
      <w:r w:rsidRPr="006701AA">
        <w:t xml:space="preserve"> Saldos</w:t>
      </w:r>
      <w:r>
        <w:t xml:space="preserve"> des Biogas-</w:t>
      </w:r>
      <w:r w:rsidR="00227899">
        <w:t xml:space="preserve">BK </w:t>
      </w:r>
      <w:r>
        <w:t xml:space="preserve">innerhalb </w:t>
      </w:r>
      <w:r w:rsidRPr="006701AA">
        <w:t xml:space="preserve">des </w:t>
      </w:r>
      <w:r w:rsidRPr="00FF2484">
        <w:t xml:space="preserve">bestehenden </w:t>
      </w:r>
      <w:r w:rsidRPr="006701AA">
        <w:t>Flexibilitätsrahmen</w:t>
      </w:r>
      <w:r>
        <w:t>s</w:t>
      </w:r>
      <w:r w:rsidRPr="006701AA">
        <w:t xml:space="preserve"> am Ende des Bilanzierungszeitraums in kWh</w:t>
      </w:r>
      <w:r>
        <w:t>,</w:t>
      </w:r>
      <w:r w:rsidRPr="006701AA">
        <w:t xml:space="preserve"> </w:t>
      </w:r>
      <w:r>
        <w:t xml:space="preserve">multipliziert </w:t>
      </w:r>
      <w:r w:rsidRPr="006701AA">
        <w:t xml:space="preserve">mit dem </w:t>
      </w:r>
      <w:r>
        <w:t xml:space="preserve">arithmetischen Mittel </w:t>
      </w:r>
      <w:r w:rsidR="000903EA">
        <w:t xml:space="preserve">negativen und positiven Ausgleichsenergiepreise </w:t>
      </w:r>
      <w:r>
        <w:t xml:space="preserve">innerhalb des </w:t>
      </w:r>
      <w:r w:rsidRPr="00DC5459">
        <w:rPr>
          <w:u w:val="single"/>
        </w:rPr>
        <w:t>Bilanzierungszeitraums</w:t>
      </w:r>
      <w:r>
        <w:rPr>
          <w:u w:val="single"/>
        </w:rPr>
        <w:t xml:space="preserve"> </w:t>
      </w:r>
      <w:r>
        <w:t>in €</w:t>
      </w:r>
      <w:r w:rsidR="00227899">
        <w:t>;</w:t>
      </w:r>
    </w:p>
    <w:p w14:paraId="7FAB6D46" w14:textId="77777777" w:rsidR="007E05AB" w:rsidRDefault="00DF612D" w:rsidP="003C2438">
      <w:pPr>
        <w:pStyle w:val="Aufzhlungszeichen"/>
      </w:pPr>
      <w:r w:rsidRPr="001C017F">
        <w:t xml:space="preserve">Abrechnung der </w:t>
      </w:r>
      <w:r w:rsidR="001D4062">
        <w:t>SLP- sowie der RLM-Bilanzierungsumlage</w:t>
      </w:r>
      <w:r w:rsidRPr="001C017F">
        <w:t xml:space="preserve"> in €</w:t>
      </w:r>
      <w:r>
        <w:t>.</w:t>
      </w:r>
    </w:p>
    <w:p w14:paraId="6E8C1E46" w14:textId="49BD6CCD" w:rsidR="00DF612D" w:rsidRDefault="00DF612D" w:rsidP="003C2438">
      <w:pPr>
        <w:tabs>
          <w:tab w:val="left" w:pos="3540"/>
        </w:tabs>
        <w:rPr>
          <w:rFonts w:cs="Arial"/>
        </w:rPr>
      </w:pPr>
      <w:r w:rsidRPr="001C017F">
        <w:rPr>
          <w:rFonts w:cs="Arial"/>
        </w:rPr>
        <w:t xml:space="preserve">Es </w:t>
      </w:r>
      <w:r>
        <w:rPr>
          <w:rFonts w:cs="Arial"/>
        </w:rPr>
        <w:t>gibt</w:t>
      </w:r>
      <w:r w:rsidRPr="001C017F">
        <w:rPr>
          <w:rFonts w:cs="Arial"/>
        </w:rPr>
        <w:t xml:space="preserve"> eine Anlage zur Rechnung</w:t>
      </w:r>
      <w:r>
        <w:rPr>
          <w:rFonts w:cs="Arial"/>
        </w:rPr>
        <w:t xml:space="preserve"> mit den Salden der Einspeisemengen, Ausspeisemengen, </w:t>
      </w:r>
      <w:r w:rsidR="00404DBF">
        <w:rPr>
          <w:rFonts w:cs="Arial"/>
        </w:rPr>
        <w:t xml:space="preserve">Flexibilitätsrahmenüberschreitungen, </w:t>
      </w:r>
      <w:r>
        <w:rPr>
          <w:rFonts w:cs="Arial"/>
        </w:rPr>
        <w:t>des durchschnittlichen Ausgleichsenergiepreises im Bilanzierungszeitraum der Abrechnung sowie die Summe der Ausgleichsenergiekosten oder -erlöse.</w:t>
      </w:r>
    </w:p>
    <w:p w14:paraId="3D08CF9F" w14:textId="77777777" w:rsidR="00686CDD" w:rsidRDefault="00DF612D" w:rsidP="00935EE3">
      <w:pPr>
        <w:tabs>
          <w:tab w:val="left" w:pos="3540"/>
        </w:tabs>
        <w:rPr>
          <w:rFonts w:cs="Arial"/>
        </w:rPr>
      </w:pPr>
      <w:r>
        <w:rPr>
          <w:rFonts w:cs="Arial"/>
        </w:rPr>
        <w:t>Auf einer weiteren Anlage zur Rechnung werden die in den Biogas</w:t>
      </w:r>
      <w:r w:rsidR="00227899">
        <w:rPr>
          <w:rFonts w:cs="Arial"/>
        </w:rPr>
        <w:t xml:space="preserve">-BK </w:t>
      </w:r>
      <w:r>
        <w:rPr>
          <w:rFonts w:cs="Arial"/>
        </w:rPr>
        <w:t>eingespeisten Biogasmengen, die ausgespeisten Biogasmengen</w:t>
      </w:r>
      <w:r w:rsidR="000B07C4">
        <w:rPr>
          <w:rFonts w:cs="Arial"/>
        </w:rPr>
        <w:t>, die eingespeisten Wasserstoffmengen</w:t>
      </w:r>
      <w:r>
        <w:rPr>
          <w:rFonts w:cs="Arial"/>
        </w:rPr>
        <w:t xml:space="preserve"> und die nutzbare positive und negative Flexibilitätsgrenze aufgeführt. Dieser Anhang kann zur Bestätigung der Biogasmengen gegenüber dem EEG-Einspeisenetzbetreiber genutzt werden.</w:t>
      </w:r>
    </w:p>
    <w:p w14:paraId="490618D7" w14:textId="6F9C5021" w:rsidR="00686CDD" w:rsidRDefault="00686CDD" w:rsidP="00686CDD">
      <w:pPr>
        <w:pStyle w:val="berschrift2"/>
        <w:spacing w:before="480"/>
        <w:ind w:left="567" w:hanging="567"/>
      </w:pPr>
      <w:bookmarkStart w:id="1117" w:name="_Toc111118543"/>
      <w:r>
        <w:t>Grundsätze zur Abrechnung der Speicherumlage</w:t>
      </w:r>
      <w:bookmarkEnd w:id="1117"/>
    </w:p>
    <w:p w14:paraId="09F3C561" w14:textId="47EDC105" w:rsidR="00686CDD" w:rsidRDefault="00686CDD" w:rsidP="00686CDD">
      <w:pPr>
        <w:tabs>
          <w:tab w:val="left" w:pos="3540"/>
        </w:tabs>
        <w:rPr>
          <w:rFonts w:cs="Arial"/>
        </w:rPr>
      </w:pPr>
      <w:r>
        <w:rPr>
          <w:rFonts w:cs="Arial"/>
        </w:rPr>
        <w:t>Der Marktgebietsverantwortliche erhebt f</w:t>
      </w:r>
      <w:r w:rsidRPr="001332EF">
        <w:rPr>
          <w:rFonts w:cs="Arial"/>
        </w:rPr>
        <w:t>ür sämtliche SLP-, RLM-</w:t>
      </w:r>
      <w:r>
        <w:rPr>
          <w:rFonts w:cs="Arial"/>
        </w:rPr>
        <w:t xml:space="preserve">Allokationen sowie die </w:t>
      </w:r>
      <w:proofErr w:type="spellStart"/>
      <w:r>
        <w:rPr>
          <w:rFonts w:cs="Arial"/>
        </w:rPr>
        <w:t>E</w:t>
      </w:r>
      <w:r w:rsidR="00FA6825">
        <w:rPr>
          <w:rFonts w:cs="Arial"/>
        </w:rPr>
        <w:t>xitso</w:t>
      </w:r>
      <w:proofErr w:type="spellEnd"/>
      <w:r>
        <w:rPr>
          <w:rFonts w:cs="Arial"/>
        </w:rPr>
        <w:t xml:space="preserve">-Allokationen an </w:t>
      </w:r>
      <w:r w:rsidRPr="001332EF">
        <w:rPr>
          <w:rFonts w:cs="Arial"/>
        </w:rPr>
        <w:t xml:space="preserve">Grenzübergangspunkten sowie virtuellen Kopplungspunkten </w:t>
      </w:r>
      <w:r w:rsidRPr="009A7942">
        <w:rPr>
          <w:rFonts w:cs="Arial"/>
        </w:rPr>
        <w:t xml:space="preserve">eine Umlage in EUR/MWh gemäß </w:t>
      </w:r>
      <w:r w:rsidR="00FA6825">
        <w:rPr>
          <w:rFonts w:cs="Arial"/>
        </w:rPr>
        <w:t>§ </w:t>
      </w:r>
      <w:r w:rsidRPr="009A7942">
        <w:rPr>
          <w:rFonts w:cs="Arial"/>
        </w:rPr>
        <w:t>35e EnWG („Speicherumlage“).</w:t>
      </w:r>
    </w:p>
    <w:p w14:paraId="67E7C279" w14:textId="77777777" w:rsidR="00686CDD" w:rsidRDefault="00686CDD" w:rsidP="00686CDD">
      <w:pPr>
        <w:tabs>
          <w:tab w:val="left" w:pos="3540"/>
        </w:tabs>
        <w:rPr>
          <w:rFonts w:cs="Arial"/>
        </w:rPr>
      </w:pPr>
      <w:r w:rsidRPr="001332EF">
        <w:rPr>
          <w:rFonts w:cs="Arial"/>
        </w:rPr>
        <w:lastRenderedPageBreak/>
        <w:t>Die Abrechnung der Speicherumlage erfolgt monatlich im Zuge der Bilanzkreisabrechnung</w:t>
      </w:r>
      <w:r>
        <w:rPr>
          <w:rFonts w:cs="Arial"/>
        </w:rPr>
        <w:t xml:space="preserve"> bis spätestens 2 Monate nach dem Liefermonat. Dabei erfolgt die Rechnungsstellung der Speicherumlage über einen gesonderten Abrechnungsbeleg.</w:t>
      </w:r>
    </w:p>
    <w:p w14:paraId="411C8A8D" w14:textId="0EB33CEF" w:rsidR="00686CDD" w:rsidRPr="00BF6428" w:rsidRDefault="00686CDD" w:rsidP="00686CDD">
      <w:pPr>
        <w:autoSpaceDE w:val="0"/>
        <w:autoSpaceDN w:val="0"/>
        <w:adjustRightInd w:val="0"/>
        <w:rPr>
          <w:rFonts w:cs="Arial"/>
        </w:rPr>
      </w:pPr>
      <w:r w:rsidRPr="00344307">
        <w:rPr>
          <w:rFonts w:cs="Arial"/>
        </w:rPr>
        <w:t>Der M</w:t>
      </w:r>
      <w:r w:rsidR="00D31084">
        <w:rPr>
          <w:rFonts w:cs="Arial"/>
        </w:rPr>
        <w:t>GV</w:t>
      </w:r>
      <w:r w:rsidRPr="00344307">
        <w:rPr>
          <w:rFonts w:cs="Arial"/>
        </w:rPr>
        <w:t xml:space="preserve"> übermittelt die Abrechnung in Form von elektronischen Rechnungen gem. </w:t>
      </w:r>
      <w:r w:rsidR="00FA6825">
        <w:rPr>
          <w:rFonts w:cs="Arial"/>
        </w:rPr>
        <w:t>§ </w:t>
      </w:r>
      <w:r w:rsidRPr="00344307">
        <w:rPr>
          <w:rFonts w:cs="Arial"/>
        </w:rPr>
        <w:t xml:space="preserve">14 Abs. 1 Satz 8 UStG </w:t>
      </w:r>
      <w:r>
        <w:rPr>
          <w:rFonts w:cs="Arial"/>
        </w:rPr>
        <w:t>ausschließlich an den BKV des abzurechnenden Bilanzkreises (alle RBK und alle UBK im Direktzahlungsmodell).</w:t>
      </w:r>
    </w:p>
    <w:p w14:paraId="7EFC20F4" w14:textId="77777777" w:rsidR="00686CDD" w:rsidRPr="004A6FAE" w:rsidRDefault="00686CDD" w:rsidP="00686CDD">
      <w:pPr>
        <w:autoSpaceDE w:val="0"/>
        <w:autoSpaceDN w:val="0"/>
        <w:adjustRightInd w:val="0"/>
        <w:rPr>
          <w:rFonts w:cs="Arial"/>
        </w:rPr>
      </w:pPr>
      <w:r w:rsidRPr="004A6FAE">
        <w:rPr>
          <w:rFonts w:cs="Arial"/>
        </w:rPr>
        <w:t>Unter</w:t>
      </w:r>
      <w:r>
        <w:rPr>
          <w:rFonts w:cs="Arial"/>
        </w:rPr>
        <w:t>b</w:t>
      </w:r>
      <w:r w:rsidRPr="004A6FAE">
        <w:rPr>
          <w:rFonts w:cs="Arial"/>
        </w:rPr>
        <w:t>ilanzkreisverantwortliche erhalten keine Abrechnungsunterlagen</w:t>
      </w:r>
      <w:r>
        <w:rPr>
          <w:rFonts w:cs="Arial"/>
        </w:rPr>
        <w:t>, soweit sie nicht am Direktzahlungsmodell teilnehmen</w:t>
      </w:r>
      <w:r w:rsidRPr="004A6FAE">
        <w:rPr>
          <w:rFonts w:cs="Arial"/>
        </w:rPr>
        <w:t>.</w:t>
      </w:r>
    </w:p>
    <w:p w14:paraId="298939C3" w14:textId="30E4012C" w:rsidR="00686CDD" w:rsidRDefault="00686CDD" w:rsidP="00686CDD">
      <w:pPr>
        <w:autoSpaceDE w:val="0"/>
        <w:autoSpaceDN w:val="0"/>
        <w:adjustRightInd w:val="0"/>
        <w:rPr>
          <w:rFonts w:cs="Arial"/>
        </w:rPr>
      </w:pPr>
      <w:r w:rsidRPr="00C871B0">
        <w:rPr>
          <w:rFonts w:cs="Arial"/>
        </w:rPr>
        <w:t xml:space="preserve">Sofern der MGV die Abrechnung in Gänze oder in Teilen korrigieren muss, erfolgen ein </w:t>
      </w:r>
      <w:proofErr w:type="spellStart"/>
      <w:r w:rsidRPr="00C871B0">
        <w:rPr>
          <w:rFonts w:cs="Arial"/>
        </w:rPr>
        <w:t>Stor</w:t>
      </w:r>
      <w:r>
        <w:rPr>
          <w:rFonts w:cs="Arial"/>
        </w:rPr>
        <w:t>-</w:t>
      </w:r>
      <w:r w:rsidRPr="00C871B0">
        <w:rPr>
          <w:rFonts w:cs="Arial"/>
        </w:rPr>
        <w:t>no</w:t>
      </w:r>
      <w:proofErr w:type="spellEnd"/>
      <w:r w:rsidRPr="00C871B0">
        <w:rPr>
          <w:rFonts w:cs="Arial"/>
        </w:rPr>
        <w:t xml:space="preserve"> der kompletten Rechnung und ein Neuversand einer </w:t>
      </w:r>
      <w:r w:rsidRPr="00F646C4">
        <w:rPr>
          <w:rFonts w:cs="Arial"/>
        </w:rPr>
        <w:t>neuen Rechnung</w:t>
      </w:r>
      <w:r>
        <w:rPr>
          <w:rFonts w:cs="Arial"/>
        </w:rPr>
        <w:t xml:space="preserve"> oder die Erstellung einer Korrekturrechnung</w:t>
      </w:r>
      <w:r w:rsidRPr="00F646C4">
        <w:rPr>
          <w:rFonts w:cs="Arial"/>
        </w:rPr>
        <w:t>. Im</w:t>
      </w:r>
      <w:r>
        <w:rPr>
          <w:rFonts w:cs="Arial"/>
        </w:rPr>
        <w:t xml:space="preserve"> Storno wird als Bezug die Rechnungsnummer</w:t>
      </w:r>
      <w:r w:rsidR="000F4BBB" w:rsidRPr="000F4BBB">
        <w:rPr>
          <w:rFonts w:cs="Arial"/>
        </w:rPr>
        <w:t xml:space="preserve"> </w:t>
      </w:r>
      <w:r w:rsidR="000F4BBB">
        <w:rPr>
          <w:rFonts w:cs="Arial"/>
        </w:rPr>
        <w:t>der zu korrigierenden Rechnung angegeben.</w:t>
      </w:r>
    </w:p>
    <w:p w14:paraId="1079B0E7" w14:textId="7E1B378E" w:rsidR="00686CDD" w:rsidRDefault="00686CDD" w:rsidP="00686CDD">
      <w:pPr>
        <w:tabs>
          <w:tab w:val="left" w:pos="3540"/>
        </w:tabs>
        <w:rPr>
          <w:rFonts w:cs="Arial"/>
        </w:rPr>
      </w:pPr>
      <w:r w:rsidRPr="003947DE">
        <w:rPr>
          <w:rFonts w:cs="Arial"/>
        </w:rPr>
        <w:t>Der M</w:t>
      </w:r>
      <w:r w:rsidR="00D31084">
        <w:rPr>
          <w:rFonts w:cs="Arial"/>
        </w:rPr>
        <w:t>GV</w:t>
      </w:r>
      <w:r w:rsidRPr="003947DE">
        <w:rPr>
          <w:rFonts w:cs="Arial"/>
        </w:rPr>
        <w:t xml:space="preserve"> ist berechtigt, angemessene Abschlagszahlungen auf die für den Bilanzkreisverantwortlichen erwartete Speicherumlage für Bilanzkreise zu erheben. Die Abrechnung der Abschlagszahlungen erfolgt grundsätzlich bis zum Zeitpunkt M+15 WT durch den </w:t>
      </w:r>
      <w:r w:rsidR="00D31084">
        <w:rPr>
          <w:rFonts w:cs="Arial"/>
        </w:rPr>
        <w:t>MGV</w:t>
      </w:r>
      <w:r w:rsidRPr="003947DE">
        <w:rPr>
          <w:rFonts w:cs="Arial"/>
        </w:rPr>
        <w:t>.</w:t>
      </w:r>
      <w:r>
        <w:rPr>
          <w:rFonts w:cs="Arial"/>
        </w:rPr>
        <w:t xml:space="preserve"> Der Eurobetrag der Abschlagsrechnung wird auf der endgültigen </w:t>
      </w:r>
      <w:proofErr w:type="spellStart"/>
      <w:r>
        <w:rPr>
          <w:rFonts w:cs="Arial"/>
        </w:rPr>
        <w:t>Abrechung</w:t>
      </w:r>
      <w:proofErr w:type="spellEnd"/>
      <w:r>
        <w:rPr>
          <w:rFonts w:cs="Arial"/>
        </w:rPr>
        <w:t xml:space="preserve"> der Speicherumlage ausgewiesen und in Abzug gebracht.</w:t>
      </w:r>
    </w:p>
    <w:p w14:paraId="27845733" w14:textId="77777777" w:rsidR="00686CDD" w:rsidRDefault="00686CDD" w:rsidP="00686CDD">
      <w:pPr>
        <w:tabs>
          <w:tab w:val="left" w:pos="3540"/>
        </w:tabs>
        <w:rPr>
          <w:rFonts w:cs="Arial"/>
        </w:rPr>
      </w:pPr>
      <w:r>
        <w:rPr>
          <w:rFonts w:cs="Arial"/>
        </w:rPr>
        <w:t>Zur Nachvollziehbarkeit der speicherumlagepflichtigen Mengen wird der MGV im Portal den BKV eine Ansicht zur Verfügung stellen, in der diese Mengen ausgewiesen werden.</w:t>
      </w:r>
    </w:p>
    <w:p w14:paraId="1B120BBB" w14:textId="77777777" w:rsidR="00686CDD" w:rsidRDefault="00686CDD" w:rsidP="00686CDD">
      <w:pPr>
        <w:tabs>
          <w:tab w:val="left" w:pos="3540"/>
        </w:tabs>
        <w:rPr>
          <w:rFonts w:cs="Arial"/>
        </w:rPr>
      </w:pPr>
    </w:p>
    <w:p w14:paraId="1E58D45C" w14:textId="77777777" w:rsidR="00686CDD" w:rsidRDefault="00686CDD" w:rsidP="00686CDD">
      <w:pPr>
        <w:tabs>
          <w:tab w:val="left" w:pos="3540"/>
        </w:tabs>
        <w:rPr>
          <w:rFonts w:cs="Arial"/>
        </w:rPr>
      </w:pPr>
      <w:r>
        <w:rPr>
          <w:rFonts w:cs="Arial"/>
        </w:rPr>
        <w:br w:type="page"/>
      </w:r>
    </w:p>
    <w:p w14:paraId="0B76FCDE" w14:textId="77777777" w:rsidR="007E05AB" w:rsidRDefault="0027331B" w:rsidP="0020289E">
      <w:pPr>
        <w:pStyle w:val="berschrift2"/>
        <w:spacing w:before="480"/>
        <w:ind w:left="567" w:hanging="567"/>
      </w:pPr>
      <w:bookmarkStart w:id="1118" w:name="_Toc391540218"/>
      <w:bookmarkStart w:id="1119" w:name="_Toc412661384"/>
      <w:bookmarkStart w:id="1120" w:name="_Toc111118544"/>
      <w:r>
        <w:lastRenderedPageBreak/>
        <w:t>Abwicklung von außerordentlichen Kündigungen von Bilanzkreisen</w:t>
      </w:r>
      <w:bookmarkEnd w:id="1118"/>
      <w:bookmarkEnd w:id="1119"/>
      <w:bookmarkEnd w:id="1120"/>
    </w:p>
    <w:p w14:paraId="6ECF7B35" w14:textId="114C1965" w:rsidR="000B5547" w:rsidRPr="006751E7" w:rsidRDefault="000B5547" w:rsidP="003C2438">
      <w:pPr>
        <w:rPr>
          <w:rFonts w:cs="Arial"/>
        </w:rPr>
      </w:pPr>
    </w:p>
    <w:p w14:paraId="28B680B0" w14:textId="42812E00" w:rsidR="000B5547" w:rsidRPr="000B5547" w:rsidRDefault="000B5547" w:rsidP="003C2438">
      <w:r w:rsidRPr="005E56E1">
        <w:t xml:space="preserve">Im Fall einer außerordentlichen Kündigung eines Bilanzkreisvertrages durch den </w:t>
      </w:r>
      <w:r w:rsidR="0030651D">
        <w:t xml:space="preserve">MGV </w:t>
      </w:r>
      <w:r w:rsidRPr="005E56E1">
        <w:t xml:space="preserve">oder einer Aufhebung des Bilanzkreisvertrages informiert der </w:t>
      </w:r>
      <w:r w:rsidR="0030651D">
        <w:t xml:space="preserve">MGV </w:t>
      </w:r>
      <w:r w:rsidRPr="005E56E1">
        <w:t xml:space="preserve">die </w:t>
      </w:r>
      <w:r>
        <w:t xml:space="preserve">Fernleitungsnetzbetreiber </w:t>
      </w:r>
      <w:r w:rsidRPr="005E56E1">
        <w:t xml:space="preserve">und die betroffenen Verteilnetzbetreiber hierüber unter Angabe der Bilanzkreisnummer </w:t>
      </w:r>
      <w:r>
        <w:t>und des B</w:t>
      </w:r>
      <w:r w:rsidR="007D5013">
        <w:t>ilanzkreisverantwortlichen</w:t>
      </w:r>
      <w:r>
        <w:t xml:space="preserve"> </w:t>
      </w:r>
      <w:r w:rsidRPr="005E56E1">
        <w:t>unverzüglich per E-Mail.</w:t>
      </w:r>
      <w:r>
        <w:t xml:space="preserve"> </w:t>
      </w:r>
      <w:r w:rsidRPr="005E56E1">
        <w:t>B</w:t>
      </w:r>
      <w:r>
        <w:t>ei einer Kündigung oder Aufhebung eines Bilanzkreisvertrages</w:t>
      </w:r>
      <w:r w:rsidRPr="005E56E1">
        <w:t xml:space="preserve"> werden automatisch alle </w:t>
      </w:r>
      <w:r>
        <w:t xml:space="preserve">zugehörigen </w:t>
      </w:r>
      <w:r w:rsidRPr="005E56E1">
        <w:t>S</w:t>
      </w:r>
      <w:r>
        <w:t>BK geschlossen</w:t>
      </w:r>
      <w:r w:rsidRPr="005E56E1">
        <w:t>.</w:t>
      </w:r>
    </w:p>
    <w:p w14:paraId="7C73B115" w14:textId="77777777" w:rsidR="00022231" w:rsidRDefault="00022231" w:rsidP="003C2438">
      <w:pPr>
        <w:rPr>
          <w:rFonts w:cs="Arial"/>
        </w:rPr>
      </w:pPr>
      <w:r>
        <w:rPr>
          <w:rFonts w:cs="Arial"/>
        </w:rPr>
        <w:t xml:space="preserve">Sofern die betroffenen </w:t>
      </w:r>
      <w:r w:rsidR="000E634C">
        <w:rPr>
          <w:rFonts w:cs="Arial"/>
        </w:rPr>
        <w:t>TK</w:t>
      </w:r>
      <w:r>
        <w:rPr>
          <w:rFonts w:cs="Arial"/>
        </w:rPr>
        <w:t xml:space="preserve"> den NB keine neuen Bilanzkreise bis zur Wirksamkeit der Kündigung des Bilanzkreisvertrages zur Aufnahme der bisherigen Allokationsmeldungen mitteilen, werden die NB ggf. </w:t>
      </w:r>
      <w:r w:rsidR="001F48A2">
        <w:rPr>
          <w:rFonts w:cs="Arial"/>
        </w:rPr>
        <w:t xml:space="preserve">auch </w:t>
      </w:r>
      <w:r>
        <w:rPr>
          <w:rFonts w:cs="Arial"/>
        </w:rPr>
        <w:t xml:space="preserve">die Deklarationsmeldungen </w:t>
      </w:r>
      <w:proofErr w:type="spellStart"/>
      <w:r w:rsidR="00D50CB9">
        <w:rPr>
          <w:rFonts w:cs="Arial"/>
        </w:rPr>
        <w:t>ggü</w:t>
      </w:r>
      <w:proofErr w:type="spellEnd"/>
      <w:r w:rsidR="00D50CB9">
        <w:rPr>
          <w:rFonts w:cs="Arial"/>
        </w:rPr>
        <w:t xml:space="preserve">. dem MGV </w:t>
      </w:r>
      <w:r>
        <w:rPr>
          <w:rFonts w:cs="Arial"/>
        </w:rPr>
        <w:t xml:space="preserve">auf den Bilanzkreis des Grund-/Ersatzversorgers bzw. </w:t>
      </w:r>
      <w:r w:rsidR="00D50CB9">
        <w:rPr>
          <w:rFonts w:cs="Arial"/>
        </w:rPr>
        <w:t xml:space="preserve">auf </w:t>
      </w:r>
      <w:r>
        <w:rPr>
          <w:rFonts w:cs="Arial"/>
        </w:rPr>
        <w:t>einen</w:t>
      </w:r>
      <w:r w:rsidR="00D50CB9">
        <w:rPr>
          <w:rFonts w:cs="Arial"/>
        </w:rPr>
        <w:t xml:space="preserve"> vo</w:t>
      </w:r>
      <w:r>
        <w:rPr>
          <w:rFonts w:cs="Arial"/>
        </w:rPr>
        <w:t xml:space="preserve">m </w:t>
      </w:r>
      <w:r w:rsidR="00D50CB9">
        <w:rPr>
          <w:rFonts w:cs="Arial"/>
        </w:rPr>
        <w:t>Letztverbraucher vorab benannten</w:t>
      </w:r>
      <w:r>
        <w:rPr>
          <w:rFonts w:cs="Arial"/>
        </w:rPr>
        <w:t xml:space="preserve"> </w:t>
      </w:r>
      <w:proofErr w:type="spellStart"/>
      <w:r>
        <w:rPr>
          <w:rFonts w:cs="Arial"/>
        </w:rPr>
        <w:t>Ersatzbe</w:t>
      </w:r>
      <w:proofErr w:type="spellEnd"/>
      <w:r w:rsidR="00D50CB9">
        <w:rPr>
          <w:rFonts w:cs="Arial"/>
        </w:rPr>
        <w:t>-</w:t>
      </w:r>
      <w:r>
        <w:rPr>
          <w:rFonts w:cs="Arial"/>
        </w:rPr>
        <w:t xml:space="preserve">lieferer gemäß </w:t>
      </w:r>
      <w:proofErr w:type="spellStart"/>
      <w:r>
        <w:rPr>
          <w:rFonts w:cs="Arial"/>
        </w:rPr>
        <w:t>GeLi</w:t>
      </w:r>
      <w:proofErr w:type="spellEnd"/>
      <w:r>
        <w:rPr>
          <w:rFonts w:cs="Arial"/>
        </w:rPr>
        <w:t xml:space="preserve"> Gas ändern.</w:t>
      </w:r>
    </w:p>
    <w:p w14:paraId="7D5D67F7" w14:textId="41B3D5D8" w:rsidR="008462C8" w:rsidRDefault="00022231" w:rsidP="003C2438">
      <w:pPr>
        <w:rPr>
          <w:rFonts w:cs="Arial"/>
        </w:rPr>
      </w:pPr>
      <w:r>
        <w:rPr>
          <w:rFonts w:cs="Arial"/>
        </w:rPr>
        <w:t>Entsprechend sind auch die Allokationsmeldungen auf den neuen Bilanzkreis durch den NB anzupassen. Für den Fall, dass die Anpassung der Allokationsmeldungen zum Beend</w:t>
      </w:r>
      <w:r w:rsidR="00D214BD">
        <w:rPr>
          <w:rFonts w:cs="Arial"/>
        </w:rPr>
        <w:t>i</w:t>
      </w:r>
      <w:r>
        <w:rPr>
          <w:rFonts w:cs="Arial"/>
        </w:rPr>
        <w:t xml:space="preserve">gungszeitpunkt des Bilanzkreisvertrages nicht rechtzeitig erfolgen konnte, kann in Abstimmung mit dem MGV ein Allokationsclearing unabhängig von den Grenzwerten erfolgen. Dabei müssen die NB die Gründe für die Erforderlichkeit des Clearings dem MGV in Textform mitteilen. Die Erforderlichkeit wird vermutet, wenn die im </w:t>
      </w:r>
      <w:proofErr w:type="spellStart"/>
      <w:r>
        <w:rPr>
          <w:rFonts w:cs="Arial"/>
        </w:rPr>
        <w:t>GeLi</w:t>
      </w:r>
      <w:proofErr w:type="spellEnd"/>
      <w:r>
        <w:rPr>
          <w:rFonts w:cs="Arial"/>
        </w:rPr>
        <w:t xml:space="preserve"> Gas-Prozess „Beginn der Ersatz-/Grundversorgung“ vorgesehenen Fristen eingehalten werden.</w:t>
      </w:r>
    </w:p>
    <w:p w14:paraId="036A59F5" w14:textId="350D3929" w:rsidR="001B638E" w:rsidRPr="00D26E13" w:rsidRDefault="00D26E13" w:rsidP="003C2438">
      <w:pPr>
        <w:rPr>
          <w:rFonts w:cs="Arial"/>
        </w:rPr>
      </w:pPr>
      <w:r>
        <w:rPr>
          <w:rFonts w:cs="Arial"/>
        </w:rPr>
        <w:t>Für Zeiträume nach dem Wirksamwerden der Kündigung werden s</w:t>
      </w:r>
      <w:r w:rsidR="001B638E" w:rsidRPr="001B638E">
        <w:rPr>
          <w:rFonts w:cs="Arial"/>
        </w:rPr>
        <w:t xml:space="preserve">chon vorhandene Allokations- und Nominierungsdaten </w:t>
      </w:r>
      <w:r w:rsidR="001F1FC8" w:rsidRPr="00CE20DF">
        <w:rPr>
          <w:rFonts w:cs="Arial"/>
        </w:rPr>
        <w:t>des Bilanzkreises</w:t>
      </w:r>
      <w:r w:rsidR="001B638E" w:rsidRPr="00CE20DF">
        <w:rPr>
          <w:rFonts w:cs="Arial"/>
        </w:rPr>
        <w:t xml:space="preserve"> </w:t>
      </w:r>
      <w:r w:rsidR="0030651D">
        <w:rPr>
          <w:rFonts w:cs="Arial"/>
        </w:rPr>
        <w:t>vom</w:t>
      </w:r>
      <w:r w:rsidR="001B638E" w:rsidRPr="00CE20DF">
        <w:rPr>
          <w:rFonts w:cs="Arial"/>
        </w:rPr>
        <w:t xml:space="preserve"> MGV nicht weiterverarbeitet bzw. gelöscht.</w:t>
      </w:r>
      <w:r w:rsidR="00EA3BB4" w:rsidRPr="00CE20DF">
        <w:rPr>
          <w:rFonts w:cs="Arial"/>
        </w:rPr>
        <w:t xml:space="preserve"> Schon vorhandene SLP Allokationen werden durch den MGV auf </w:t>
      </w:r>
      <w:proofErr w:type="spellStart"/>
      <w:r w:rsidR="00EA3BB4" w:rsidRPr="00CE20DF">
        <w:rPr>
          <w:rFonts w:cs="Arial"/>
        </w:rPr>
        <w:t>Null</w:t>
      </w:r>
      <w:proofErr w:type="spellEnd"/>
      <w:r w:rsidR="00EA3BB4" w:rsidRPr="00CE20DF">
        <w:rPr>
          <w:rFonts w:cs="Arial"/>
        </w:rPr>
        <w:t xml:space="preserve"> gesetzt und als Ersatzwert an den NB zurückgesendet</w:t>
      </w:r>
      <w:r w:rsidR="00EA3BB4" w:rsidRPr="00CE20DF">
        <w:rPr>
          <w:rFonts w:cs="Arial"/>
          <w:sz w:val="24"/>
          <w:szCs w:val="24"/>
        </w:rPr>
        <w:t>.</w:t>
      </w:r>
      <w:r>
        <w:rPr>
          <w:rFonts w:cs="Arial"/>
          <w:sz w:val="24"/>
          <w:szCs w:val="24"/>
        </w:rPr>
        <w:t xml:space="preserve"> </w:t>
      </w:r>
      <w:r w:rsidRPr="00D26E13">
        <w:rPr>
          <w:rFonts w:cs="Arial"/>
        </w:rPr>
        <w:t xml:space="preserve">Nach dem </w:t>
      </w:r>
      <w:r w:rsidR="00C06BEC">
        <w:rPr>
          <w:rFonts w:cs="Arial"/>
        </w:rPr>
        <w:t xml:space="preserve">die </w:t>
      </w:r>
      <w:r w:rsidRPr="00D26E13">
        <w:rPr>
          <w:rFonts w:cs="Arial"/>
        </w:rPr>
        <w:t xml:space="preserve">Nominierungsdaten des gekündigten Bilanzkreises für zukünftige Zeiträume gelöscht wurden, erhalten die BKV, die gegen den gekündigten Bilanzkreis nominiert haben, ein aktualisiertes </w:t>
      </w:r>
      <w:proofErr w:type="spellStart"/>
      <w:r w:rsidRPr="00D26E13">
        <w:rPr>
          <w:rFonts w:cs="Arial"/>
        </w:rPr>
        <w:t>Matchingergebnis</w:t>
      </w:r>
      <w:proofErr w:type="spellEnd"/>
      <w:r w:rsidRPr="00D26E13">
        <w:rPr>
          <w:rFonts w:cs="Arial"/>
        </w:rPr>
        <w:t xml:space="preserve"> mit dem Wert Null.</w:t>
      </w:r>
    </w:p>
    <w:p w14:paraId="2209BCC9" w14:textId="77777777" w:rsidR="00371025" w:rsidRPr="00260557" w:rsidRDefault="00371025" w:rsidP="003C2438">
      <w:pPr>
        <w:rPr>
          <w:rFonts w:cs="Arial"/>
          <w:bCs/>
          <w:kern w:val="32"/>
        </w:rPr>
      </w:pPr>
      <w:bookmarkStart w:id="1121" w:name="_Toc168748013"/>
      <w:bookmarkStart w:id="1122" w:name="_Toc168748118"/>
      <w:bookmarkStart w:id="1123" w:name="_Toc168748319"/>
      <w:bookmarkStart w:id="1124" w:name="_Toc168748014"/>
      <w:bookmarkStart w:id="1125" w:name="_Toc168748119"/>
      <w:bookmarkStart w:id="1126" w:name="_Toc168748320"/>
      <w:bookmarkStart w:id="1127" w:name="_Toc168748019"/>
      <w:bookmarkStart w:id="1128" w:name="_Toc168748124"/>
      <w:bookmarkStart w:id="1129" w:name="_Toc168748325"/>
      <w:bookmarkStart w:id="1130" w:name="_Toc168805615"/>
      <w:bookmarkStart w:id="1131" w:name="_Toc284323687"/>
      <w:bookmarkStart w:id="1132" w:name="_Toc284334364"/>
      <w:bookmarkStart w:id="1133" w:name="_Toc285005338"/>
      <w:bookmarkStart w:id="1134" w:name="_Ref320639464"/>
      <w:bookmarkStart w:id="1135" w:name="_Toc296694148"/>
      <w:bookmarkStart w:id="1136" w:name="_Toc391540219"/>
      <w:bookmarkEnd w:id="1121"/>
      <w:bookmarkEnd w:id="1122"/>
      <w:bookmarkEnd w:id="1123"/>
      <w:bookmarkEnd w:id="1124"/>
      <w:bookmarkEnd w:id="1125"/>
      <w:bookmarkEnd w:id="1126"/>
      <w:bookmarkEnd w:id="1127"/>
      <w:bookmarkEnd w:id="1128"/>
      <w:bookmarkEnd w:id="1129"/>
      <w:bookmarkEnd w:id="1130"/>
      <w:r>
        <w:br w:type="page"/>
      </w:r>
    </w:p>
    <w:p w14:paraId="6A9C2802" w14:textId="77777777" w:rsidR="000A58FE" w:rsidRPr="00E95229" w:rsidRDefault="00DF612D" w:rsidP="003C2438">
      <w:pPr>
        <w:pStyle w:val="berschrift1"/>
        <w:pageBreakBefore w:val="0"/>
        <w:tabs>
          <w:tab w:val="clear" w:pos="567"/>
        </w:tabs>
        <w:ind w:left="882" w:hanging="840"/>
      </w:pPr>
      <w:bookmarkStart w:id="1137" w:name="_Toc412661385"/>
      <w:bookmarkStart w:id="1138" w:name="_Toc111118545"/>
      <w:r w:rsidRPr="003D6FA3">
        <w:lastRenderedPageBreak/>
        <w:t>Mehr-/Mindermengenabrechnung</w:t>
      </w:r>
      <w:bookmarkStart w:id="1139" w:name="_Toc219265716"/>
      <w:bookmarkStart w:id="1140" w:name="_Toc230006251"/>
      <w:bookmarkEnd w:id="1131"/>
      <w:bookmarkEnd w:id="1132"/>
      <w:bookmarkEnd w:id="1133"/>
      <w:bookmarkEnd w:id="1134"/>
      <w:bookmarkEnd w:id="1135"/>
      <w:bookmarkEnd w:id="1136"/>
      <w:bookmarkEnd w:id="1137"/>
      <w:bookmarkEnd w:id="1138"/>
    </w:p>
    <w:p w14:paraId="03B7CF63" w14:textId="34D41C1D" w:rsidR="00FF3030" w:rsidRPr="0020289E" w:rsidRDefault="00BC3F08" w:rsidP="0020289E">
      <w:pPr>
        <w:pStyle w:val="berschrift2"/>
        <w:spacing w:before="480"/>
        <w:ind w:left="567" w:hanging="567"/>
      </w:pPr>
      <w:bookmarkStart w:id="1141" w:name="_Toc433972936"/>
      <w:bookmarkStart w:id="1142" w:name="_Toc433973934"/>
      <w:bookmarkStart w:id="1143" w:name="_Toc433974925"/>
      <w:bookmarkStart w:id="1144" w:name="_Toc433972937"/>
      <w:bookmarkStart w:id="1145" w:name="_Toc433973935"/>
      <w:bookmarkStart w:id="1146" w:name="_Toc433974926"/>
      <w:bookmarkStart w:id="1147" w:name="_Toc433972938"/>
      <w:bookmarkStart w:id="1148" w:name="_Toc433973936"/>
      <w:bookmarkStart w:id="1149" w:name="_Toc433974927"/>
      <w:bookmarkStart w:id="1150" w:name="_Toc433972939"/>
      <w:bookmarkStart w:id="1151" w:name="_Toc433973937"/>
      <w:bookmarkStart w:id="1152" w:name="_Toc433974928"/>
      <w:bookmarkStart w:id="1153" w:name="_Toc433972940"/>
      <w:bookmarkStart w:id="1154" w:name="_Toc433973938"/>
      <w:bookmarkStart w:id="1155" w:name="_Toc433974929"/>
      <w:bookmarkStart w:id="1156" w:name="_Toc433972946"/>
      <w:bookmarkStart w:id="1157" w:name="_Toc433973944"/>
      <w:bookmarkStart w:id="1158" w:name="_Toc433974935"/>
      <w:bookmarkStart w:id="1159" w:name="_Toc433972947"/>
      <w:bookmarkStart w:id="1160" w:name="_Toc433973945"/>
      <w:bookmarkStart w:id="1161" w:name="_Toc433974936"/>
      <w:bookmarkStart w:id="1162" w:name="_Toc433972952"/>
      <w:bookmarkStart w:id="1163" w:name="_Toc433973950"/>
      <w:bookmarkStart w:id="1164" w:name="_Toc433974941"/>
      <w:bookmarkStart w:id="1165" w:name="_Toc433972953"/>
      <w:bookmarkStart w:id="1166" w:name="_Toc433973951"/>
      <w:bookmarkStart w:id="1167" w:name="_Toc433974942"/>
      <w:bookmarkStart w:id="1168" w:name="_Toc433972955"/>
      <w:bookmarkStart w:id="1169" w:name="_Toc433973953"/>
      <w:bookmarkStart w:id="1170" w:name="_Toc433974944"/>
      <w:bookmarkStart w:id="1171" w:name="_Toc433972959"/>
      <w:bookmarkStart w:id="1172" w:name="_Toc433973957"/>
      <w:bookmarkStart w:id="1173" w:name="_Toc433974948"/>
      <w:bookmarkStart w:id="1174" w:name="_Toc433972960"/>
      <w:bookmarkStart w:id="1175" w:name="_Toc433973958"/>
      <w:bookmarkStart w:id="1176" w:name="_Toc433974949"/>
      <w:bookmarkStart w:id="1177" w:name="_Toc433972962"/>
      <w:bookmarkStart w:id="1178" w:name="_Toc433973960"/>
      <w:bookmarkStart w:id="1179" w:name="_Toc433974951"/>
      <w:bookmarkStart w:id="1180" w:name="_Toc433972964"/>
      <w:bookmarkStart w:id="1181" w:name="_Toc433973962"/>
      <w:bookmarkStart w:id="1182" w:name="_Toc433974953"/>
      <w:bookmarkStart w:id="1183" w:name="_Toc433972965"/>
      <w:bookmarkStart w:id="1184" w:name="_Toc433973963"/>
      <w:bookmarkStart w:id="1185" w:name="_Toc433974954"/>
      <w:bookmarkStart w:id="1186" w:name="_Toc433972967"/>
      <w:bookmarkStart w:id="1187" w:name="_Toc433973965"/>
      <w:bookmarkStart w:id="1188" w:name="_Toc433974956"/>
      <w:bookmarkStart w:id="1189" w:name="_Toc433972968"/>
      <w:bookmarkStart w:id="1190" w:name="_Toc433973966"/>
      <w:bookmarkStart w:id="1191" w:name="_Toc433974957"/>
      <w:bookmarkStart w:id="1192" w:name="_Toc433972969"/>
      <w:bookmarkStart w:id="1193" w:name="_Toc433973967"/>
      <w:bookmarkStart w:id="1194" w:name="_Toc433974958"/>
      <w:bookmarkStart w:id="1195" w:name="_Toc433972970"/>
      <w:bookmarkStart w:id="1196" w:name="_Toc433973968"/>
      <w:bookmarkStart w:id="1197" w:name="_Toc433974959"/>
      <w:bookmarkStart w:id="1198" w:name="_Toc433972974"/>
      <w:bookmarkStart w:id="1199" w:name="_Toc433973972"/>
      <w:bookmarkStart w:id="1200" w:name="_Toc433974963"/>
      <w:bookmarkStart w:id="1201" w:name="_Toc433972976"/>
      <w:bookmarkStart w:id="1202" w:name="_Toc433973974"/>
      <w:bookmarkStart w:id="1203" w:name="_Toc433974965"/>
      <w:bookmarkStart w:id="1204" w:name="_Toc289724463"/>
      <w:bookmarkStart w:id="1205" w:name="_Toc289985052"/>
      <w:bookmarkStart w:id="1206" w:name="_Toc289724464"/>
      <w:bookmarkStart w:id="1207" w:name="_Toc289985053"/>
      <w:bookmarkStart w:id="1208" w:name="_Toc433972980"/>
      <w:bookmarkStart w:id="1209" w:name="_Toc433973978"/>
      <w:bookmarkStart w:id="1210" w:name="_Toc433974969"/>
      <w:bookmarkStart w:id="1211" w:name="_Toc433972982"/>
      <w:bookmarkStart w:id="1212" w:name="_Toc433973980"/>
      <w:bookmarkStart w:id="1213" w:name="_Toc433974971"/>
      <w:bookmarkStart w:id="1214" w:name="_Toc433972983"/>
      <w:bookmarkStart w:id="1215" w:name="_Toc433973981"/>
      <w:bookmarkStart w:id="1216" w:name="_Toc433974972"/>
      <w:bookmarkStart w:id="1217" w:name="_Toc433972985"/>
      <w:bookmarkStart w:id="1218" w:name="_Toc433973983"/>
      <w:bookmarkStart w:id="1219" w:name="_Toc433974974"/>
      <w:bookmarkStart w:id="1220" w:name="_Toc433972987"/>
      <w:bookmarkStart w:id="1221" w:name="_Toc433973985"/>
      <w:bookmarkStart w:id="1222" w:name="_Toc433974976"/>
      <w:bookmarkStart w:id="1223" w:name="_Toc433972988"/>
      <w:bookmarkStart w:id="1224" w:name="_Toc433973986"/>
      <w:bookmarkStart w:id="1225" w:name="_Toc433974977"/>
      <w:bookmarkStart w:id="1226" w:name="_Toc433972990"/>
      <w:bookmarkStart w:id="1227" w:name="_Toc433973988"/>
      <w:bookmarkStart w:id="1228" w:name="_Toc433974979"/>
      <w:bookmarkStart w:id="1229" w:name="_Toc433972991"/>
      <w:bookmarkStart w:id="1230" w:name="_Toc433973989"/>
      <w:bookmarkStart w:id="1231" w:name="_Toc433974980"/>
      <w:bookmarkStart w:id="1232" w:name="_Toc433972996"/>
      <w:bookmarkStart w:id="1233" w:name="_Toc433973994"/>
      <w:bookmarkStart w:id="1234" w:name="_Toc433974985"/>
      <w:bookmarkStart w:id="1235" w:name="_Toc433972997"/>
      <w:bookmarkStart w:id="1236" w:name="_Toc433973995"/>
      <w:bookmarkStart w:id="1237" w:name="_Toc433974986"/>
      <w:bookmarkStart w:id="1238" w:name="_Toc433972998"/>
      <w:bookmarkStart w:id="1239" w:name="_Toc433973996"/>
      <w:bookmarkStart w:id="1240" w:name="_Toc433974987"/>
      <w:bookmarkStart w:id="1241" w:name="_Toc433972999"/>
      <w:bookmarkStart w:id="1242" w:name="_Toc433973997"/>
      <w:bookmarkStart w:id="1243" w:name="_Toc433974988"/>
      <w:bookmarkStart w:id="1244" w:name="_Toc215120848"/>
      <w:bookmarkStart w:id="1245" w:name="_Toc215120849"/>
      <w:bookmarkStart w:id="1246" w:name="_Toc206206034"/>
      <w:bookmarkStart w:id="1247" w:name="_Toc433973000"/>
      <w:bookmarkStart w:id="1248" w:name="_Toc433973998"/>
      <w:bookmarkStart w:id="1249" w:name="_Toc433974989"/>
      <w:bookmarkStart w:id="1250" w:name="_Toc433973001"/>
      <w:bookmarkStart w:id="1251" w:name="_Toc433973999"/>
      <w:bookmarkStart w:id="1252" w:name="_Toc433974990"/>
      <w:bookmarkStart w:id="1253" w:name="_Toc433973002"/>
      <w:bookmarkStart w:id="1254" w:name="_Toc433974000"/>
      <w:bookmarkStart w:id="1255" w:name="_Toc433974991"/>
      <w:bookmarkStart w:id="1256" w:name="_Toc433973006"/>
      <w:bookmarkStart w:id="1257" w:name="_Toc433974004"/>
      <w:bookmarkStart w:id="1258" w:name="_Toc433974995"/>
      <w:bookmarkStart w:id="1259" w:name="_Toc433973007"/>
      <w:bookmarkStart w:id="1260" w:name="_Toc433974005"/>
      <w:bookmarkStart w:id="1261" w:name="_Toc433974996"/>
      <w:bookmarkStart w:id="1262" w:name="_Toc433973009"/>
      <w:bookmarkStart w:id="1263" w:name="_Toc433974007"/>
      <w:bookmarkStart w:id="1264" w:name="_Toc433974998"/>
      <w:bookmarkStart w:id="1265" w:name="_Toc433973010"/>
      <w:bookmarkStart w:id="1266" w:name="_Toc433974008"/>
      <w:bookmarkStart w:id="1267" w:name="_Toc433974999"/>
      <w:bookmarkStart w:id="1268" w:name="_Toc433973011"/>
      <w:bookmarkStart w:id="1269" w:name="_Toc433974009"/>
      <w:bookmarkStart w:id="1270" w:name="_Toc433975000"/>
      <w:bookmarkStart w:id="1271" w:name="_Toc433973013"/>
      <w:bookmarkStart w:id="1272" w:name="_Toc433974011"/>
      <w:bookmarkStart w:id="1273" w:name="_Toc433975002"/>
      <w:bookmarkStart w:id="1274" w:name="_Toc433973015"/>
      <w:bookmarkStart w:id="1275" w:name="_Toc433974013"/>
      <w:bookmarkStart w:id="1276" w:name="_Toc433975004"/>
      <w:bookmarkStart w:id="1277" w:name="_Toc433973016"/>
      <w:bookmarkStart w:id="1278" w:name="_Toc433974014"/>
      <w:bookmarkStart w:id="1279" w:name="_Toc433975005"/>
      <w:bookmarkStart w:id="1280" w:name="_Mehr-/Mindermengenermittlung_–_Mona"/>
      <w:bookmarkStart w:id="1281" w:name="_Toc433973017"/>
      <w:bookmarkStart w:id="1282" w:name="_Toc433974015"/>
      <w:bookmarkStart w:id="1283" w:name="_Toc433975006"/>
      <w:bookmarkStart w:id="1284" w:name="_Toc433973019"/>
      <w:bookmarkStart w:id="1285" w:name="_Toc433974017"/>
      <w:bookmarkStart w:id="1286" w:name="_Toc433975008"/>
      <w:bookmarkStart w:id="1287" w:name="_Toc433973020"/>
      <w:bookmarkStart w:id="1288" w:name="_Toc433974018"/>
      <w:bookmarkStart w:id="1289" w:name="_Toc433975009"/>
      <w:bookmarkStart w:id="1290" w:name="_Toc433973021"/>
      <w:bookmarkStart w:id="1291" w:name="_Toc433974019"/>
      <w:bookmarkStart w:id="1292" w:name="_Toc433975010"/>
      <w:bookmarkStart w:id="1293" w:name="_Toc433973022"/>
      <w:bookmarkStart w:id="1294" w:name="_Toc433974020"/>
      <w:bookmarkStart w:id="1295" w:name="_Toc433975011"/>
      <w:bookmarkStart w:id="1296" w:name="_Toc433973023"/>
      <w:bookmarkStart w:id="1297" w:name="_Toc433974021"/>
      <w:bookmarkStart w:id="1298" w:name="_Toc433975012"/>
      <w:bookmarkStart w:id="1299" w:name="_Toc433973024"/>
      <w:bookmarkStart w:id="1300" w:name="_Toc433974022"/>
      <w:bookmarkStart w:id="1301" w:name="_Toc433975013"/>
      <w:bookmarkStart w:id="1302" w:name="_Toc433973025"/>
      <w:bookmarkStart w:id="1303" w:name="_Toc433974023"/>
      <w:bookmarkStart w:id="1304" w:name="_Toc433975014"/>
      <w:bookmarkStart w:id="1305" w:name="_Toc433973028"/>
      <w:bookmarkStart w:id="1306" w:name="_Toc433974026"/>
      <w:bookmarkStart w:id="1307" w:name="_Toc433975017"/>
      <w:bookmarkStart w:id="1308" w:name="_Toc433973030"/>
      <w:bookmarkStart w:id="1309" w:name="_Toc433974028"/>
      <w:bookmarkStart w:id="1310" w:name="_Toc433975019"/>
      <w:bookmarkStart w:id="1311" w:name="_Toc433973032"/>
      <w:bookmarkStart w:id="1312" w:name="_Toc433974030"/>
      <w:bookmarkStart w:id="1313" w:name="_Toc433975021"/>
      <w:bookmarkStart w:id="1314" w:name="_Toc433973035"/>
      <w:bookmarkStart w:id="1315" w:name="_Toc433974033"/>
      <w:bookmarkStart w:id="1316" w:name="_Toc433975024"/>
      <w:bookmarkStart w:id="1317" w:name="_Toc433973036"/>
      <w:bookmarkStart w:id="1318" w:name="_Toc433974034"/>
      <w:bookmarkStart w:id="1319" w:name="_Toc433975025"/>
      <w:bookmarkStart w:id="1320" w:name="_Toc433973037"/>
      <w:bookmarkStart w:id="1321" w:name="_Toc433974035"/>
      <w:bookmarkStart w:id="1322" w:name="_Toc433975026"/>
      <w:bookmarkStart w:id="1323" w:name="_Toc433973039"/>
      <w:bookmarkStart w:id="1324" w:name="_Toc433974037"/>
      <w:bookmarkStart w:id="1325" w:name="_Toc433975028"/>
      <w:bookmarkStart w:id="1326" w:name="_Toc433973040"/>
      <w:bookmarkStart w:id="1327" w:name="_Toc433974038"/>
      <w:bookmarkStart w:id="1328" w:name="_Toc433975029"/>
      <w:bookmarkStart w:id="1329" w:name="_Toc433973044"/>
      <w:bookmarkStart w:id="1330" w:name="_Toc433974042"/>
      <w:bookmarkStart w:id="1331" w:name="_Toc433975033"/>
      <w:bookmarkStart w:id="1332" w:name="_Toc433973045"/>
      <w:bookmarkStart w:id="1333" w:name="_Toc433974043"/>
      <w:bookmarkStart w:id="1334" w:name="_Toc433975034"/>
      <w:bookmarkStart w:id="1335" w:name="_Toc433973046"/>
      <w:bookmarkStart w:id="1336" w:name="_Toc433974044"/>
      <w:bookmarkStart w:id="1337" w:name="_Toc433975035"/>
      <w:bookmarkStart w:id="1338" w:name="_Toc433973047"/>
      <w:bookmarkStart w:id="1339" w:name="_Toc433974045"/>
      <w:bookmarkStart w:id="1340" w:name="_Toc433975036"/>
      <w:bookmarkStart w:id="1341" w:name="_Toc433973048"/>
      <w:bookmarkStart w:id="1342" w:name="_Toc433974046"/>
      <w:bookmarkStart w:id="1343" w:name="_Toc433975037"/>
      <w:bookmarkStart w:id="1344" w:name="_Toc433973049"/>
      <w:bookmarkStart w:id="1345" w:name="_Toc433974047"/>
      <w:bookmarkStart w:id="1346" w:name="_Toc433975038"/>
      <w:bookmarkStart w:id="1347" w:name="_Toc433973052"/>
      <w:bookmarkStart w:id="1348" w:name="_Toc433974050"/>
      <w:bookmarkStart w:id="1349" w:name="_Toc433975041"/>
      <w:bookmarkStart w:id="1350" w:name="_Toc433973058"/>
      <w:bookmarkStart w:id="1351" w:name="_Toc433974056"/>
      <w:bookmarkStart w:id="1352" w:name="_Toc433975047"/>
      <w:bookmarkStart w:id="1353" w:name="_Toc433973060"/>
      <w:bookmarkStart w:id="1354" w:name="_Toc433974058"/>
      <w:bookmarkStart w:id="1355" w:name="_Toc433975049"/>
      <w:bookmarkStart w:id="1356" w:name="_Toc433973061"/>
      <w:bookmarkStart w:id="1357" w:name="_Toc433974059"/>
      <w:bookmarkStart w:id="1358" w:name="_Toc433975050"/>
      <w:bookmarkStart w:id="1359" w:name="_Toc433973062"/>
      <w:bookmarkStart w:id="1360" w:name="_Toc433974060"/>
      <w:bookmarkStart w:id="1361" w:name="_Toc433975051"/>
      <w:bookmarkStart w:id="1362" w:name="_Toc433973063"/>
      <w:bookmarkStart w:id="1363" w:name="_Toc433974061"/>
      <w:bookmarkStart w:id="1364" w:name="_Toc433975052"/>
      <w:bookmarkStart w:id="1365" w:name="_Toc433973064"/>
      <w:bookmarkStart w:id="1366" w:name="_Toc433974062"/>
      <w:bookmarkStart w:id="1367" w:name="_Toc433975053"/>
      <w:bookmarkStart w:id="1368" w:name="_Toc433973065"/>
      <w:bookmarkStart w:id="1369" w:name="_Toc433974063"/>
      <w:bookmarkStart w:id="1370" w:name="_Toc433975054"/>
      <w:bookmarkStart w:id="1371" w:name="_Toc433973066"/>
      <w:bookmarkStart w:id="1372" w:name="_Toc433974064"/>
      <w:bookmarkStart w:id="1373" w:name="_Toc433975055"/>
      <w:bookmarkStart w:id="1374" w:name="_Toc433973068"/>
      <w:bookmarkStart w:id="1375" w:name="_Toc433974066"/>
      <w:bookmarkStart w:id="1376" w:name="_Toc433975057"/>
      <w:bookmarkStart w:id="1377" w:name="_Toc433973070"/>
      <w:bookmarkStart w:id="1378" w:name="_Toc433974068"/>
      <w:bookmarkStart w:id="1379" w:name="_Toc433975059"/>
      <w:bookmarkStart w:id="1380" w:name="_Toc433973071"/>
      <w:bookmarkStart w:id="1381" w:name="_Toc433974069"/>
      <w:bookmarkStart w:id="1382" w:name="_Toc433975060"/>
      <w:bookmarkStart w:id="1383" w:name="_Toc286057063"/>
      <w:bookmarkStart w:id="1384" w:name="_Toc286057459"/>
      <w:bookmarkStart w:id="1385" w:name="_Toc286067765"/>
      <w:bookmarkStart w:id="1386" w:name="_Toc286072622"/>
      <w:bookmarkStart w:id="1387" w:name="_Toc286072748"/>
      <w:bookmarkStart w:id="1388" w:name="_Toc287007787"/>
      <w:bookmarkStart w:id="1389" w:name="_Toc287225498"/>
      <w:bookmarkStart w:id="1390" w:name="_Toc287225622"/>
      <w:bookmarkStart w:id="1391" w:name="_Toc287225746"/>
      <w:bookmarkStart w:id="1392" w:name="_Toc219265726"/>
      <w:bookmarkStart w:id="1393" w:name="_Toc219266101"/>
      <w:bookmarkStart w:id="1394" w:name="_Toc219266192"/>
      <w:bookmarkStart w:id="1395" w:name="_Toc219269992"/>
      <w:bookmarkStart w:id="1396" w:name="_Toc219265727"/>
      <w:bookmarkStart w:id="1397" w:name="_Toc219266102"/>
      <w:bookmarkStart w:id="1398" w:name="_Toc219266193"/>
      <w:bookmarkStart w:id="1399" w:name="_Toc219269993"/>
      <w:bookmarkStart w:id="1400" w:name="_Toc219265728"/>
      <w:bookmarkStart w:id="1401" w:name="_Toc219266103"/>
      <w:bookmarkStart w:id="1402" w:name="_Toc219266194"/>
      <w:bookmarkStart w:id="1403" w:name="_Toc219269994"/>
      <w:bookmarkStart w:id="1404" w:name="_Toc433973072"/>
      <w:bookmarkStart w:id="1405" w:name="_Toc433974070"/>
      <w:bookmarkStart w:id="1406" w:name="_Toc433975061"/>
      <w:bookmarkStart w:id="1407" w:name="_Toc433973075"/>
      <w:bookmarkStart w:id="1408" w:name="_Toc433974073"/>
      <w:bookmarkStart w:id="1409" w:name="_Toc433975064"/>
      <w:bookmarkStart w:id="1410" w:name="_Toc433973076"/>
      <w:bookmarkStart w:id="1411" w:name="_Toc433974074"/>
      <w:bookmarkStart w:id="1412" w:name="_Toc433975065"/>
      <w:bookmarkStart w:id="1413" w:name="_Toc433973083"/>
      <w:bookmarkStart w:id="1414" w:name="_Toc433974081"/>
      <w:bookmarkStart w:id="1415" w:name="_Toc433975072"/>
      <w:bookmarkStart w:id="1416" w:name="_Toc433973088"/>
      <w:bookmarkStart w:id="1417" w:name="_Toc433974086"/>
      <w:bookmarkStart w:id="1418" w:name="_Toc433975077"/>
      <w:bookmarkStart w:id="1419" w:name="_Toc433973105"/>
      <w:bookmarkStart w:id="1420" w:name="_Toc433974103"/>
      <w:bookmarkStart w:id="1421" w:name="_Toc433975094"/>
      <w:bookmarkStart w:id="1422" w:name="_Toc433973123"/>
      <w:bookmarkStart w:id="1423" w:name="_Toc433974121"/>
      <w:bookmarkStart w:id="1424" w:name="_Toc433975112"/>
      <w:bookmarkStart w:id="1425" w:name="_Toc433973128"/>
      <w:bookmarkStart w:id="1426" w:name="_Toc433974126"/>
      <w:bookmarkStart w:id="1427" w:name="_Toc433975117"/>
      <w:bookmarkStart w:id="1428" w:name="_Toc433973148"/>
      <w:bookmarkStart w:id="1429" w:name="_Toc433974146"/>
      <w:bookmarkStart w:id="1430" w:name="_Toc433975137"/>
      <w:bookmarkStart w:id="1431" w:name="_Toc433973149"/>
      <w:bookmarkStart w:id="1432" w:name="_Toc433974147"/>
      <w:bookmarkStart w:id="1433" w:name="_Toc433975138"/>
      <w:bookmarkStart w:id="1434" w:name="_Toc433973150"/>
      <w:bookmarkStart w:id="1435" w:name="_Toc433974148"/>
      <w:bookmarkStart w:id="1436" w:name="_Toc433975139"/>
      <w:bookmarkStart w:id="1437" w:name="_Toc433973155"/>
      <w:bookmarkStart w:id="1438" w:name="_Toc433974153"/>
      <w:bookmarkStart w:id="1439" w:name="_Toc433975144"/>
      <w:bookmarkStart w:id="1440" w:name="_Toc433973166"/>
      <w:bookmarkStart w:id="1441" w:name="_Toc433974164"/>
      <w:bookmarkStart w:id="1442" w:name="_Toc433975155"/>
      <w:bookmarkStart w:id="1443" w:name="_Toc433973170"/>
      <w:bookmarkStart w:id="1444" w:name="_Toc433974168"/>
      <w:bookmarkStart w:id="1445" w:name="_Toc433975159"/>
      <w:bookmarkStart w:id="1446" w:name="_Toc433973171"/>
      <w:bookmarkStart w:id="1447" w:name="_Toc433974169"/>
      <w:bookmarkStart w:id="1448" w:name="_Toc433975160"/>
      <w:bookmarkStart w:id="1449" w:name="_Toc433973178"/>
      <w:bookmarkStart w:id="1450" w:name="_Toc433974176"/>
      <w:bookmarkStart w:id="1451" w:name="_Toc433975167"/>
      <w:bookmarkStart w:id="1452" w:name="_Toc433973181"/>
      <w:bookmarkStart w:id="1453" w:name="_Toc433974179"/>
      <w:bookmarkStart w:id="1454" w:name="_Toc433975170"/>
      <w:bookmarkStart w:id="1455" w:name="_Toc433973187"/>
      <w:bookmarkStart w:id="1456" w:name="_Toc433974185"/>
      <w:bookmarkStart w:id="1457" w:name="_Toc433975176"/>
      <w:bookmarkStart w:id="1458" w:name="_Toc433973190"/>
      <w:bookmarkStart w:id="1459" w:name="_Toc433974188"/>
      <w:bookmarkStart w:id="1460" w:name="_Toc433975179"/>
      <w:bookmarkStart w:id="1461" w:name="_Toc433973191"/>
      <w:bookmarkStart w:id="1462" w:name="_Toc433974189"/>
      <w:bookmarkStart w:id="1463" w:name="_Toc433975180"/>
      <w:bookmarkStart w:id="1464" w:name="_Toc433973193"/>
      <w:bookmarkStart w:id="1465" w:name="_Toc433974191"/>
      <w:bookmarkStart w:id="1466" w:name="_Toc433975182"/>
      <w:bookmarkStart w:id="1467" w:name="_Toc433973194"/>
      <w:bookmarkStart w:id="1468" w:name="_Toc433974192"/>
      <w:bookmarkStart w:id="1469" w:name="_Toc433975183"/>
      <w:bookmarkStart w:id="1470" w:name="_Toc433973196"/>
      <w:bookmarkStart w:id="1471" w:name="_Toc433974194"/>
      <w:bookmarkStart w:id="1472" w:name="_Toc433975185"/>
      <w:bookmarkStart w:id="1473" w:name="_Toc433973202"/>
      <w:bookmarkStart w:id="1474" w:name="_Toc433974200"/>
      <w:bookmarkStart w:id="1475" w:name="_Toc433975191"/>
      <w:bookmarkStart w:id="1476" w:name="_Toc433973203"/>
      <w:bookmarkStart w:id="1477" w:name="_Toc433974201"/>
      <w:bookmarkStart w:id="1478" w:name="_Toc433975192"/>
      <w:bookmarkStart w:id="1479" w:name="_Toc433973204"/>
      <w:bookmarkStart w:id="1480" w:name="_Toc433974202"/>
      <w:bookmarkStart w:id="1481" w:name="_Toc433975193"/>
      <w:bookmarkStart w:id="1482" w:name="_Toc433973205"/>
      <w:bookmarkStart w:id="1483" w:name="_Toc433974203"/>
      <w:bookmarkStart w:id="1484" w:name="_Toc433975194"/>
      <w:bookmarkStart w:id="1485" w:name="_Toc433973207"/>
      <w:bookmarkStart w:id="1486" w:name="_Toc433974205"/>
      <w:bookmarkStart w:id="1487" w:name="_Toc433975196"/>
      <w:bookmarkStart w:id="1488" w:name="_Toc433973208"/>
      <w:bookmarkStart w:id="1489" w:name="_Toc433974206"/>
      <w:bookmarkStart w:id="1490" w:name="_Toc433975197"/>
      <w:bookmarkStart w:id="1491" w:name="_Toc433973209"/>
      <w:bookmarkStart w:id="1492" w:name="_Toc433974207"/>
      <w:bookmarkStart w:id="1493" w:name="_Toc433975198"/>
      <w:bookmarkStart w:id="1494" w:name="_Toc433973210"/>
      <w:bookmarkStart w:id="1495" w:name="_Toc433974208"/>
      <w:bookmarkStart w:id="1496" w:name="_Toc433975199"/>
      <w:bookmarkStart w:id="1497" w:name="_Toc433973211"/>
      <w:bookmarkStart w:id="1498" w:name="_Toc433974209"/>
      <w:bookmarkStart w:id="1499" w:name="_Toc433975200"/>
      <w:bookmarkStart w:id="1500" w:name="_Toc433973212"/>
      <w:bookmarkStart w:id="1501" w:name="_Toc433974210"/>
      <w:bookmarkStart w:id="1502" w:name="_Toc433975201"/>
      <w:bookmarkStart w:id="1503" w:name="_Toc433973213"/>
      <w:bookmarkStart w:id="1504" w:name="_Toc433974211"/>
      <w:bookmarkStart w:id="1505" w:name="_Toc433975202"/>
      <w:bookmarkStart w:id="1506" w:name="_Toc433973214"/>
      <w:bookmarkStart w:id="1507" w:name="_Toc433974212"/>
      <w:bookmarkStart w:id="1508" w:name="_Toc433975203"/>
      <w:bookmarkStart w:id="1509" w:name="_Toc433973215"/>
      <w:bookmarkStart w:id="1510" w:name="_Toc433974213"/>
      <w:bookmarkStart w:id="1511" w:name="_Toc433975204"/>
      <w:bookmarkStart w:id="1512" w:name="_Toc433973216"/>
      <w:bookmarkStart w:id="1513" w:name="_Toc433974214"/>
      <w:bookmarkStart w:id="1514" w:name="_Toc433975205"/>
      <w:bookmarkStart w:id="1515" w:name="_Toc433973217"/>
      <w:bookmarkStart w:id="1516" w:name="_Toc433974215"/>
      <w:bookmarkStart w:id="1517" w:name="_Toc433975206"/>
      <w:bookmarkStart w:id="1518" w:name="_Toc433973218"/>
      <w:bookmarkStart w:id="1519" w:name="_Toc433974216"/>
      <w:bookmarkStart w:id="1520" w:name="_Toc433975207"/>
      <w:bookmarkStart w:id="1521" w:name="_Toc433973219"/>
      <w:bookmarkStart w:id="1522" w:name="_Toc433974217"/>
      <w:bookmarkStart w:id="1523" w:name="_Toc433975208"/>
      <w:bookmarkStart w:id="1524" w:name="_Toc433973220"/>
      <w:bookmarkStart w:id="1525" w:name="_Toc433974218"/>
      <w:bookmarkStart w:id="1526" w:name="_Toc433975209"/>
      <w:bookmarkStart w:id="1527" w:name="_Toc433973221"/>
      <w:bookmarkStart w:id="1528" w:name="_Toc433974219"/>
      <w:bookmarkStart w:id="1529" w:name="_Toc433975210"/>
      <w:bookmarkStart w:id="1530" w:name="_Toc433973222"/>
      <w:bookmarkStart w:id="1531" w:name="_Toc433974220"/>
      <w:bookmarkStart w:id="1532" w:name="_Toc433975211"/>
      <w:bookmarkStart w:id="1533" w:name="_Toc433973223"/>
      <w:bookmarkStart w:id="1534" w:name="_Toc433974221"/>
      <w:bookmarkStart w:id="1535" w:name="_Toc433975212"/>
      <w:bookmarkStart w:id="1536" w:name="_Toc433973224"/>
      <w:bookmarkStart w:id="1537" w:name="_Toc433974222"/>
      <w:bookmarkStart w:id="1538" w:name="_Toc433975213"/>
      <w:bookmarkStart w:id="1539" w:name="_Toc433973225"/>
      <w:bookmarkStart w:id="1540" w:name="_Toc433974223"/>
      <w:bookmarkStart w:id="1541" w:name="_Toc433975214"/>
      <w:bookmarkStart w:id="1542" w:name="_Toc433973226"/>
      <w:bookmarkStart w:id="1543" w:name="_Toc433974224"/>
      <w:bookmarkStart w:id="1544" w:name="_Toc433975215"/>
      <w:bookmarkStart w:id="1545" w:name="_Toc433973227"/>
      <w:bookmarkStart w:id="1546" w:name="_Toc433974225"/>
      <w:bookmarkStart w:id="1547" w:name="_Toc433975216"/>
      <w:bookmarkStart w:id="1548" w:name="_Toc433973228"/>
      <w:bookmarkStart w:id="1549" w:name="_Toc433974226"/>
      <w:bookmarkStart w:id="1550" w:name="_Toc433975217"/>
      <w:bookmarkStart w:id="1551" w:name="_Toc433973229"/>
      <w:bookmarkStart w:id="1552" w:name="_Toc433974227"/>
      <w:bookmarkStart w:id="1553" w:name="_Toc433975218"/>
      <w:bookmarkStart w:id="1554" w:name="_Toc433973230"/>
      <w:bookmarkStart w:id="1555" w:name="_Toc433974228"/>
      <w:bookmarkStart w:id="1556" w:name="_Toc433975219"/>
      <w:bookmarkStart w:id="1557" w:name="_Toc433973231"/>
      <w:bookmarkStart w:id="1558" w:name="_Toc433974229"/>
      <w:bookmarkStart w:id="1559" w:name="_Toc433975220"/>
      <w:bookmarkStart w:id="1560" w:name="_Toc433973232"/>
      <w:bookmarkStart w:id="1561" w:name="_Toc433974230"/>
      <w:bookmarkStart w:id="1562" w:name="_Toc433975221"/>
      <w:bookmarkStart w:id="1563" w:name="_Toc433973233"/>
      <w:bookmarkStart w:id="1564" w:name="_Toc433974231"/>
      <w:bookmarkStart w:id="1565" w:name="_Toc433975222"/>
      <w:bookmarkStart w:id="1566" w:name="_Toc433973234"/>
      <w:bookmarkStart w:id="1567" w:name="_Toc433974232"/>
      <w:bookmarkStart w:id="1568" w:name="_Toc433975223"/>
      <w:bookmarkStart w:id="1569" w:name="_Toc433973235"/>
      <w:bookmarkStart w:id="1570" w:name="_Toc433974233"/>
      <w:bookmarkStart w:id="1571" w:name="_Toc433975224"/>
      <w:bookmarkStart w:id="1572" w:name="_Toc433973236"/>
      <w:bookmarkStart w:id="1573" w:name="_Toc433974234"/>
      <w:bookmarkStart w:id="1574" w:name="_Toc433975225"/>
      <w:bookmarkStart w:id="1575" w:name="_Toc433973237"/>
      <w:bookmarkStart w:id="1576" w:name="_Toc433974235"/>
      <w:bookmarkStart w:id="1577" w:name="_Toc433975226"/>
      <w:bookmarkStart w:id="1578" w:name="_Toc433973238"/>
      <w:bookmarkStart w:id="1579" w:name="_Toc433974236"/>
      <w:bookmarkStart w:id="1580" w:name="_Toc433975227"/>
      <w:bookmarkStart w:id="1581" w:name="_Toc227645281"/>
      <w:bookmarkStart w:id="1582" w:name="_Toc227645282"/>
      <w:bookmarkStart w:id="1583" w:name="_Toc227645283"/>
      <w:bookmarkStart w:id="1584" w:name="_Toc227645284"/>
      <w:bookmarkStart w:id="1585" w:name="_Toc433973239"/>
      <w:bookmarkStart w:id="1586" w:name="_Toc433974237"/>
      <w:bookmarkStart w:id="1587" w:name="_Toc433975228"/>
      <w:bookmarkStart w:id="1588" w:name="_Toc433973240"/>
      <w:bookmarkStart w:id="1589" w:name="_Toc433974238"/>
      <w:bookmarkStart w:id="1590" w:name="_Toc433975229"/>
      <w:bookmarkStart w:id="1591" w:name="_Toc433973241"/>
      <w:bookmarkStart w:id="1592" w:name="_Toc433974239"/>
      <w:bookmarkStart w:id="1593" w:name="_Toc433975230"/>
      <w:bookmarkStart w:id="1594" w:name="_Toc433973242"/>
      <w:bookmarkStart w:id="1595" w:name="_Toc433974240"/>
      <w:bookmarkStart w:id="1596" w:name="_Toc433975231"/>
      <w:bookmarkStart w:id="1597" w:name="_Toc433973243"/>
      <w:bookmarkStart w:id="1598" w:name="_Toc433974241"/>
      <w:bookmarkStart w:id="1599" w:name="_Toc433975232"/>
      <w:bookmarkStart w:id="1600" w:name="_Toc433973244"/>
      <w:bookmarkStart w:id="1601" w:name="_Toc433974242"/>
      <w:bookmarkStart w:id="1602" w:name="_Toc433975233"/>
      <w:bookmarkStart w:id="1603" w:name="_Toc433973245"/>
      <w:bookmarkStart w:id="1604" w:name="_Toc433974243"/>
      <w:bookmarkStart w:id="1605" w:name="_Toc433975234"/>
      <w:bookmarkStart w:id="1606" w:name="_Toc433973246"/>
      <w:bookmarkStart w:id="1607" w:name="_Toc433974244"/>
      <w:bookmarkStart w:id="1608" w:name="_Toc433975235"/>
      <w:bookmarkStart w:id="1609" w:name="_Toc433973247"/>
      <w:bookmarkStart w:id="1610" w:name="_Toc433974245"/>
      <w:bookmarkStart w:id="1611" w:name="_Toc433975236"/>
      <w:bookmarkStart w:id="1612" w:name="_Toc433973248"/>
      <w:bookmarkStart w:id="1613" w:name="_Toc433974246"/>
      <w:bookmarkStart w:id="1614" w:name="_Toc433975237"/>
      <w:bookmarkStart w:id="1615" w:name="_Toc433973249"/>
      <w:bookmarkStart w:id="1616" w:name="_Toc433974247"/>
      <w:bookmarkStart w:id="1617" w:name="_Toc433975238"/>
      <w:bookmarkStart w:id="1618" w:name="_Toc227645288"/>
      <w:bookmarkStart w:id="1619" w:name="_Toc227645289"/>
      <w:bookmarkStart w:id="1620" w:name="_Toc433973250"/>
      <w:bookmarkStart w:id="1621" w:name="_Toc433974248"/>
      <w:bookmarkStart w:id="1622" w:name="_Toc433975239"/>
      <w:bookmarkStart w:id="1623" w:name="_Toc433973251"/>
      <w:bookmarkStart w:id="1624" w:name="_Toc433974249"/>
      <w:bookmarkStart w:id="1625" w:name="_Toc433975240"/>
      <w:bookmarkStart w:id="1626" w:name="_Toc433973252"/>
      <w:bookmarkStart w:id="1627" w:name="_Toc433974250"/>
      <w:bookmarkStart w:id="1628" w:name="_Toc433975241"/>
      <w:bookmarkStart w:id="1629" w:name="_Toc433973253"/>
      <w:bookmarkStart w:id="1630" w:name="_Toc433974251"/>
      <w:bookmarkStart w:id="1631" w:name="_Toc433975242"/>
      <w:bookmarkStart w:id="1632" w:name="_Toc433973254"/>
      <w:bookmarkStart w:id="1633" w:name="_Toc433974252"/>
      <w:bookmarkStart w:id="1634" w:name="_Toc433975243"/>
      <w:bookmarkStart w:id="1635" w:name="_Toc433973255"/>
      <w:bookmarkStart w:id="1636" w:name="_Toc433974253"/>
      <w:bookmarkStart w:id="1637" w:name="_Toc433975244"/>
      <w:bookmarkStart w:id="1638" w:name="_Toc433973256"/>
      <w:bookmarkStart w:id="1639" w:name="_Toc433974254"/>
      <w:bookmarkStart w:id="1640" w:name="_Toc433975245"/>
      <w:bookmarkStart w:id="1641" w:name="_Toc433973257"/>
      <w:bookmarkStart w:id="1642" w:name="_Toc433974255"/>
      <w:bookmarkStart w:id="1643" w:name="_Toc433975246"/>
      <w:bookmarkStart w:id="1644" w:name="_Toc433973258"/>
      <w:bookmarkStart w:id="1645" w:name="_Toc433974256"/>
      <w:bookmarkStart w:id="1646" w:name="_Toc433975247"/>
      <w:bookmarkStart w:id="1647" w:name="_Toc433973259"/>
      <w:bookmarkStart w:id="1648" w:name="_Toc433974257"/>
      <w:bookmarkStart w:id="1649" w:name="_Toc433975248"/>
      <w:bookmarkStart w:id="1650" w:name="_Toc433973260"/>
      <w:bookmarkStart w:id="1651" w:name="_Toc433974258"/>
      <w:bookmarkStart w:id="1652" w:name="_Toc433975249"/>
      <w:bookmarkStart w:id="1653" w:name="_Toc433973261"/>
      <w:bookmarkStart w:id="1654" w:name="_Toc433974259"/>
      <w:bookmarkStart w:id="1655" w:name="_Toc433975250"/>
      <w:bookmarkStart w:id="1656" w:name="_Toc433973262"/>
      <w:bookmarkStart w:id="1657" w:name="_Toc433974260"/>
      <w:bookmarkStart w:id="1658" w:name="_Toc433975251"/>
      <w:bookmarkStart w:id="1659" w:name="_Toc227409523"/>
      <w:bookmarkStart w:id="1660" w:name="_Toc227553236"/>
      <w:bookmarkStart w:id="1661" w:name="_Toc227634164"/>
      <w:bookmarkStart w:id="1662" w:name="_Toc227634339"/>
      <w:bookmarkStart w:id="1663" w:name="_Toc227645294"/>
      <w:bookmarkStart w:id="1664" w:name="_Toc227409526"/>
      <w:bookmarkStart w:id="1665" w:name="_Toc227553239"/>
      <w:bookmarkStart w:id="1666" w:name="_Toc227634167"/>
      <w:bookmarkStart w:id="1667" w:name="_Toc227634342"/>
      <w:bookmarkStart w:id="1668" w:name="_Toc227645297"/>
      <w:bookmarkStart w:id="1669" w:name="_Toc227409529"/>
      <w:bookmarkStart w:id="1670" w:name="_Toc227553242"/>
      <w:bookmarkStart w:id="1671" w:name="_Toc227634170"/>
      <w:bookmarkStart w:id="1672" w:name="_Toc227634345"/>
      <w:bookmarkStart w:id="1673" w:name="_Toc227645300"/>
      <w:bookmarkStart w:id="1674" w:name="_Toc433973263"/>
      <w:bookmarkStart w:id="1675" w:name="_Toc433974261"/>
      <w:bookmarkStart w:id="1676" w:name="_Toc433975252"/>
      <w:bookmarkStart w:id="1677" w:name="_Toc433973264"/>
      <w:bookmarkStart w:id="1678" w:name="_Toc433974262"/>
      <w:bookmarkStart w:id="1679" w:name="_Toc433975253"/>
      <w:bookmarkStart w:id="1680" w:name="_Toc433973265"/>
      <w:bookmarkStart w:id="1681" w:name="_Toc433974263"/>
      <w:bookmarkStart w:id="1682" w:name="_Toc433975254"/>
      <w:bookmarkStart w:id="1683" w:name="_Toc433973266"/>
      <w:bookmarkStart w:id="1684" w:name="_Toc433974264"/>
      <w:bookmarkStart w:id="1685" w:name="_Toc433975255"/>
      <w:bookmarkStart w:id="1686" w:name="_Toc433973267"/>
      <w:bookmarkStart w:id="1687" w:name="_Toc433974265"/>
      <w:bookmarkStart w:id="1688" w:name="_Toc433975256"/>
      <w:bookmarkStart w:id="1689" w:name="_Toc433973268"/>
      <w:bookmarkStart w:id="1690" w:name="_Toc433974266"/>
      <w:bookmarkStart w:id="1691" w:name="_Toc433975257"/>
      <w:bookmarkStart w:id="1692" w:name="_Toc433973269"/>
      <w:bookmarkStart w:id="1693" w:name="_Toc433974267"/>
      <w:bookmarkStart w:id="1694" w:name="_Toc433975258"/>
      <w:bookmarkStart w:id="1695" w:name="_Toc433973270"/>
      <w:bookmarkStart w:id="1696" w:name="_Toc433974268"/>
      <w:bookmarkStart w:id="1697" w:name="_Toc433975259"/>
      <w:bookmarkStart w:id="1698" w:name="_Toc433973271"/>
      <w:bookmarkStart w:id="1699" w:name="_Toc433974269"/>
      <w:bookmarkStart w:id="1700" w:name="_Toc433975260"/>
      <w:bookmarkStart w:id="1701" w:name="_Toc433973272"/>
      <w:bookmarkStart w:id="1702" w:name="_Toc433974270"/>
      <w:bookmarkStart w:id="1703" w:name="_Toc433975261"/>
      <w:bookmarkStart w:id="1704" w:name="_Toc433973273"/>
      <w:bookmarkStart w:id="1705" w:name="_Toc433974271"/>
      <w:bookmarkStart w:id="1706" w:name="_Toc433975262"/>
      <w:bookmarkStart w:id="1707" w:name="_Toc433973274"/>
      <w:bookmarkStart w:id="1708" w:name="_Toc433974272"/>
      <w:bookmarkStart w:id="1709" w:name="_Toc433975263"/>
      <w:bookmarkStart w:id="1710" w:name="_Toc433973275"/>
      <w:bookmarkStart w:id="1711" w:name="_Toc433974273"/>
      <w:bookmarkStart w:id="1712" w:name="_Toc433975264"/>
      <w:bookmarkStart w:id="1713" w:name="_Toc433973276"/>
      <w:bookmarkStart w:id="1714" w:name="_Toc433974274"/>
      <w:bookmarkStart w:id="1715" w:name="_Toc433975265"/>
      <w:bookmarkStart w:id="1716" w:name="_Toc433973277"/>
      <w:bookmarkStart w:id="1717" w:name="_Toc433974275"/>
      <w:bookmarkStart w:id="1718" w:name="_Toc433975266"/>
      <w:bookmarkStart w:id="1719" w:name="_Toc433973278"/>
      <w:bookmarkStart w:id="1720" w:name="_Toc433974276"/>
      <w:bookmarkStart w:id="1721" w:name="_Toc433975267"/>
      <w:bookmarkStart w:id="1722" w:name="_Toc433973279"/>
      <w:bookmarkStart w:id="1723" w:name="_Toc433974277"/>
      <w:bookmarkStart w:id="1724" w:name="_Toc433975268"/>
      <w:bookmarkStart w:id="1725" w:name="_Toc433973280"/>
      <w:bookmarkStart w:id="1726" w:name="_Toc433974278"/>
      <w:bookmarkStart w:id="1727" w:name="_Toc433975269"/>
      <w:bookmarkStart w:id="1728" w:name="_Toc433973281"/>
      <w:bookmarkStart w:id="1729" w:name="_Toc433974279"/>
      <w:bookmarkStart w:id="1730" w:name="_Toc433975270"/>
      <w:bookmarkStart w:id="1731" w:name="_Toc433973282"/>
      <w:bookmarkStart w:id="1732" w:name="_Toc433974280"/>
      <w:bookmarkStart w:id="1733" w:name="_Toc433975271"/>
      <w:bookmarkStart w:id="1734" w:name="_Toc433973283"/>
      <w:bookmarkStart w:id="1735" w:name="_Toc433974281"/>
      <w:bookmarkStart w:id="1736" w:name="_Toc433975272"/>
      <w:bookmarkStart w:id="1737" w:name="_Toc433973284"/>
      <w:bookmarkStart w:id="1738" w:name="_Toc433974282"/>
      <w:bookmarkStart w:id="1739" w:name="_Toc433975273"/>
      <w:bookmarkStart w:id="1740" w:name="_Toc433973285"/>
      <w:bookmarkStart w:id="1741" w:name="_Toc433974283"/>
      <w:bookmarkStart w:id="1742" w:name="_Toc433975274"/>
      <w:bookmarkStart w:id="1743" w:name="_Toc433973286"/>
      <w:bookmarkStart w:id="1744" w:name="_Toc433974284"/>
      <w:bookmarkStart w:id="1745" w:name="_Toc433975275"/>
      <w:bookmarkStart w:id="1746" w:name="_Toc433973287"/>
      <w:bookmarkStart w:id="1747" w:name="_Toc433974285"/>
      <w:bookmarkStart w:id="1748" w:name="_Toc433975276"/>
      <w:bookmarkStart w:id="1749" w:name="_Toc433973288"/>
      <w:bookmarkStart w:id="1750" w:name="_Toc433974286"/>
      <w:bookmarkStart w:id="1751" w:name="_Toc433975277"/>
      <w:bookmarkStart w:id="1752" w:name="_Toc433973289"/>
      <w:bookmarkStart w:id="1753" w:name="_Toc433974287"/>
      <w:bookmarkStart w:id="1754" w:name="_Toc433975278"/>
      <w:bookmarkStart w:id="1755" w:name="_Toc433973290"/>
      <w:bookmarkStart w:id="1756" w:name="_Toc433974288"/>
      <w:bookmarkStart w:id="1757" w:name="_Toc433975279"/>
      <w:bookmarkStart w:id="1758" w:name="_Toc433973291"/>
      <w:bookmarkStart w:id="1759" w:name="_Toc433974289"/>
      <w:bookmarkStart w:id="1760" w:name="_Toc433975280"/>
      <w:bookmarkStart w:id="1761" w:name="_Toc433973292"/>
      <w:bookmarkStart w:id="1762" w:name="_Toc433974290"/>
      <w:bookmarkStart w:id="1763" w:name="_Toc433975281"/>
      <w:bookmarkStart w:id="1764" w:name="_Toc433973293"/>
      <w:bookmarkStart w:id="1765" w:name="_Toc433974291"/>
      <w:bookmarkStart w:id="1766" w:name="_Toc433975282"/>
      <w:bookmarkStart w:id="1767" w:name="_Toc433973294"/>
      <w:bookmarkStart w:id="1768" w:name="_Toc433974292"/>
      <w:bookmarkStart w:id="1769" w:name="_Toc433975283"/>
      <w:bookmarkStart w:id="1770" w:name="_Toc433973295"/>
      <w:bookmarkStart w:id="1771" w:name="_Toc433974293"/>
      <w:bookmarkStart w:id="1772" w:name="_Toc433975284"/>
      <w:bookmarkStart w:id="1773" w:name="_Toc433973296"/>
      <w:bookmarkStart w:id="1774" w:name="_Toc433974294"/>
      <w:bookmarkStart w:id="1775" w:name="_Toc433975285"/>
      <w:bookmarkStart w:id="1776" w:name="_Toc433973297"/>
      <w:bookmarkStart w:id="1777" w:name="_Toc433974295"/>
      <w:bookmarkStart w:id="1778" w:name="_Toc433975286"/>
      <w:bookmarkStart w:id="1779" w:name="_Toc433973298"/>
      <w:bookmarkStart w:id="1780" w:name="_Toc433974296"/>
      <w:bookmarkStart w:id="1781" w:name="_Toc433975287"/>
      <w:bookmarkStart w:id="1782" w:name="_Toc433973299"/>
      <w:bookmarkStart w:id="1783" w:name="_Toc433974297"/>
      <w:bookmarkStart w:id="1784" w:name="_Toc433975288"/>
      <w:bookmarkStart w:id="1785" w:name="_Toc433973300"/>
      <w:bookmarkStart w:id="1786" w:name="_Toc433974298"/>
      <w:bookmarkStart w:id="1787" w:name="_Toc433975289"/>
      <w:bookmarkStart w:id="1788" w:name="_Toc433973301"/>
      <w:bookmarkStart w:id="1789" w:name="_Toc433974299"/>
      <w:bookmarkStart w:id="1790" w:name="_Toc433975290"/>
      <w:bookmarkStart w:id="1791" w:name="_Toc433973302"/>
      <w:bookmarkStart w:id="1792" w:name="_Toc433974300"/>
      <w:bookmarkStart w:id="1793" w:name="_Toc433975291"/>
      <w:bookmarkStart w:id="1794" w:name="_Toc433973303"/>
      <w:bookmarkStart w:id="1795" w:name="_Toc433974301"/>
      <w:bookmarkStart w:id="1796" w:name="_Toc433975292"/>
      <w:bookmarkStart w:id="1797" w:name="_Toc433973304"/>
      <w:bookmarkStart w:id="1798" w:name="_Toc433974302"/>
      <w:bookmarkStart w:id="1799" w:name="_Toc433975293"/>
      <w:bookmarkStart w:id="1800" w:name="_Toc433973305"/>
      <w:bookmarkStart w:id="1801" w:name="_Toc433974303"/>
      <w:bookmarkStart w:id="1802" w:name="_Toc433975294"/>
      <w:bookmarkStart w:id="1803" w:name="_Toc433973306"/>
      <w:bookmarkStart w:id="1804" w:name="_Toc433974304"/>
      <w:bookmarkStart w:id="1805" w:name="_Toc433975295"/>
      <w:bookmarkStart w:id="1806" w:name="_Toc433973307"/>
      <w:bookmarkStart w:id="1807" w:name="_Toc433974305"/>
      <w:bookmarkStart w:id="1808" w:name="_Toc433975296"/>
      <w:bookmarkStart w:id="1809" w:name="_Toc433973308"/>
      <w:bookmarkStart w:id="1810" w:name="_Toc433974306"/>
      <w:bookmarkStart w:id="1811" w:name="_Toc433975297"/>
      <w:bookmarkStart w:id="1812" w:name="_Toc433973309"/>
      <w:bookmarkStart w:id="1813" w:name="_Toc433974307"/>
      <w:bookmarkStart w:id="1814" w:name="_Toc433975298"/>
      <w:bookmarkStart w:id="1815" w:name="_Toc215120870"/>
      <w:bookmarkStart w:id="1816" w:name="_Toc433973310"/>
      <w:bookmarkStart w:id="1817" w:name="_Toc433974308"/>
      <w:bookmarkStart w:id="1818" w:name="_Toc433975299"/>
      <w:bookmarkStart w:id="1819" w:name="_Toc433973311"/>
      <w:bookmarkStart w:id="1820" w:name="_Toc433974309"/>
      <w:bookmarkStart w:id="1821" w:name="_Toc433975300"/>
      <w:bookmarkStart w:id="1822" w:name="_Toc433973312"/>
      <w:bookmarkStart w:id="1823" w:name="_Toc433974310"/>
      <w:bookmarkStart w:id="1824" w:name="_Toc433975301"/>
      <w:bookmarkStart w:id="1825" w:name="_Toc433973313"/>
      <w:bookmarkStart w:id="1826" w:name="_Toc433974311"/>
      <w:bookmarkStart w:id="1827" w:name="_Toc433975302"/>
      <w:bookmarkStart w:id="1828" w:name="_Toc433973314"/>
      <w:bookmarkStart w:id="1829" w:name="_Toc433974312"/>
      <w:bookmarkStart w:id="1830" w:name="_Toc433975303"/>
      <w:bookmarkStart w:id="1831" w:name="_Toc433973315"/>
      <w:bookmarkStart w:id="1832" w:name="_Toc433974313"/>
      <w:bookmarkStart w:id="1833" w:name="_Toc433975304"/>
      <w:bookmarkStart w:id="1834" w:name="_Toc433973316"/>
      <w:bookmarkStart w:id="1835" w:name="_Toc433974314"/>
      <w:bookmarkStart w:id="1836" w:name="_Toc433975305"/>
      <w:bookmarkStart w:id="1837" w:name="_Toc433973317"/>
      <w:bookmarkStart w:id="1838" w:name="_Toc433974315"/>
      <w:bookmarkStart w:id="1839" w:name="_Toc433975306"/>
      <w:bookmarkStart w:id="1840" w:name="_Toc433973318"/>
      <w:bookmarkStart w:id="1841" w:name="_Toc433974316"/>
      <w:bookmarkStart w:id="1842" w:name="_Toc433975307"/>
      <w:bookmarkStart w:id="1843" w:name="_Toc433973319"/>
      <w:bookmarkStart w:id="1844" w:name="_Toc433974317"/>
      <w:bookmarkStart w:id="1845" w:name="_Toc433975308"/>
      <w:bookmarkStart w:id="1846" w:name="_Toc433973320"/>
      <w:bookmarkStart w:id="1847" w:name="_Toc433974318"/>
      <w:bookmarkStart w:id="1848" w:name="_Toc433975309"/>
      <w:bookmarkStart w:id="1849" w:name="_Toc433973321"/>
      <w:bookmarkStart w:id="1850" w:name="_Toc433974319"/>
      <w:bookmarkStart w:id="1851" w:name="_Toc433975310"/>
      <w:bookmarkStart w:id="1852" w:name="_Toc433973322"/>
      <w:bookmarkStart w:id="1853" w:name="_Toc433974320"/>
      <w:bookmarkStart w:id="1854" w:name="_Toc433975311"/>
      <w:bookmarkStart w:id="1855" w:name="_Toc433973323"/>
      <w:bookmarkStart w:id="1856" w:name="_Toc433974321"/>
      <w:bookmarkStart w:id="1857" w:name="_Toc433975312"/>
      <w:bookmarkStart w:id="1858" w:name="_Toc433973324"/>
      <w:bookmarkStart w:id="1859" w:name="_Toc433974322"/>
      <w:bookmarkStart w:id="1860" w:name="_Toc433975313"/>
      <w:bookmarkStart w:id="1861" w:name="_Toc433973325"/>
      <w:bookmarkStart w:id="1862" w:name="_Toc433974323"/>
      <w:bookmarkStart w:id="1863" w:name="_Toc433975314"/>
      <w:bookmarkStart w:id="1864" w:name="_Toc433973326"/>
      <w:bookmarkStart w:id="1865" w:name="_Toc433974324"/>
      <w:bookmarkStart w:id="1866" w:name="_Toc433975315"/>
      <w:bookmarkStart w:id="1867" w:name="_Toc433973327"/>
      <w:bookmarkStart w:id="1868" w:name="_Toc433974325"/>
      <w:bookmarkStart w:id="1869" w:name="_Toc433975316"/>
      <w:bookmarkStart w:id="1870" w:name="_Toc433973328"/>
      <w:bookmarkStart w:id="1871" w:name="_Toc433974326"/>
      <w:bookmarkStart w:id="1872" w:name="_Toc433975317"/>
      <w:bookmarkStart w:id="1873" w:name="_Toc433973329"/>
      <w:bookmarkStart w:id="1874" w:name="_Toc433974327"/>
      <w:bookmarkStart w:id="1875" w:name="_Toc433975318"/>
      <w:bookmarkStart w:id="1876" w:name="_Toc433973330"/>
      <w:bookmarkStart w:id="1877" w:name="_Toc433974328"/>
      <w:bookmarkStart w:id="1878" w:name="_Toc433975319"/>
      <w:bookmarkStart w:id="1879" w:name="_Toc433973331"/>
      <w:bookmarkStart w:id="1880" w:name="_Toc433974329"/>
      <w:bookmarkStart w:id="1881" w:name="_Toc433975320"/>
      <w:bookmarkStart w:id="1882" w:name="_Toc433973332"/>
      <w:bookmarkStart w:id="1883" w:name="_Toc433974330"/>
      <w:bookmarkStart w:id="1884" w:name="_Toc433975321"/>
      <w:bookmarkStart w:id="1885" w:name="_Toc433973333"/>
      <w:bookmarkStart w:id="1886" w:name="_Toc433974331"/>
      <w:bookmarkStart w:id="1887" w:name="_Toc433975322"/>
      <w:bookmarkStart w:id="1888" w:name="_Toc433973334"/>
      <w:bookmarkStart w:id="1889" w:name="_Toc433974332"/>
      <w:bookmarkStart w:id="1890" w:name="_Toc433975323"/>
      <w:bookmarkStart w:id="1891" w:name="_Toc433973335"/>
      <w:bookmarkStart w:id="1892" w:name="_Toc433974333"/>
      <w:bookmarkStart w:id="1893" w:name="_Toc433975324"/>
      <w:bookmarkStart w:id="1894" w:name="_Toc433973336"/>
      <w:bookmarkStart w:id="1895" w:name="_Toc433974334"/>
      <w:bookmarkStart w:id="1896" w:name="_Toc433975325"/>
      <w:bookmarkStart w:id="1897" w:name="_Toc433973337"/>
      <w:bookmarkStart w:id="1898" w:name="_Toc433974335"/>
      <w:bookmarkStart w:id="1899" w:name="_Toc433975326"/>
      <w:bookmarkStart w:id="1900" w:name="_Toc433973338"/>
      <w:bookmarkStart w:id="1901" w:name="_Toc433974336"/>
      <w:bookmarkStart w:id="1902" w:name="_Toc433975327"/>
      <w:bookmarkStart w:id="1903" w:name="_Toc433973339"/>
      <w:bookmarkStart w:id="1904" w:name="_Toc433974337"/>
      <w:bookmarkStart w:id="1905" w:name="_Toc433975328"/>
      <w:bookmarkStart w:id="1906" w:name="_Toc433973340"/>
      <w:bookmarkStart w:id="1907" w:name="_Toc433974338"/>
      <w:bookmarkStart w:id="1908" w:name="_Toc433975329"/>
      <w:bookmarkStart w:id="1909" w:name="_Toc433973341"/>
      <w:bookmarkStart w:id="1910" w:name="_Toc433974339"/>
      <w:bookmarkStart w:id="1911" w:name="_Toc433975330"/>
      <w:bookmarkStart w:id="1912" w:name="_Toc433973342"/>
      <w:bookmarkStart w:id="1913" w:name="_Toc433974340"/>
      <w:bookmarkStart w:id="1914" w:name="_Toc433975331"/>
      <w:bookmarkStart w:id="1915" w:name="_Toc433973343"/>
      <w:bookmarkStart w:id="1916" w:name="_Toc433974341"/>
      <w:bookmarkStart w:id="1917" w:name="_Toc433975332"/>
      <w:bookmarkStart w:id="1918" w:name="_Toc433973344"/>
      <w:bookmarkStart w:id="1919" w:name="_Toc433974342"/>
      <w:bookmarkStart w:id="1920" w:name="_Toc433975333"/>
      <w:bookmarkStart w:id="1921" w:name="_Toc433973345"/>
      <w:bookmarkStart w:id="1922" w:name="_Toc433974343"/>
      <w:bookmarkStart w:id="1923" w:name="_Toc433975334"/>
      <w:bookmarkStart w:id="1924" w:name="_Toc433973346"/>
      <w:bookmarkStart w:id="1925" w:name="_Toc433974344"/>
      <w:bookmarkStart w:id="1926" w:name="_Toc433975335"/>
      <w:bookmarkStart w:id="1927" w:name="_Toc433973347"/>
      <w:bookmarkStart w:id="1928" w:name="_Toc433974345"/>
      <w:bookmarkStart w:id="1929" w:name="_Toc433975336"/>
      <w:bookmarkStart w:id="1930" w:name="_Toc433973348"/>
      <w:bookmarkStart w:id="1931" w:name="_Toc433974346"/>
      <w:bookmarkStart w:id="1932" w:name="_Toc433975337"/>
      <w:bookmarkStart w:id="1933" w:name="_Toc433973349"/>
      <w:bookmarkStart w:id="1934" w:name="_Toc433974347"/>
      <w:bookmarkStart w:id="1935" w:name="_Toc433975338"/>
      <w:bookmarkStart w:id="1936" w:name="_Toc433973350"/>
      <w:bookmarkStart w:id="1937" w:name="_Toc433974348"/>
      <w:bookmarkStart w:id="1938" w:name="_Toc433975339"/>
      <w:bookmarkStart w:id="1939" w:name="_Toc433973351"/>
      <w:bookmarkStart w:id="1940" w:name="_Toc433974349"/>
      <w:bookmarkStart w:id="1941" w:name="_Toc433975340"/>
      <w:bookmarkStart w:id="1942" w:name="_Toc433973352"/>
      <w:bookmarkStart w:id="1943" w:name="_Toc433974350"/>
      <w:bookmarkStart w:id="1944" w:name="_Toc433975341"/>
      <w:bookmarkStart w:id="1945" w:name="_Toc433973353"/>
      <w:bookmarkStart w:id="1946" w:name="_Toc433974351"/>
      <w:bookmarkStart w:id="1947" w:name="_Toc433975342"/>
      <w:bookmarkStart w:id="1948" w:name="_Toc433973354"/>
      <w:bookmarkStart w:id="1949" w:name="_Toc433974352"/>
      <w:bookmarkStart w:id="1950" w:name="_Toc433975343"/>
      <w:bookmarkStart w:id="1951" w:name="_Toc433973355"/>
      <w:bookmarkStart w:id="1952" w:name="_Toc433974353"/>
      <w:bookmarkStart w:id="1953" w:name="_Toc433975344"/>
      <w:bookmarkStart w:id="1954" w:name="_Toc433973356"/>
      <w:bookmarkStart w:id="1955" w:name="_Toc433974354"/>
      <w:bookmarkStart w:id="1956" w:name="_Toc433975345"/>
      <w:bookmarkStart w:id="1957" w:name="_Toc433973357"/>
      <w:bookmarkStart w:id="1958" w:name="_Toc433974355"/>
      <w:bookmarkStart w:id="1959" w:name="_Toc433975346"/>
      <w:bookmarkStart w:id="1960" w:name="_Toc433973358"/>
      <w:bookmarkStart w:id="1961" w:name="_Toc433974356"/>
      <w:bookmarkStart w:id="1962" w:name="_Toc433975347"/>
      <w:bookmarkStart w:id="1963" w:name="_Toc433973359"/>
      <w:bookmarkStart w:id="1964" w:name="_Toc433974357"/>
      <w:bookmarkStart w:id="1965" w:name="_Toc433975348"/>
      <w:bookmarkStart w:id="1966" w:name="_Toc433973360"/>
      <w:bookmarkStart w:id="1967" w:name="_Toc433974358"/>
      <w:bookmarkStart w:id="1968" w:name="_Toc433975349"/>
      <w:bookmarkStart w:id="1969" w:name="_Toc433973361"/>
      <w:bookmarkStart w:id="1970" w:name="_Toc433974359"/>
      <w:bookmarkStart w:id="1971" w:name="_Toc433975350"/>
      <w:bookmarkStart w:id="1972" w:name="_Toc433973362"/>
      <w:bookmarkStart w:id="1973" w:name="_Toc433974360"/>
      <w:bookmarkStart w:id="1974" w:name="_Toc433975351"/>
      <w:bookmarkStart w:id="1975" w:name="_Toc433973363"/>
      <w:bookmarkStart w:id="1976" w:name="_Toc433974361"/>
      <w:bookmarkStart w:id="1977" w:name="_Toc433975352"/>
      <w:bookmarkStart w:id="1978" w:name="_Toc433973364"/>
      <w:bookmarkStart w:id="1979" w:name="_Toc433974362"/>
      <w:bookmarkStart w:id="1980" w:name="_Toc433975353"/>
      <w:bookmarkStart w:id="1981" w:name="_Toc433973365"/>
      <w:bookmarkStart w:id="1982" w:name="_Toc433974363"/>
      <w:bookmarkStart w:id="1983" w:name="_Toc433975354"/>
      <w:bookmarkStart w:id="1984" w:name="_Toc433973366"/>
      <w:bookmarkStart w:id="1985" w:name="_Toc433974364"/>
      <w:bookmarkStart w:id="1986" w:name="_Toc433975355"/>
      <w:bookmarkStart w:id="1987" w:name="_Toc433973367"/>
      <w:bookmarkStart w:id="1988" w:name="_Toc433974365"/>
      <w:bookmarkStart w:id="1989" w:name="_Toc433975356"/>
      <w:bookmarkStart w:id="1990" w:name="_Toc433973368"/>
      <w:bookmarkStart w:id="1991" w:name="_Toc433974366"/>
      <w:bookmarkStart w:id="1992" w:name="_Toc433975357"/>
      <w:bookmarkStart w:id="1993" w:name="_Toc433973369"/>
      <w:bookmarkStart w:id="1994" w:name="_Toc433974367"/>
      <w:bookmarkStart w:id="1995" w:name="_Toc433975358"/>
      <w:bookmarkStart w:id="1996" w:name="_Toc433973370"/>
      <w:bookmarkStart w:id="1997" w:name="_Toc433974368"/>
      <w:bookmarkStart w:id="1998" w:name="_Toc433975359"/>
      <w:bookmarkStart w:id="1999" w:name="_Toc433973371"/>
      <w:bookmarkStart w:id="2000" w:name="_Toc433974369"/>
      <w:bookmarkStart w:id="2001" w:name="_Toc433975360"/>
      <w:bookmarkStart w:id="2002" w:name="_Toc433973372"/>
      <w:bookmarkStart w:id="2003" w:name="_Toc433974370"/>
      <w:bookmarkStart w:id="2004" w:name="_Toc433975361"/>
      <w:bookmarkStart w:id="2005" w:name="_Toc433973373"/>
      <w:bookmarkStart w:id="2006" w:name="_Toc433974371"/>
      <w:bookmarkStart w:id="2007" w:name="_Toc433975362"/>
      <w:bookmarkStart w:id="2008" w:name="_Toc433973374"/>
      <w:bookmarkStart w:id="2009" w:name="_Toc433974372"/>
      <w:bookmarkStart w:id="2010" w:name="_Toc433975363"/>
      <w:bookmarkStart w:id="2011" w:name="_Toc433973375"/>
      <w:bookmarkStart w:id="2012" w:name="_Toc433974373"/>
      <w:bookmarkStart w:id="2013" w:name="_Toc433975364"/>
      <w:bookmarkStart w:id="2014" w:name="_Toc433973376"/>
      <w:bookmarkStart w:id="2015" w:name="_Toc433974374"/>
      <w:bookmarkStart w:id="2016" w:name="_Toc433975365"/>
      <w:bookmarkStart w:id="2017" w:name="_Toc433973377"/>
      <w:bookmarkStart w:id="2018" w:name="_Toc433974375"/>
      <w:bookmarkStart w:id="2019" w:name="_Toc433975366"/>
      <w:bookmarkStart w:id="2020" w:name="_Toc433973378"/>
      <w:bookmarkStart w:id="2021" w:name="_Toc433974376"/>
      <w:bookmarkStart w:id="2022" w:name="_Toc433975367"/>
      <w:bookmarkStart w:id="2023" w:name="_Toc433973379"/>
      <w:bookmarkStart w:id="2024" w:name="_Toc433974377"/>
      <w:bookmarkStart w:id="2025" w:name="_Toc433975368"/>
      <w:bookmarkStart w:id="2026" w:name="_Toc433973380"/>
      <w:bookmarkStart w:id="2027" w:name="_Toc433974378"/>
      <w:bookmarkStart w:id="2028" w:name="_Toc433975369"/>
      <w:bookmarkStart w:id="2029" w:name="_Toc433973381"/>
      <w:bookmarkStart w:id="2030" w:name="_Toc433974379"/>
      <w:bookmarkStart w:id="2031" w:name="_Toc433975370"/>
      <w:bookmarkStart w:id="2032" w:name="_Toc433973382"/>
      <w:bookmarkStart w:id="2033" w:name="_Toc433974380"/>
      <w:bookmarkStart w:id="2034" w:name="_Toc433975371"/>
      <w:bookmarkStart w:id="2035" w:name="_Toc433973383"/>
      <w:bookmarkStart w:id="2036" w:name="_Toc433974381"/>
      <w:bookmarkStart w:id="2037" w:name="_Toc433975372"/>
      <w:bookmarkStart w:id="2038" w:name="_Toc433973384"/>
      <w:bookmarkStart w:id="2039" w:name="_Toc433974382"/>
      <w:bookmarkStart w:id="2040" w:name="_Toc433975373"/>
      <w:bookmarkStart w:id="2041" w:name="_Toc433973385"/>
      <w:bookmarkStart w:id="2042" w:name="_Toc433974383"/>
      <w:bookmarkStart w:id="2043" w:name="_Toc433975374"/>
      <w:bookmarkStart w:id="2044" w:name="_Toc433973386"/>
      <w:bookmarkStart w:id="2045" w:name="_Toc433974384"/>
      <w:bookmarkStart w:id="2046" w:name="_Toc433975375"/>
      <w:bookmarkStart w:id="2047" w:name="_Toc433973387"/>
      <w:bookmarkStart w:id="2048" w:name="_Toc433974385"/>
      <w:bookmarkStart w:id="2049" w:name="_Toc433975376"/>
      <w:bookmarkStart w:id="2050" w:name="_Toc433973388"/>
      <w:bookmarkStart w:id="2051" w:name="_Toc433974386"/>
      <w:bookmarkStart w:id="2052" w:name="_Toc433975377"/>
      <w:bookmarkStart w:id="2053" w:name="_Toc433973389"/>
      <w:bookmarkStart w:id="2054" w:name="_Toc433974387"/>
      <w:bookmarkStart w:id="2055" w:name="_Toc433975378"/>
      <w:bookmarkStart w:id="2056" w:name="_Toc405803678"/>
      <w:bookmarkStart w:id="2057" w:name="_Toc410395184"/>
      <w:bookmarkStart w:id="2058" w:name="_Toc411597968"/>
      <w:bookmarkStart w:id="2059" w:name="_Toc41266142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r>
        <w:t xml:space="preserve"> </w:t>
      </w:r>
      <w:bookmarkStart w:id="2060" w:name="_Toc111118546"/>
      <w:r w:rsidR="000A58FE" w:rsidRPr="0020289E">
        <w:t>Vorbemerkung</w:t>
      </w:r>
      <w:bookmarkEnd w:id="2056"/>
      <w:bookmarkEnd w:id="2057"/>
      <w:bookmarkEnd w:id="2058"/>
      <w:bookmarkEnd w:id="2059"/>
      <w:bookmarkEnd w:id="2060"/>
    </w:p>
    <w:p w14:paraId="3D9BC9B4" w14:textId="2B1F9FE7" w:rsidR="000A58FE" w:rsidRPr="0060515B" w:rsidRDefault="000A58FE" w:rsidP="003C2438">
      <w:pPr>
        <w:rPr>
          <w:rFonts w:cs="Arial"/>
          <w:bCs/>
        </w:rPr>
      </w:pPr>
      <w:r w:rsidRPr="0060515B">
        <w:rPr>
          <w:rFonts w:cs="Arial"/>
          <w:bCs/>
        </w:rPr>
        <w:t>Die in diesem Kapitel beschriebenen Prozesse und Inhalte basieren auf der durch die BNetzA veröffentlichten Prozessbeschreibu</w:t>
      </w:r>
      <w:r w:rsidRPr="002E6E17">
        <w:rPr>
          <w:rFonts w:cs="Arial"/>
          <w:bCs/>
        </w:rPr>
        <w:t>ng „Prozesse zur Ermittlung und Abrechnung von Mehr-/Mindermengen Strom und Gas“</w:t>
      </w:r>
      <w:r w:rsidRPr="0060515B">
        <w:rPr>
          <w:rFonts w:cs="Arial"/>
          <w:bCs/>
        </w:rPr>
        <w:t xml:space="preserve">, vom </w:t>
      </w:r>
      <w:r w:rsidR="00925BA4">
        <w:rPr>
          <w:rFonts w:cs="Arial"/>
          <w:bCs/>
        </w:rPr>
        <w:t xml:space="preserve">22. Januar </w:t>
      </w:r>
      <w:r>
        <w:rPr>
          <w:rFonts w:cs="Arial"/>
          <w:bCs/>
        </w:rPr>
        <w:t>2015</w:t>
      </w:r>
      <w:r w:rsidR="00D2195C">
        <w:rPr>
          <w:rFonts w:cs="Arial"/>
          <w:bCs/>
        </w:rPr>
        <w:t xml:space="preserve"> (Mitteilung Nr. 46, </w:t>
      </w:r>
      <w:r w:rsidR="00D2195C" w:rsidRPr="00D2195C">
        <w:rPr>
          <w:rFonts w:cs="Arial"/>
          <w:bCs/>
        </w:rPr>
        <w:t>BK7-07-067</w:t>
      </w:r>
      <w:r w:rsidR="00D2195C">
        <w:rPr>
          <w:rFonts w:cs="Arial"/>
          <w:bCs/>
        </w:rPr>
        <w:t>)</w:t>
      </w:r>
      <w:r w:rsidRPr="0060515B">
        <w:rPr>
          <w:rFonts w:cs="Arial"/>
          <w:bCs/>
        </w:rPr>
        <w:t xml:space="preserve"> und ergänzen diese um die im Leitfaden </w:t>
      </w:r>
      <w:r>
        <w:rPr>
          <w:rFonts w:cs="Arial"/>
          <w:bCs/>
        </w:rPr>
        <w:t xml:space="preserve">„Marktprozesse Bilanzkreismanagement Gas“ </w:t>
      </w:r>
      <w:r w:rsidRPr="0060515B">
        <w:rPr>
          <w:rFonts w:cs="Arial"/>
          <w:bCs/>
        </w:rPr>
        <w:t>üblichen Informationen.</w:t>
      </w:r>
    </w:p>
    <w:p w14:paraId="1C95D5D6" w14:textId="77777777" w:rsidR="00D2195C" w:rsidRDefault="000A58FE" w:rsidP="003C2438">
      <w:pPr>
        <w:rPr>
          <w:rFonts w:cs="Arial"/>
          <w:bCs/>
        </w:rPr>
      </w:pPr>
      <w:r w:rsidRPr="0060515B">
        <w:rPr>
          <w:rFonts w:cs="Arial"/>
          <w:bCs/>
        </w:rPr>
        <w:t xml:space="preserve">Sollten sich die Prozessbeschreibung </w:t>
      </w:r>
      <w:r w:rsidR="00DE6C0F" w:rsidRPr="00DE6C0F">
        <w:rPr>
          <w:rFonts w:cs="Arial"/>
          <w:bCs/>
        </w:rPr>
        <w:t>„Prozesse zur Ermittlung und Abrechnung von Mehr-/Mindermengen Strom und Gas“ in ihrer jeweils geltenden Fassung</w:t>
      </w:r>
      <w:r w:rsidR="00DE6C0F">
        <w:rPr>
          <w:rFonts w:cs="Arial"/>
          <w:bCs/>
        </w:rPr>
        <w:t xml:space="preserve"> </w:t>
      </w:r>
      <w:r w:rsidRPr="0060515B">
        <w:rPr>
          <w:rFonts w:cs="Arial"/>
          <w:bCs/>
        </w:rPr>
        <w:t>und die Inhalte dieses Kapitels widersprechen, so gilt die Prozessbeschreibung</w:t>
      </w:r>
      <w:r w:rsidR="00712D7F">
        <w:rPr>
          <w:rFonts w:cs="Arial"/>
          <w:bCs/>
        </w:rPr>
        <w:t xml:space="preserve"> </w:t>
      </w:r>
      <w:r w:rsidR="00DE6C0F" w:rsidRPr="00DE6C0F">
        <w:rPr>
          <w:rFonts w:cs="Arial"/>
          <w:bCs/>
        </w:rPr>
        <w:t>in ihrer jeweils geltenden Fassung</w:t>
      </w:r>
      <w:r w:rsidR="00D2195C">
        <w:rPr>
          <w:rFonts w:cs="Arial"/>
          <w:bCs/>
        </w:rPr>
        <w:t>.</w:t>
      </w:r>
    </w:p>
    <w:p w14:paraId="3B39253F" w14:textId="3134C7C2" w:rsidR="000A58FE" w:rsidRPr="0060515B" w:rsidRDefault="000A58FE" w:rsidP="003C2438">
      <w:pPr>
        <w:rPr>
          <w:rFonts w:cs="Arial"/>
          <w:bCs/>
        </w:rPr>
      </w:pPr>
      <w:r w:rsidRPr="0060515B">
        <w:rPr>
          <w:rFonts w:cs="Arial"/>
          <w:bCs/>
        </w:rPr>
        <w:t xml:space="preserve">Um die Wiedererkennung mit der Prozessbeschreibung möglichst groß zu halten, werden nachfolgend die Marktrollen entsprechend </w:t>
      </w:r>
      <w:r w:rsidR="007652D4">
        <w:rPr>
          <w:rFonts w:cs="Arial"/>
          <w:bCs/>
        </w:rPr>
        <w:t xml:space="preserve">Kap. </w:t>
      </w:r>
      <w:r w:rsidR="0011373C">
        <w:fldChar w:fldCharType="begin"/>
      </w:r>
      <w:r w:rsidR="0011373C">
        <w:instrText xml:space="preserve"> REF _Ref412102149 \r \h  \* MERGEFORMAT </w:instrText>
      </w:r>
      <w:r w:rsidR="0011373C">
        <w:fldChar w:fldCharType="separate"/>
      </w:r>
      <w:r w:rsidR="00692E23" w:rsidRPr="00692E23">
        <w:rPr>
          <w:rFonts w:cs="Arial"/>
          <w:bCs/>
        </w:rPr>
        <w:t>10.2</w:t>
      </w:r>
      <w:r w:rsidR="0011373C">
        <w:fldChar w:fldCharType="end"/>
      </w:r>
      <w:r w:rsidRPr="0060515B">
        <w:rPr>
          <w:rFonts w:cs="Arial"/>
          <w:bCs/>
        </w:rPr>
        <w:t xml:space="preserve"> „Beteiligte Marktpartner und Definitionen“ und die Objekte so, wie in der Prozessbeschreibung festgelegt, verwendet. Das bedeutet insbesondere, dass der Transportkunde in seiner Marktrolle als Lieferant an den Prozessen zur Mehr-/Mindermengenabrechnung beteiligt ist.</w:t>
      </w:r>
    </w:p>
    <w:p w14:paraId="1A56A5B3" w14:textId="50E032E5" w:rsidR="00E157A6" w:rsidRDefault="000A58FE" w:rsidP="00B23F11">
      <w:r w:rsidRPr="0060515B">
        <w:t xml:space="preserve">Die für die Mehr-/Mindermengenverfahren erforderlichen und jeweils gültigen </w:t>
      </w:r>
      <w:r w:rsidR="00D710D7">
        <w:t>Datenf</w:t>
      </w:r>
      <w:r w:rsidRPr="0060515B">
        <w:t xml:space="preserve">ormate werden auf der Plattform </w:t>
      </w:r>
      <w:proofErr w:type="spellStart"/>
      <w:r w:rsidRPr="0060515B">
        <w:t>EDI@Energy</w:t>
      </w:r>
      <w:proofErr w:type="spellEnd"/>
      <w:r w:rsidRPr="0060515B">
        <w:t xml:space="preserve"> veröffentlicht. Dort sind</w:t>
      </w:r>
      <w:r>
        <w:t xml:space="preserve"> ebenfalls</w:t>
      </w:r>
      <w:r w:rsidRPr="0060515B">
        <w:t xml:space="preserve"> die notwendigen Inhalte der Datenmeldungen beschrieben.</w:t>
      </w:r>
    </w:p>
    <w:p w14:paraId="091F8645" w14:textId="48475169" w:rsidR="00FF3030" w:rsidRDefault="00BC3F08" w:rsidP="00B23F11">
      <w:pPr>
        <w:pStyle w:val="berschrift2"/>
        <w:spacing w:before="480"/>
        <w:ind w:left="567" w:hanging="567"/>
      </w:pPr>
      <w:bookmarkStart w:id="2061" w:name="_Toc405803679"/>
      <w:bookmarkStart w:id="2062" w:name="_Toc410395185"/>
      <w:bookmarkStart w:id="2063" w:name="_Toc411597969"/>
      <w:bookmarkStart w:id="2064" w:name="_Ref412102149"/>
      <w:bookmarkStart w:id="2065" w:name="_Toc412661421"/>
      <w:r>
        <w:t xml:space="preserve"> </w:t>
      </w:r>
      <w:bookmarkStart w:id="2066" w:name="_Toc111118547"/>
      <w:r w:rsidR="000A58FE">
        <w:t>Beteiligte Marktpartner</w:t>
      </w:r>
      <w:bookmarkEnd w:id="2061"/>
      <w:r w:rsidR="000A58FE">
        <w:t xml:space="preserve"> und Definitionen</w:t>
      </w:r>
      <w:bookmarkEnd w:id="2062"/>
      <w:bookmarkEnd w:id="2063"/>
      <w:bookmarkEnd w:id="2064"/>
      <w:bookmarkEnd w:id="2065"/>
      <w:bookmarkEnd w:id="2066"/>
    </w:p>
    <w:p w14:paraId="196EA810" w14:textId="77777777" w:rsidR="00E157A6" w:rsidRDefault="000A58FE" w:rsidP="00B23F11">
      <w:pPr>
        <w:rPr>
          <w:u w:val="single"/>
        </w:rPr>
      </w:pPr>
      <w:r w:rsidRPr="00050EED">
        <w:rPr>
          <w:u w:val="single"/>
        </w:rPr>
        <w:t>Rollen</w:t>
      </w:r>
    </w:p>
    <w:p w14:paraId="45321A9F" w14:textId="774631FD" w:rsidR="00E157A6" w:rsidRDefault="000A58FE" w:rsidP="00B23F11">
      <w:pPr>
        <w:pStyle w:val="Aufzhlungszeichen"/>
        <w:contextualSpacing/>
      </w:pPr>
      <w:r>
        <w:t>Lieferant: LF</w:t>
      </w:r>
    </w:p>
    <w:p w14:paraId="2E341111" w14:textId="77777777" w:rsidR="00E157A6" w:rsidRDefault="000A58FE" w:rsidP="00B23F11">
      <w:pPr>
        <w:pStyle w:val="Aufzhlungszeichen"/>
        <w:contextualSpacing/>
      </w:pPr>
      <w:r>
        <w:t>Marktgebietsverantwortlicher: MGV</w:t>
      </w:r>
    </w:p>
    <w:p w14:paraId="1E7F81B5" w14:textId="77777777" w:rsidR="00E157A6" w:rsidRDefault="000A58FE" w:rsidP="00B23F11">
      <w:pPr>
        <w:pStyle w:val="Aufzhlungszeichen"/>
      </w:pPr>
      <w:r w:rsidRPr="00FB6636">
        <w:t>Netzbetreiber</w:t>
      </w:r>
      <w:r>
        <w:t>: NB</w:t>
      </w:r>
    </w:p>
    <w:p w14:paraId="1C9FD000" w14:textId="77777777" w:rsidR="000A58FE" w:rsidRPr="00E47A5B" w:rsidRDefault="000A58FE" w:rsidP="00B23F11">
      <w:pPr>
        <w:rPr>
          <w:u w:val="single"/>
        </w:rPr>
      </w:pPr>
      <w:r w:rsidRPr="00E47A5B">
        <w:rPr>
          <w:u w:val="single"/>
        </w:rPr>
        <w:t>Anwendungsmonat</w:t>
      </w:r>
    </w:p>
    <w:p w14:paraId="39FB6246" w14:textId="77777777" w:rsidR="00E157A6" w:rsidRDefault="000A58FE" w:rsidP="00B23F11">
      <w:r w:rsidRPr="00581793">
        <w:t>Der Anwendungsmonat ist der Monat, in dem der Mehr-/Mindermengenzeitraum endet.</w:t>
      </w:r>
    </w:p>
    <w:p w14:paraId="7BF5DBD6" w14:textId="77777777" w:rsidR="000A58FE" w:rsidRPr="00E47A5B" w:rsidRDefault="000A58FE" w:rsidP="00B23F11">
      <w:pPr>
        <w:rPr>
          <w:u w:val="single"/>
        </w:rPr>
      </w:pPr>
      <w:r w:rsidRPr="00E47A5B">
        <w:rPr>
          <w:u w:val="single"/>
        </w:rPr>
        <w:t>Bilanzierte Menge</w:t>
      </w:r>
    </w:p>
    <w:p w14:paraId="21FF9ABA" w14:textId="77777777" w:rsidR="00E157A6" w:rsidRDefault="000A58FE" w:rsidP="00B23F11">
      <w:r w:rsidRPr="00581793">
        <w:t xml:space="preserve">Die nach Abschluss des Clearingverfahrens tatsächlich dem Bilanzkreis bzw. Subbilanzkonto zugeordnete Menge. Dies entspricht der Allokation gemäß </w:t>
      </w:r>
      <w:proofErr w:type="spellStart"/>
      <w:r w:rsidRPr="00581793">
        <w:t>GasNZV</w:t>
      </w:r>
      <w:proofErr w:type="spellEnd"/>
      <w:r w:rsidRPr="00581793">
        <w:t>.</w:t>
      </w:r>
    </w:p>
    <w:p w14:paraId="65DFA051" w14:textId="77777777" w:rsidR="000A58FE" w:rsidRPr="00E47A5B" w:rsidRDefault="000A58FE" w:rsidP="00B23F11">
      <w:pPr>
        <w:rPr>
          <w:u w:val="single"/>
        </w:rPr>
      </w:pPr>
      <w:r w:rsidRPr="00E47A5B">
        <w:rPr>
          <w:u w:val="single"/>
        </w:rPr>
        <w:t>Bilanzierungszeitraum</w:t>
      </w:r>
    </w:p>
    <w:p w14:paraId="4F163FF5" w14:textId="77777777" w:rsidR="00E157A6" w:rsidRDefault="000A58FE" w:rsidP="00B23F11">
      <w:r w:rsidRPr="00581793">
        <w:t>Der Bilanzierungszeitraum ist das Zeitintervall für die bilanzierte Menge.</w:t>
      </w:r>
    </w:p>
    <w:p w14:paraId="23A06F80" w14:textId="77777777" w:rsidR="000A58FE" w:rsidRPr="00E47A5B" w:rsidRDefault="000A58FE" w:rsidP="00B23F11">
      <w:pPr>
        <w:rPr>
          <w:u w:val="single"/>
        </w:rPr>
      </w:pPr>
      <w:r w:rsidRPr="00E47A5B">
        <w:rPr>
          <w:u w:val="single"/>
        </w:rPr>
        <w:t>Entnahmemenge</w:t>
      </w:r>
    </w:p>
    <w:p w14:paraId="5CE23EA4" w14:textId="77777777" w:rsidR="00E157A6" w:rsidRDefault="000A58FE" w:rsidP="00B23F11">
      <w:r w:rsidRPr="00581793">
        <w:lastRenderedPageBreak/>
        <w:t>Die Entnahmemenge ist die Energiemenge, die im angegebenen Zeitintervall (=</w:t>
      </w:r>
      <w:r>
        <w:t> </w:t>
      </w:r>
      <w:r w:rsidRPr="00581793">
        <w:t>Netznutzungszeitraum) einem Netz direkt oder indirekt entnommen wurde.</w:t>
      </w:r>
    </w:p>
    <w:p w14:paraId="6E89FBCE" w14:textId="77777777" w:rsidR="000A58FE" w:rsidRPr="00E47A5B" w:rsidRDefault="000A58FE" w:rsidP="00B23F11">
      <w:pPr>
        <w:rPr>
          <w:u w:val="single"/>
        </w:rPr>
      </w:pPr>
      <w:r w:rsidRPr="00E47A5B">
        <w:rPr>
          <w:u w:val="single"/>
        </w:rPr>
        <w:t>Kalkulationsmonat</w:t>
      </w:r>
    </w:p>
    <w:p w14:paraId="3E8E130F" w14:textId="77777777" w:rsidR="00E157A6" w:rsidRDefault="000A58FE" w:rsidP="00B23F11">
      <w:r w:rsidRPr="00581793">
        <w:t xml:space="preserve">Im Kalkulationsmonat wird der </w:t>
      </w:r>
      <w:r>
        <w:t>Mehr-/Mindermengenp</w:t>
      </w:r>
      <w:r w:rsidRPr="00581793">
        <w:t>reis für den Anwendungsmonat ermittelt und veröffentlicht. Der Anwendungsmonat folgt auf den Kalkulationsmonat.</w:t>
      </w:r>
    </w:p>
    <w:p w14:paraId="0A8C5184" w14:textId="77777777" w:rsidR="000A58FE" w:rsidRPr="00E47A5B" w:rsidRDefault="000A58FE" w:rsidP="00B23F11">
      <w:pPr>
        <w:rPr>
          <w:u w:val="single"/>
        </w:rPr>
      </w:pPr>
      <w:r w:rsidRPr="00413420">
        <w:rPr>
          <w:u w:val="single"/>
        </w:rPr>
        <w:t>Mehr-/Mindermengenzeitraum</w:t>
      </w:r>
    </w:p>
    <w:p w14:paraId="441FF7CA" w14:textId="77777777" w:rsidR="000A58FE" w:rsidRPr="000F2E27" w:rsidRDefault="000A58FE" w:rsidP="00B23F11">
      <w:r w:rsidRPr="000F2E27">
        <w:t xml:space="preserve">Der Mehr-/Mindermengenzeitraum umfasst immer den Netznutzungszeitraum und den Bilanzierungszeitraum. Der Mehr-/Mindermengenzeitraum beginnt mit dem frühesten </w:t>
      </w:r>
      <w:proofErr w:type="spellStart"/>
      <w:r w:rsidRPr="000F2E27">
        <w:t>Beginnda</w:t>
      </w:r>
      <w:r w:rsidR="007C4D9E">
        <w:t>t</w:t>
      </w:r>
      <w:r w:rsidRPr="000F2E27">
        <w:t>um</w:t>
      </w:r>
      <w:proofErr w:type="spellEnd"/>
      <w:r w:rsidRPr="000F2E27">
        <w:t xml:space="preserve"> aus dem Netznutzungszeitraum und dem Bilanzierungszeitraum und endet mit dem spätesten Enddatum aus dem Netznutzungszeitraum und dem Bilanzierungszeitraum.</w:t>
      </w:r>
    </w:p>
    <w:p w14:paraId="1971DB20" w14:textId="77777777" w:rsidR="000A58FE" w:rsidRPr="000F2E27" w:rsidRDefault="000A58FE" w:rsidP="003C2438">
      <w:r w:rsidRPr="000F2E27">
        <w:t>Beispiel:</w:t>
      </w:r>
    </w:p>
    <w:p w14:paraId="3FF00CD4" w14:textId="77777777" w:rsidR="000A58FE" w:rsidRPr="000F2E27" w:rsidRDefault="000A58FE" w:rsidP="00EC3E04">
      <w:pPr>
        <w:contextualSpacing/>
      </w:pPr>
      <w:r w:rsidRPr="000F2E27">
        <w:t>Netznutzungszeitraum:</w:t>
      </w:r>
      <w:r w:rsidRPr="000F2E27">
        <w:tab/>
      </w:r>
      <w:r w:rsidRPr="000F2E27">
        <w:tab/>
        <w:t>07.01.2017 bis 14.12.2017</w:t>
      </w:r>
    </w:p>
    <w:p w14:paraId="7728EF50" w14:textId="77777777" w:rsidR="00126B0A" w:rsidRDefault="000A58FE" w:rsidP="00EC3E04">
      <w:pPr>
        <w:contextualSpacing/>
      </w:pPr>
      <w:r w:rsidRPr="000F2E27">
        <w:t>Bilanzierungszeitraum:</w:t>
      </w:r>
      <w:r w:rsidRPr="000F2E27">
        <w:tab/>
      </w:r>
      <w:r w:rsidRPr="000F2E27">
        <w:tab/>
        <w:t>01.02.2017 bis 31.12.2017</w:t>
      </w:r>
    </w:p>
    <w:p w14:paraId="7871C925" w14:textId="77777777" w:rsidR="00E157A6" w:rsidRDefault="000A58FE" w:rsidP="003C2438">
      <w:pPr>
        <w:spacing w:after="240"/>
      </w:pPr>
      <w:r w:rsidRPr="000F2E27">
        <w:t>Mehr-/Mindermengenzeitraum:</w:t>
      </w:r>
      <w:r w:rsidRPr="000F2E27">
        <w:tab/>
        <w:t>07.01.2017 bis 31.12.2017</w:t>
      </w:r>
    </w:p>
    <w:p w14:paraId="403E7EA9" w14:textId="77777777" w:rsidR="000A58FE" w:rsidRPr="00E47A5B" w:rsidRDefault="000A58FE" w:rsidP="003C2438">
      <w:pPr>
        <w:spacing w:before="240"/>
        <w:rPr>
          <w:u w:val="single"/>
        </w:rPr>
      </w:pPr>
      <w:r w:rsidRPr="00413420">
        <w:rPr>
          <w:u w:val="single"/>
        </w:rPr>
        <w:t>Netznutzungszeitraum</w:t>
      </w:r>
    </w:p>
    <w:p w14:paraId="388DFABA" w14:textId="1BDBF785" w:rsidR="00E157A6" w:rsidRDefault="000A58FE" w:rsidP="003C2438">
      <w:pPr>
        <w:spacing w:after="240"/>
      </w:pPr>
      <w:r w:rsidRPr="000F2E27">
        <w:t xml:space="preserve">Der Netznutzungszeitraum ist das Zeitintervall, in dem die angegebene Energiemenge an einer </w:t>
      </w:r>
      <w:r w:rsidR="00C0511E">
        <w:t xml:space="preserve">Marktlokation </w:t>
      </w:r>
      <w:r w:rsidRPr="000F2E27">
        <w:t>einem Netz direkt oder indirekt entnommen wurde.</w:t>
      </w:r>
    </w:p>
    <w:p w14:paraId="39D88989" w14:textId="730B10EB" w:rsidR="00FF3030" w:rsidRDefault="00BC3F08" w:rsidP="00776D7D">
      <w:pPr>
        <w:pStyle w:val="berschrift2"/>
        <w:spacing w:before="480"/>
        <w:ind w:left="567" w:hanging="567"/>
      </w:pPr>
      <w:bookmarkStart w:id="2067" w:name="_Toc405803680"/>
      <w:bookmarkStart w:id="2068" w:name="_Toc410395186"/>
      <w:bookmarkStart w:id="2069" w:name="_Toc411597970"/>
      <w:bookmarkStart w:id="2070" w:name="_Toc412661422"/>
      <w:r>
        <w:t xml:space="preserve"> </w:t>
      </w:r>
      <w:bookmarkStart w:id="2071" w:name="_Toc111118548"/>
      <w:r w:rsidR="000A58FE">
        <w:t>Rahmenbedingungen</w:t>
      </w:r>
      <w:bookmarkEnd w:id="2067"/>
      <w:bookmarkEnd w:id="2068"/>
      <w:bookmarkEnd w:id="2069"/>
      <w:bookmarkEnd w:id="2070"/>
      <w:bookmarkEnd w:id="2071"/>
    </w:p>
    <w:p w14:paraId="4321300D" w14:textId="77777777" w:rsidR="006E3950" w:rsidRDefault="000A58FE" w:rsidP="007F76BC">
      <w:pPr>
        <w:pStyle w:val="Listenabsatz"/>
        <w:numPr>
          <w:ilvl w:val="0"/>
          <w:numId w:val="53"/>
        </w:numPr>
        <w:ind w:left="357" w:hanging="357"/>
        <w:contextualSpacing w:val="0"/>
      </w:pPr>
      <w:r w:rsidRPr="0060515B">
        <w:t>Wenn in diesem Kapitel der Begriff „Bilanzkreis“ verwendet wird, so sind damit auch „Sub-Bilanzkonten“ gemeint.</w:t>
      </w:r>
    </w:p>
    <w:p w14:paraId="6B3D300C" w14:textId="5AF8A547" w:rsidR="006E3950" w:rsidRDefault="000A58FE" w:rsidP="007F76BC">
      <w:pPr>
        <w:pStyle w:val="Listenabsatz"/>
        <w:numPr>
          <w:ilvl w:val="0"/>
          <w:numId w:val="53"/>
        </w:numPr>
        <w:ind w:left="357" w:hanging="357"/>
        <w:contextualSpacing w:val="0"/>
        <w:rPr>
          <w:rFonts w:cs="Arial"/>
          <w:bCs/>
        </w:rPr>
      </w:pPr>
      <w:r>
        <w:t>Die</w:t>
      </w:r>
      <w:r w:rsidRPr="0060515B">
        <w:t xml:space="preserve"> Mehr-/Mindermengen werden immer gegenüber dem LF abgerechnet, auch wenn der Letztverbraucher seine Netznutzungsentgelte selbst entrichtet.</w:t>
      </w:r>
    </w:p>
    <w:p w14:paraId="25692795" w14:textId="5F236513" w:rsidR="006E3950" w:rsidRDefault="000A58FE" w:rsidP="007F76BC">
      <w:pPr>
        <w:pStyle w:val="Listenabsatz"/>
        <w:numPr>
          <w:ilvl w:val="0"/>
          <w:numId w:val="53"/>
        </w:numPr>
        <w:ind w:left="357" w:hanging="357"/>
        <w:contextualSpacing w:val="0"/>
        <w:rPr>
          <w:rFonts w:cs="Arial"/>
          <w:bCs/>
        </w:rPr>
      </w:pPr>
      <w:r w:rsidRPr="0060515B">
        <w:rPr>
          <w:rFonts w:cs="Arial"/>
          <w:bCs/>
        </w:rPr>
        <w:t xml:space="preserve">Für jede </w:t>
      </w:r>
      <w:r w:rsidR="0068011D">
        <w:t xml:space="preserve">Marktlokation </w:t>
      </w:r>
      <w:r w:rsidRPr="0060515B">
        <w:rPr>
          <w:rFonts w:cs="Arial"/>
          <w:bCs/>
        </w:rPr>
        <w:t>ist immer eine Mehr-/Mindermengenabrechnung durchzuführen. Dies gilt auch für</w:t>
      </w:r>
      <w:r w:rsidR="0068011D" w:rsidRPr="0068011D">
        <w:t xml:space="preserve"> </w:t>
      </w:r>
      <w:r w:rsidR="0068011D">
        <w:t>Marktlokationen</w:t>
      </w:r>
      <w:r w:rsidRPr="0060515B">
        <w:rPr>
          <w:rFonts w:cs="Arial"/>
          <w:bCs/>
        </w:rPr>
        <w:t>, die einem Biogasbilanzkreis zugeordnet sind.</w:t>
      </w:r>
    </w:p>
    <w:p w14:paraId="4E205645" w14:textId="77777777" w:rsidR="006E3950" w:rsidRDefault="000A58FE" w:rsidP="007F76BC">
      <w:pPr>
        <w:pStyle w:val="Listenabsatz"/>
        <w:numPr>
          <w:ilvl w:val="0"/>
          <w:numId w:val="53"/>
        </w:numPr>
        <w:ind w:left="357" w:hanging="357"/>
        <w:contextualSpacing w:val="0"/>
      </w:pPr>
      <w:r w:rsidRPr="0060515B">
        <w:t>Das Mehr-/Mindermengenabrechnungsverfahren ist unabhängig vom Ableseverfahren (Stichtagsablesung oder rollierende Ablesung).</w:t>
      </w:r>
    </w:p>
    <w:p w14:paraId="499A786C" w14:textId="6BE98289" w:rsidR="006E3950" w:rsidRDefault="000A58FE" w:rsidP="007F76BC">
      <w:pPr>
        <w:pStyle w:val="Listenabsatz"/>
        <w:numPr>
          <w:ilvl w:val="0"/>
          <w:numId w:val="53"/>
        </w:numPr>
        <w:ind w:left="357" w:hanging="357"/>
        <w:contextualSpacing w:val="0"/>
      </w:pPr>
      <w:r w:rsidRPr="0060515B">
        <w:t xml:space="preserve">Jede </w:t>
      </w:r>
      <w:r w:rsidR="0068011D">
        <w:t xml:space="preserve">Marktlokation </w:t>
      </w:r>
      <w:r w:rsidRPr="0060515B">
        <w:t>ist zu jedem Zeitpunkt genau einem LF zur Netznutzung und genau</w:t>
      </w:r>
      <w:r>
        <w:t xml:space="preserve"> </w:t>
      </w:r>
      <w:r w:rsidRPr="00595C33">
        <w:t xml:space="preserve">einem </w:t>
      </w:r>
      <w:r>
        <w:t>LF</w:t>
      </w:r>
      <w:r w:rsidRPr="00595C33">
        <w:t xml:space="preserve"> </w:t>
      </w:r>
      <w:r>
        <w:t>zur</w:t>
      </w:r>
      <w:r w:rsidRPr="00595C33">
        <w:t xml:space="preserve"> Bilanzierung zugeordnet. Die</w:t>
      </w:r>
      <w:r>
        <w:t xml:space="preserve"> Zeiträume für Netznutzung und Bilanzierung</w:t>
      </w:r>
      <w:r w:rsidRPr="00595C33">
        <w:t xml:space="preserve"> </w:t>
      </w:r>
      <w:r>
        <w:t xml:space="preserve">eines LF für den Zeitraum einer Mehr-/Mindermengenabrechnung </w:t>
      </w:r>
      <w:r w:rsidRPr="00595C33">
        <w:t>müssen nicht übereinstimmen.</w:t>
      </w:r>
    </w:p>
    <w:p w14:paraId="460A9B87" w14:textId="4EEB60EC" w:rsidR="006E3950" w:rsidRDefault="000A58FE" w:rsidP="007F76BC">
      <w:pPr>
        <w:pStyle w:val="Listenabsatz"/>
        <w:numPr>
          <w:ilvl w:val="0"/>
          <w:numId w:val="53"/>
        </w:numPr>
        <w:ind w:left="357" w:hanging="357"/>
        <w:contextualSpacing w:val="0"/>
      </w:pPr>
      <w:r>
        <w:t>Je</w:t>
      </w:r>
      <w:r w:rsidRPr="00595C33">
        <w:t xml:space="preserve"> </w:t>
      </w:r>
      <w:r w:rsidR="0068011D">
        <w:t xml:space="preserve">Marktlokation </w:t>
      </w:r>
      <w:r w:rsidRPr="00595C33">
        <w:t xml:space="preserve">sind die Stammdaten wie </w:t>
      </w:r>
      <w:r>
        <w:t xml:space="preserve">z. B. </w:t>
      </w:r>
      <w:r w:rsidRPr="00595C33">
        <w:t>die Lastprofilzuordnung (</w:t>
      </w:r>
      <w:r>
        <w:t xml:space="preserve">soweit zutreffend </w:t>
      </w:r>
      <w:r w:rsidRPr="00595C33">
        <w:t>inkl. zugeordnete</w:t>
      </w:r>
      <w:r>
        <w:t>r</w:t>
      </w:r>
      <w:r w:rsidRPr="00595C33">
        <w:t xml:space="preserve"> Temperaturmessstelle und </w:t>
      </w:r>
      <w:r>
        <w:t>Jahresverbrauchsprognose</w:t>
      </w:r>
      <w:r w:rsidRPr="00595C33">
        <w:t>/Kunden</w:t>
      </w:r>
      <w:r w:rsidR="00D12D83">
        <w:t>-</w:t>
      </w:r>
      <w:r w:rsidRPr="00595C33">
        <w:t xml:space="preserve">wert) zugeordnet sowie mit den </w:t>
      </w:r>
      <w:r>
        <w:t xml:space="preserve">LF </w:t>
      </w:r>
      <w:r w:rsidRPr="00595C33">
        <w:t xml:space="preserve">fristgerecht </w:t>
      </w:r>
      <w:r>
        <w:t xml:space="preserve">gemäß </w:t>
      </w:r>
      <w:r w:rsidR="00D710D7">
        <w:t>der</w:t>
      </w:r>
      <w:r>
        <w:t xml:space="preserve"> Festlegung der BNetzA (BK7-06-67 "</w:t>
      </w:r>
      <w:proofErr w:type="spellStart"/>
      <w:r w:rsidRPr="00595C33">
        <w:t>GeLi</w:t>
      </w:r>
      <w:proofErr w:type="spellEnd"/>
      <w:r>
        <w:t xml:space="preserve"> </w:t>
      </w:r>
      <w:r w:rsidRPr="00595C33">
        <w:t>Gas</w:t>
      </w:r>
      <w:r>
        <w:t>")</w:t>
      </w:r>
      <w:r w:rsidRPr="00595C33">
        <w:t xml:space="preserve"> ausgetauscht und abgestimmt.</w:t>
      </w:r>
    </w:p>
    <w:p w14:paraId="1FFD7126" w14:textId="77777777" w:rsidR="006E3950" w:rsidRDefault="000A58FE" w:rsidP="007F76BC">
      <w:pPr>
        <w:pStyle w:val="Listenabsatz"/>
        <w:numPr>
          <w:ilvl w:val="0"/>
          <w:numId w:val="53"/>
        </w:numPr>
        <w:ind w:left="357" w:hanging="357"/>
        <w:contextualSpacing w:val="0"/>
      </w:pPr>
      <w:r>
        <w:lastRenderedPageBreak/>
        <w:t>Eine Anpassung der Jahresverbrauchsprognose sowie vergleichbarer Größen, wie der Kundenwert, ist, wie alle anderen Stammdatenänderungen auch, ausschließlich über elektronische Stammdatenänderungsmeldungen vorzunehmen (siehe zusätzlich auch die o. g. Festlegung der BNetzA).</w:t>
      </w:r>
    </w:p>
    <w:p w14:paraId="58EA6FE2" w14:textId="77777777" w:rsidR="006E3950" w:rsidRDefault="000A58FE" w:rsidP="007F76BC">
      <w:pPr>
        <w:pStyle w:val="Listenabsatz"/>
        <w:numPr>
          <w:ilvl w:val="0"/>
          <w:numId w:val="53"/>
        </w:numPr>
        <w:ind w:left="357" w:hanging="357"/>
        <w:contextualSpacing w:val="0"/>
      </w:pPr>
      <w:r>
        <w:t>Wenn in diesem Kapitel der Begriff „Rechnung“ verwendet wird, so sind damit auch die Fälle gemeint, die aus steuerrechtlichen Gründen als Gutschrift zu bezeichnen sind.</w:t>
      </w:r>
    </w:p>
    <w:p w14:paraId="34D309F8" w14:textId="0A94F72B" w:rsidR="00FF3030" w:rsidRDefault="00BC3F08" w:rsidP="00776D7D">
      <w:pPr>
        <w:pStyle w:val="berschrift2"/>
        <w:spacing w:before="480"/>
        <w:ind w:left="567" w:hanging="567"/>
      </w:pPr>
      <w:bookmarkStart w:id="2072" w:name="_Toc405803681"/>
      <w:bookmarkStart w:id="2073" w:name="_Toc410395187"/>
      <w:bookmarkStart w:id="2074" w:name="_Toc411597971"/>
      <w:bookmarkStart w:id="2075" w:name="_Toc412661423"/>
      <w:r>
        <w:t xml:space="preserve"> </w:t>
      </w:r>
      <w:bookmarkStart w:id="2076" w:name="_Toc111118549"/>
      <w:r w:rsidR="000A58FE">
        <w:t>Grundlagen der Mehr-/Mindermengenabrechnung</w:t>
      </w:r>
      <w:bookmarkEnd w:id="2072"/>
      <w:bookmarkEnd w:id="2073"/>
      <w:bookmarkEnd w:id="2074"/>
      <w:bookmarkEnd w:id="2075"/>
      <w:bookmarkEnd w:id="2076"/>
    </w:p>
    <w:p w14:paraId="1F3232E8" w14:textId="77777777" w:rsidR="000A58FE" w:rsidRPr="0060515B" w:rsidRDefault="000A58FE" w:rsidP="00372A70">
      <w:pPr>
        <w:rPr>
          <w:rFonts w:cs="Arial"/>
          <w:bCs/>
        </w:rPr>
      </w:pPr>
      <w:r w:rsidRPr="0060515B">
        <w:rPr>
          <w:rFonts w:cs="Arial"/>
          <w:bCs/>
        </w:rPr>
        <w:t>Die gesetzliche Grundlage für die Mehr</w:t>
      </w:r>
      <w:r w:rsidR="008F0645">
        <w:rPr>
          <w:rFonts w:cs="Arial"/>
          <w:bCs/>
        </w:rPr>
        <w:t>-/Mindermengenabrechnung ist in</w:t>
      </w:r>
      <w:r w:rsidRPr="0060515B">
        <w:rPr>
          <w:rFonts w:cs="Arial"/>
          <w:bCs/>
        </w:rPr>
        <w:t xml:space="preserve"> der Gasnetzzugangsverordnung beschrieben.</w:t>
      </w:r>
    </w:p>
    <w:p w14:paraId="63D7B084" w14:textId="5A433D3B" w:rsidR="000A58FE" w:rsidRPr="0060515B" w:rsidRDefault="000A58FE" w:rsidP="00372A70">
      <w:pPr>
        <w:rPr>
          <w:rFonts w:cs="Arial"/>
          <w:bCs/>
        </w:rPr>
      </w:pPr>
      <w:r w:rsidRPr="0060515B">
        <w:rPr>
          <w:rFonts w:cs="Arial"/>
          <w:bCs/>
        </w:rPr>
        <w:t xml:space="preserve">Mehr- oder Mindermengen ergeben sich aus der Differenz der bilanzierten Menge für eine </w:t>
      </w:r>
      <w:r w:rsidR="00F553AD">
        <w:t xml:space="preserve">Marktlokation </w:t>
      </w:r>
      <w:r w:rsidRPr="0060515B">
        <w:rPr>
          <w:rFonts w:cs="Arial"/>
          <w:bCs/>
        </w:rPr>
        <w:t xml:space="preserve">und dem tatsächlichen Verbrauch der jeweiligen </w:t>
      </w:r>
      <w:r w:rsidR="00F553AD">
        <w:t xml:space="preserve">Marktlokation </w:t>
      </w:r>
      <w:r w:rsidRPr="0060515B">
        <w:rPr>
          <w:rFonts w:cs="Arial"/>
          <w:bCs/>
        </w:rPr>
        <w:t>für einen definierten Zeitraum.</w:t>
      </w:r>
    </w:p>
    <w:p w14:paraId="649BA7AB" w14:textId="77777777" w:rsidR="000A58FE" w:rsidRPr="0060515B" w:rsidRDefault="000A58FE" w:rsidP="00372A70">
      <w:pPr>
        <w:rPr>
          <w:rFonts w:cs="Arial"/>
          <w:bCs/>
        </w:rPr>
      </w:pPr>
      <w:r w:rsidRPr="0060515B">
        <w:rPr>
          <w:rFonts w:cs="Arial"/>
          <w:bCs/>
        </w:rPr>
        <w:t>Es wird zwischen Mehr- und Mindermengen unterschieden:</w:t>
      </w:r>
    </w:p>
    <w:p w14:paraId="427C44A8" w14:textId="6090F88B" w:rsidR="006E3950" w:rsidRDefault="000A58FE" w:rsidP="007F76BC">
      <w:pPr>
        <w:pStyle w:val="Listenabsatz"/>
        <w:numPr>
          <w:ilvl w:val="0"/>
          <w:numId w:val="50"/>
        </w:numPr>
        <w:contextualSpacing w:val="0"/>
        <w:rPr>
          <w:rFonts w:cs="Arial"/>
          <w:bCs/>
        </w:rPr>
      </w:pPr>
      <w:r w:rsidRPr="0060515B">
        <w:rPr>
          <w:rFonts w:cs="Arial"/>
          <w:bCs/>
        </w:rPr>
        <w:t xml:space="preserve">Mehrmengen entstehen innerhalb des </w:t>
      </w:r>
      <w:r w:rsidRPr="0060515B">
        <w:t>Mehr-/Mindermengenzeitraums</w:t>
      </w:r>
      <w:r w:rsidRPr="0060515B" w:rsidDel="002D469A">
        <w:rPr>
          <w:rFonts w:cs="Arial"/>
          <w:bCs/>
        </w:rPr>
        <w:t xml:space="preserve"> </w:t>
      </w:r>
      <w:r w:rsidRPr="0060515B">
        <w:rPr>
          <w:rFonts w:cs="Arial"/>
          <w:bCs/>
        </w:rPr>
        <w:t xml:space="preserve">als Differenzmenge, sofern die an der </w:t>
      </w:r>
      <w:r w:rsidR="00F553AD">
        <w:t xml:space="preserve">Marktlokation </w:t>
      </w:r>
      <w:r w:rsidRPr="0060515B">
        <w:rPr>
          <w:rFonts w:cs="Arial"/>
          <w:bCs/>
        </w:rPr>
        <w:t>ausgespeiste Energiemenge niedriger ist als die Energiemenge, die vom NB in den Bilanzkreis allokiert wurde. In diesem Fall ist die Mehrmenge ein positiver Wert.</w:t>
      </w:r>
    </w:p>
    <w:p w14:paraId="3462AC56" w14:textId="349BCCDB" w:rsidR="006E3950" w:rsidRDefault="000A58FE" w:rsidP="007F76BC">
      <w:pPr>
        <w:pStyle w:val="Listenabsatz"/>
        <w:numPr>
          <w:ilvl w:val="0"/>
          <w:numId w:val="50"/>
        </w:numPr>
        <w:contextualSpacing w:val="0"/>
        <w:rPr>
          <w:rFonts w:cs="Arial"/>
          <w:bCs/>
        </w:rPr>
      </w:pPr>
      <w:r w:rsidRPr="0060515B">
        <w:rPr>
          <w:rFonts w:cs="Arial"/>
          <w:bCs/>
        </w:rPr>
        <w:t xml:space="preserve">Mindermengen entstehen innerhalb des </w:t>
      </w:r>
      <w:r w:rsidRPr="0060515B">
        <w:t>Mehr-/Mindermengenzeitraums</w:t>
      </w:r>
      <w:r w:rsidRPr="0060515B" w:rsidDel="00177DFD">
        <w:rPr>
          <w:rFonts w:cs="Arial"/>
          <w:bCs/>
        </w:rPr>
        <w:t xml:space="preserve"> </w:t>
      </w:r>
      <w:r w:rsidRPr="0060515B">
        <w:rPr>
          <w:rFonts w:cs="Arial"/>
          <w:bCs/>
        </w:rPr>
        <w:t xml:space="preserve">als Differenzmenge, sofern die an der </w:t>
      </w:r>
      <w:r w:rsidR="00F553AD">
        <w:t xml:space="preserve">Marktlokation </w:t>
      </w:r>
      <w:r w:rsidRPr="0060515B">
        <w:rPr>
          <w:rFonts w:cs="Arial"/>
          <w:bCs/>
        </w:rPr>
        <w:t>ausgespeiste Energiemenge höher ist als die Energiemenge</w:t>
      </w:r>
      <w:r w:rsidR="00F24E99">
        <w:rPr>
          <w:rFonts w:cs="Arial"/>
          <w:bCs/>
        </w:rPr>
        <w:t>,</w:t>
      </w:r>
      <w:r w:rsidRPr="0060515B">
        <w:rPr>
          <w:rFonts w:cs="Arial"/>
          <w:bCs/>
        </w:rPr>
        <w:t xml:space="preserve"> die vom NB in den Bilanzkreis allokiert wurde. In diesem Fall ist die Mindermenge ein negativer Wert.</w:t>
      </w:r>
    </w:p>
    <w:p w14:paraId="487A27C6" w14:textId="77777777" w:rsidR="00E157A6" w:rsidRDefault="005C552B" w:rsidP="003C2438">
      <w:pPr>
        <w:keepNext/>
        <w:spacing w:after="360"/>
      </w:pPr>
      <w:r>
        <w:rPr>
          <w:noProof/>
          <w:sz w:val="16"/>
        </w:rPr>
        <w:drawing>
          <wp:inline distT="0" distB="0" distL="0" distR="0" wp14:anchorId="2C91190F" wp14:editId="557B27FE">
            <wp:extent cx="5756380" cy="2514600"/>
            <wp:effectExtent l="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6" cstate="print"/>
                    <a:srcRect b="11728"/>
                    <a:stretch/>
                  </pic:blipFill>
                  <pic:spPr bwMode="auto">
                    <a:xfrm>
                      <a:off x="0" y="0"/>
                      <a:ext cx="5760720" cy="2516496"/>
                    </a:xfrm>
                    <a:prstGeom prst="rect">
                      <a:avLst/>
                    </a:prstGeom>
                    <a:noFill/>
                    <a:ln>
                      <a:noFill/>
                    </a:ln>
                    <a:extLst>
                      <a:ext uri="{53640926-AAD7-44D8-BBD7-CCE9431645EC}">
                        <a14:shadowObscured xmlns:a14="http://schemas.microsoft.com/office/drawing/2010/main"/>
                      </a:ext>
                    </a:extLst>
                  </pic:spPr>
                </pic:pic>
              </a:graphicData>
            </a:graphic>
          </wp:inline>
        </w:drawing>
      </w:r>
    </w:p>
    <w:p w14:paraId="1154AA2E" w14:textId="35B8C424" w:rsidR="000A58FE" w:rsidRPr="008A6CA3" w:rsidRDefault="000A58FE" w:rsidP="00372A70">
      <w:pPr>
        <w:spacing w:before="360" w:after="240"/>
        <w:rPr>
          <w:b/>
        </w:rPr>
      </w:pPr>
      <w:bookmarkStart w:id="2077" w:name="_Toc411598065"/>
      <w:bookmarkStart w:id="2078" w:name="_Toc412562679"/>
      <w:bookmarkStart w:id="2079" w:name="_Toc437530354"/>
      <w:bookmarkStart w:id="2080" w:name="_Toc111118624"/>
      <w:bookmarkStart w:id="2081" w:name="_Toc111196170"/>
      <w:r w:rsidRPr="008A6CA3">
        <w:rPr>
          <w:b/>
        </w:rPr>
        <w:t xml:space="preserve">Abbildung </w:t>
      </w:r>
      <w:r w:rsidR="00561FFA" w:rsidRPr="008A6CA3">
        <w:rPr>
          <w:b/>
        </w:rPr>
        <w:fldChar w:fldCharType="begin"/>
      </w:r>
      <w:r w:rsidRPr="008A6CA3">
        <w:rPr>
          <w:b/>
        </w:rPr>
        <w:instrText xml:space="preserve"> SEQ Abbildung \* ARABIC </w:instrText>
      </w:r>
      <w:r w:rsidR="00561FFA" w:rsidRPr="008A6CA3">
        <w:rPr>
          <w:b/>
        </w:rPr>
        <w:fldChar w:fldCharType="separate"/>
      </w:r>
      <w:r w:rsidR="007A098D">
        <w:rPr>
          <w:b/>
          <w:noProof/>
        </w:rPr>
        <w:t>41</w:t>
      </w:r>
      <w:r w:rsidR="00561FFA" w:rsidRPr="008A6CA3">
        <w:rPr>
          <w:b/>
        </w:rPr>
        <w:fldChar w:fldCharType="end"/>
      </w:r>
      <w:r w:rsidRPr="008A6CA3">
        <w:rPr>
          <w:b/>
        </w:rPr>
        <w:t>: Erläuterung Mehr-/Mindermenge</w:t>
      </w:r>
      <w:bookmarkEnd w:id="2077"/>
      <w:bookmarkEnd w:id="2078"/>
      <w:bookmarkEnd w:id="2079"/>
      <w:bookmarkEnd w:id="2080"/>
      <w:bookmarkEnd w:id="2081"/>
    </w:p>
    <w:p w14:paraId="7811529E" w14:textId="580EB7A9" w:rsidR="00E157A6" w:rsidRDefault="000A58FE" w:rsidP="003C2438">
      <w:r w:rsidRPr="0060515B">
        <w:lastRenderedPageBreak/>
        <w:t xml:space="preserve">Mehr-/Mindermengen sind nicht prognostizierbar, da sie u. a. vom Verbrauchsverhalten des Kunden, der Güte des zugeordneten Lastprofils und von der Prognosegüte der Anbieter von Temperaturdaten abhängen. Mehr-/Mindermengen können erst ermittelt werden, nachdem der Verbrauch des Kunden an der </w:t>
      </w:r>
      <w:r w:rsidR="00F553AD">
        <w:t xml:space="preserve">Marktlokation </w:t>
      </w:r>
      <w:r w:rsidRPr="0060515B">
        <w:t>festgestellt wurde.</w:t>
      </w:r>
    </w:p>
    <w:p w14:paraId="4B9B622C" w14:textId="77777777" w:rsidR="00FF3030" w:rsidRDefault="000A58FE" w:rsidP="00372A70">
      <w:pPr>
        <w:pStyle w:val="berschrift2"/>
        <w:spacing w:before="480"/>
        <w:ind w:left="567" w:hanging="567"/>
      </w:pPr>
      <w:bookmarkStart w:id="2082" w:name="_Toc405803682"/>
      <w:r>
        <w:t xml:space="preserve"> </w:t>
      </w:r>
      <w:bookmarkStart w:id="2083" w:name="_Toc410395188"/>
      <w:bookmarkStart w:id="2084" w:name="_Toc411597972"/>
      <w:bookmarkStart w:id="2085" w:name="_Toc412661424"/>
      <w:bookmarkStart w:id="2086" w:name="_Toc111118550"/>
      <w:r>
        <w:t>Mengenermittlung</w:t>
      </w:r>
      <w:bookmarkEnd w:id="2082"/>
      <w:bookmarkEnd w:id="2083"/>
      <w:bookmarkEnd w:id="2084"/>
      <w:bookmarkEnd w:id="2085"/>
      <w:bookmarkEnd w:id="2086"/>
    </w:p>
    <w:p w14:paraId="231205AE" w14:textId="77777777" w:rsidR="00E157A6" w:rsidRDefault="000A58FE" w:rsidP="00372A70">
      <w:pPr>
        <w:pStyle w:val="berschrift3"/>
        <w:tabs>
          <w:tab w:val="num" w:pos="1134"/>
        </w:tabs>
        <w:spacing w:before="480"/>
        <w:ind w:left="1146" w:hanging="1106"/>
      </w:pPr>
      <w:bookmarkStart w:id="2087" w:name="_Toc410395189"/>
      <w:bookmarkStart w:id="2088" w:name="_Toc411597973"/>
      <w:bookmarkStart w:id="2089" w:name="_Toc412661425"/>
      <w:bookmarkStart w:id="2090" w:name="_Toc111118551"/>
      <w:bookmarkStart w:id="2091" w:name="_Toc388475573"/>
      <w:r>
        <w:t>Rundungsdifferenzen</w:t>
      </w:r>
      <w:bookmarkEnd w:id="2087"/>
      <w:bookmarkEnd w:id="2088"/>
      <w:bookmarkEnd w:id="2089"/>
      <w:bookmarkEnd w:id="2090"/>
    </w:p>
    <w:p w14:paraId="0570B9EF" w14:textId="0FE98411" w:rsidR="00E157A6" w:rsidRDefault="000A58FE" w:rsidP="003C2438">
      <w:r>
        <w:t>Der NB kann entweder Tageswerte, strukturierte Stundenwerte oder ein Tagesband als Allokationsdaten an den MGV senden. Im Falle eines Tageswertes dividiert der MGV diesen durch 24 (ggf. 23 oder 25 bei Sommer-/Winterzeitumstellung) und erzeugt daraus ein Tagesband. Falls der NB Stundenwerte liefert, addiert der MGV diese 24 (ggf. 23 oder 25 bei Sommer-/Winterzeitumstellung) Stundenwerte und dividiert sie durch 24 (ggf. 23 oder 25 bei Sommer-/Winterzeitumstellung) für die Bildung des Tagesbandes. Bei diesem Rechenverfahren fallen Rundungsdifferenzen an, die akzeptiert werden. Der NB ist nicht verpflichtet, exakt die gleichen Werte wie der MGV als Allokationsdaten in seinen Systemen zu pflegen. Nur im Falle einer Ersatzallokation übernimmt der NB am Tag D-1 die für den Tag D zugesandten Ersatzwerte des MGV.</w:t>
      </w:r>
    </w:p>
    <w:p w14:paraId="5099B182" w14:textId="77777777" w:rsidR="00E157A6" w:rsidRDefault="000A58FE" w:rsidP="00372A70">
      <w:pPr>
        <w:pStyle w:val="berschrift3"/>
        <w:tabs>
          <w:tab w:val="num" w:pos="1134"/>
        </w:tabs>
        <w:spacing w:before="480"/>
        <w:ind w:left="1146" w:hanging="1106"/>
      </w:pPr>
      <w:bookmarkStart w:id="2092" w:name="_Toc405803683"/>
      <w:bookmarkStart w:id="2093" w:name="_Toc410395190"/>
      <w:bookmarkStart w:id="2094" w:name="_Toc411597974"/>
      <w:bookmarkStart w:id="2095" w:name="_Toc412661426"/>
      <w:bookmarkStart w:id="2096" w:name="_Toc111118552"/>
      <w:r w:rsidRPr="00CF37BE">
        <w:t>Umgang mit Allokationsersatzwerten des MGV durch den NB</w:t>
      </w:r>
      <w:bookmarkEnd w:id="2091"/>
      <w:bookmarkEnd w:id="2092"/>
      <w:bookmarkEnd w:id="2093"/>
      <w:bookmarkEnd w:id="2094"/>
      <w:bookmarkEnd w:id="2095"/>
      <w:bookmarkEnd w:id="2096"/>
    </w:p>
    <w:p w14:paraId="333B9E18" w14:textId="0C7C298A" w:rsidR="000A58FE" w:rsidRDefault="000A58FE" w:rsidP="003C2438">
      <w:r w:rsidRPr="00BF755D">
        <w:t>Im Folgenden wird dargestellt, wie der Umgang mit Allokationsdifferenzen zu erfolgen hat.</w:t>
      </w:r>
    </w:p>
    <w:p w14:paraId="112CDEB4" w14:textId="60382FE5" w:rsidR="000A58FE" w:rsidRPr="00BF755D" w:rsidRDefault="000A58FE" w:rsidP="003C2438">
      <w:r w:rsidRPr="00BF755D">
        <w:t xml:space="preserve">Durch den vom MGV für den Tag D für den Bilanzkreis gebildeten Allokationsersatzwert entsteht systembedingt eine Differenz zwischen dem vom MGV gebildeten Allokationsersatzwert für </w:t>
      </w:r>
      <w:r>
        <w:t xml:space="preserve">den </w:t>
      </w:r>
      <w:r w:rsidRPr="00BF755D">
        <w:t xml:space="preserve">Tag D des </w:t>
      </w:r>
      <w:r w:rsidRPr="009507DC">
        <w:t>Bilanzkreises</w:t>
      </w:r>
      <w:r w:rsidRPr="00BF755D">
        <w:t xml:space="preserve"> und </w:t>
      </w:r>
      <w:r>
        <w:t>der</w:t>
      </w:r>
      <w:r w:rsidRPr="009507DC">
        <w:t xml:space="preserve"> </w:t>
      </w:r>
      <w:r w:rsidRPr="00BF755D">
        <w:t xml:space="preserve">vom NB für den Tag D ermittelten Allokation für den Bilanzkreis, die vom MGV gemäß </w:t>
      </w:r>
      <w:r w:rsidR="007652D4">
        <w:t xml:space="preserve">Kap. </w:t>
      </w:r>
      <w:r w:rsidR="0011373C">
        <w:fldChar w:fldCharType="begin"/>
      </w:r>
      <w:r w:rsidR="0011373C">
        <w:instrText xml:space="preserve"> REF _Ref412102275 \r \h  \* MERGEFORMAT </w:instrText>
      </w:r>
      <w:r w:rsidR="0011373C">
        <w:fldChar w:fldCharType="separate"/>
      </w:r>
      <w:r w:rsidR="00692E23">
        <w:t>5.5.1.4</w:t>
      </w:r>
      <w:r w:rsidR="0011373C">
        <w:fldChar w:fldCharType="end"/>
      </w:r>
      <w:r w:rsidRPr="00BF755D">
        <w:t xml:space="preserve"> </w:t>
      </w:r>
      <w:r>
        <w:t xml:space="preserve">nicht berücksichtigt </w:t>
      </w:r>
      <w:r w:rsidRPr="00536DD7">
        <w:t>wurde</w:t>
      </w:r>
      <w:r w:rsidRPr="00BF755D">
        <w:t>.</w:t>
      </w:r>
    </w:p>
    <w:p w14:paraId="01686D05" w14:textId="5DD396E6" w:rsidR="000A58FE" w:rsidRPr="00BF755D" w:rsidRDefault="000A58FE" w:rsidP="003C2438">
      <w:r w:rsidRPr="007A4C46">
        <w:t>D</w:t>
      </w:r>
      <w:r>
        <w:t>er</w:t>
      </w:r>
      <w:r w:rsidRPr="007A4C46">
        <w:t xml:space="preserve"> </w:t>
      </w:r>
      <w:r w:rsidRPr="00DF7032">
        <w:t>Allokations</w:t>
      </w:r>
      <w:r>
        <w:t>e</w:t>
      </w:r>
      <w:r w:rsidRPr="00DF7032">
        <w:t xml:space="preserve">rsatzwert des MGV </w:t>
      </w:r>
      <w:r w:rsidRPr="007A4C46">
        <w:t xml:space="preserve">für den Tag D des Bilanzkreises </w:t>
      </w:r>
      <w:r>
        <w:t>muss</w:t>
      </w:r>
      <w:r w:rsidRPr="00DF7032">
        <w:t xml:space="preserve"> vom NB</w:t>
      </w:r>
      <w:r>
        <w:t xml:space="preserve"> übernommen sowie</w:t>
      </w:r>
      <w:r w:rsidRPr="00DF7032">
        <w:t xml:space="preserve"> transparent und nachvollziehbar </w:t>
      </w:r>
      <w:r w:rsidRPr="007A4C46">
        <w:t xml:space="preserve">für den Tag D </w:t>
      </w:r>
      <w:r w:rsidRPr="00DF7032">
        <w:t xml:space="preserve">auf die einzelnen </w:t>
      </w:r>
      <w:r w:rsidR="00F553AD">
        <w:t>Marktlokation</w:t>
      </w:r>
      <w:r w:rsidR="0030651D">
        <w:t>en</w:t>
      </w:r>
      <w:r w:rsidR="00F553AD">
        <w:t xml:space="preserve"> </w:t>
      </w:r>
      <w:r w:rsidRPr="00DF7032">
        <w:t>aufgeteilt werden</w:t>
      </w:r>
      <w:r w:rsidRPr="00BF755D">
        <w:t xml:space="preserve">, die am Tag D diesem Bilanzkreis zugeordnet sind. Dies bedeutet, dass der NB eine mengengewichtete Anpassung </w:t>
      </w:r>
      <w:r w:rsidR="007C1D32" w:rsidRPr="00BF755D">
        <w:t xml:space="preserve">der </w:t>
      </w:r>
      <w:r w:rsidR="007C1D32">
        <w:t>marktlokationsscharf</w:t>
      </w:r>
      <w:r w:rsidR="00F553AD">
        <w:t xml:space="preserve"> </w:t>
      </w:r>
      <w:r w:rsidRPr="00BF755D">
        <w:t>bilanzierten Mengen vorzunehmen hat.</w:t>
      </w:r>
    </w:p>
    <w:p w14:paraId="1E2B1330" w14:textId="125250CD" w:rsidR="00E157A6" w:rsidRDefault="000A58FE" w:rsidP="003C2438">
      <w:pPr>
        <w:rPr>
          <w:b/>
        </w:rPr>
      </w:pPr>
      <w:r w:rsidRPr="00BF755D">
        <w:t xml:space="preserve">Die </w:t>
      </w:r>
      <w:r w:rsidR="00F553AD">
        <w:t>marktlokations</w:t>
      </w:r>
      <w:r w:rsidR="00F553AD" w:rsidRPr="00BF755D">
        <w:t>scharfe</w:t>
      </w:r>
      <w:r w:rsidRPr="00BF755D">
        <w:t xml:space="preserve"> Aufteilung des Allokationsersatzwertes erfolgt über die Anwendung des nachfolgend definierten Ersatzwertfaktors.</w:t>
      </w:r>
    </w:p>
    <w:p w14:paraId="758BDF05" w14:textId="77777777" w:rsidR="000A58FE" w:rsidRPr="002E6E17" w:rsidRDefault="000A58FE" w:rsidP="003C2438">
      <w:pPr>
        <w:rPr>
          <w:b/>
        </w:rPr>
      </w:pPr>
      <w:r w:rsidRPr="002E6E17">
        <w:rPr>
          <w:b/>
        </w:rPr>
        <w:t>Definition Ersatzwertfaktor</w:t>
      </w:r>
    </w:p>
    <w:p w14:paraId="11F7AC35" w14:textId="77777777" w:rsidR="000A58FE" w:rsidRPr="000E5DE5" w:rsidRDefault="000A58FE" w:rsidP="003C2438">
      <w:pPr>
        <w:rPr>
          <w:rFonts w:cstheme="minorHAnsi"/>
        </w:rPr>
      </w:pPr>
      <w:r w:rsidRPr="000465EB">
        <w:t>Der Ersatzwertfaktor für einen Bilan</w:t>
      </w:r>
      <w:r>
        <w:t>z</w:t>
      </w:r>
      <w:r w:rsidRPr="000465EB">
        <w:t xml:space="preserve">kreis </w:t>
      </w:r>
      <w:r>
        <w:t xml:space="preserve">BK </w:t>
      </w:r>
      <w:r w:rsidRPr="000465EB">
        <w:t xml:space="preserve">an einem Tag D ergibt sich durch </w:t>
      </w:r>
      <w:r>
        <w:t xml:space="preserve">Division des </w:t>
      </w:r>
      <w:r w:rsidRPr="000E5DE5">
        <w:rPr>
          <w:rFonts w:cstheme="minorHAnsi"/>
        </w:rPr>
        <w:t>Allokationsersatzwertes für diesen Bilanzkreis</w:t>
      </w:r>
      <w:r>
        <w:rPr>
          <w:rFonts w:cstheme="minorHAnsi"/>
        </w:rPr>
        <w:t xml:space="preserve"> BK</w:t>
      </w:r>
      <w:r w:rsidRPr="000E5DE5">
        <w:rPr>
          <w:rFonts w:cstheme="minorHAnsi"/>
        </w:rPr>
        <w:t xml:space="preserve"> am Tag D (</w:t>
      </w:r>
      <m:oMath>
        <m:sSub>
          <m:sSubPr>
            <m:ctrlPr>
              <w:rPr>
                <w:rFonts w:ascii="Cambria Math" w:hAnsi="Cambria Math" w:cstheme="minorHAnsi"/>
                <w:i/>
              </w:rPr>
            </m:ctrlPr>
          </m:sSubPr>
          <m:e>
            <m:r>
              <w:rPr>
                <w:rFonts w:ascii="Cambria Math" w:hAnsi="Cambria Math" w:cstheme="minorHAnsi"/>
              </w:rPr>
              <m:t>Allokationsersatzwert</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r w:rsidR="00561FFA" w:rsidRPr="000E5DE5">
        <w:rPr>
          <w:rFonts w:cstheme="minorHAnsi"/>
        </w:rPr>
        <w:fldChar w:fldCharType="begin"/>
      </w:r>
      <w:r w:rsidRPr="000E5DE5">
        <w:rPr>
          <w:rFonts w:cstheme="minorHAnsi"/>
        </w:rPr>
        <w:instrText xml:space="preserve"> QUOTE </w:instrText>
      </w:r>
      <w:r>
        <w:rPr>
          <w:rFonts w:cstheme="minorHAnsi"/>
          <w:noProof/>
        </w:rPr>
        <w:drawing>
          <wp:inline distT="0" distB="0" distL="0" distR="0" wp14:anchorId="70BA296A" wp14:editId="30D3C829">
            <wp:extent cx="643890" cy="174625"/>
            <wp:effectExtent l="19050" t="0" r="3810" b="0"/>
            <wp:docPr id="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643890" cy="174625"/>
                    </a:xfrm>
                    <a:prstGeom prst="rect">
                      <a:avLst/>
                    </a:prstGeom>
                    <a:noFill/>
                    <a:ln w="9525">
                      <a:noFill/>
                      <a:miter lim="800000"/>
                      <a:headEnd/>
                      <a:tailEnd/>
                    </a:ln>
                  </pic:spPr>
                </pic:pic>
              </a:graphicData>
            </a:graphic>
          </wp:inline>
        </w:drawing>
      </w:r>
      <w:r w:rsidRPr="000E5DE5">
        <w:rPr>
          <w:rFonts w:cstheme="minorHAnsi"/>
        </w:rPr>
        <w:instrText xml:space="preserve"> </w:instrText>
      </w:r>
      <w:r w:rsidR="00561FFA" w:rsidRPr="000E5DE5">
        <w:rPr>
          <w:rFonts w:cstheme="minorHAnsi"/>
        </w:rPr>
        <w:fldChar w:fldCharType="separate"/>
      </w:r>
      <w:r w:rsidR="00CD110F">
        <w:rPr>
          <w:rFonts w:cstheme="minorHAnsi"/>
          <w:noProof/>
        </w:rPr>
        <w:lastRenderedPageBreak/>
        <w:drawing>
          <wp:inline distT="0" distB="0" distL="0" distR="0" wp14:anchorId="47B2A216" wp14:editId="2B0113FD">
            <wp:extent cx="643890" cy="174625"/>
            <wp:effectExtent l="19050" t="0" r="3810" b="0"/>
            <wp:docPr id="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643890" cy="174625"/>
                    </a:xfrm>
                    <a:prstGeom prst="rect">
                      <a:avLst/>
                    </a:prstGeom>
                    <a:noFill/>
                    <a:ln w="9525">
                      <a:noFill/>
                      <a:miter lim="800000"/>
                      <a:headEnd/>
                      <a:tailEnd/>
                    </a:ln>
                  </pic:spPr>
                </pic:pic>
              </a:graphicData>
            </a:graphic>
          </wp:inline>
        </w:drawing>
      </w:r>
      <w:r w:rsidR="00561FFA" w:rsidRPr="000E5DE5">
        <w:rPr>
          <w:rFonts w:cstheme="minorHAnsi"/>
        </w:rPr>
        <w:fldChar w:fldCharType="end"/>
      </w:r>
      <w:r w:rsidR="00561FFA" w:rsidRPr="000E5DE5">
        <w:rPr>
          <w:rFonts w:cstheme="minorHAnsi"/>
        </w:rPr>
        <w:fldChar w:fldCharType="begin"/>
      </w:r>
      <w:r w:rsidRPr="000E5DE5">
        <w:rPr>
          <w:rFonts w:cstheme="minorHAnsi"/>
        </w:rPr>
        <w:instrText xml:space="preserve"> QUOTE </w:instrText>
      </w:r>
      <w:r w:rsidRPr="00ED6D4C">
        <w:rPr>
          <w:noProof/>
        </w:rPr>
        <w:drawing>
          <wp:inline distT="0" distB="0" distL="0" distR="0" wp14:anchorId="63689D43" wp14:editId="3F65F0B3">
            <wp:extent cx="1797050" cy="15113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1797050" cy="151130"/>
                    </a:xfrm>
                    <a:prstGeom prst="rect">
                      <a:avLst/>
                    </a:prstGeom>
                    <a:noFill/>
                    <a:ln w="9525">
                      <a:noFill/>
                      <a:miter lim="800000"/>
                      <a:headEnd/>
                      <a:tailEnd/>
                    </a:ln>
                  </pic:spPr>
                </pic:pic>
              </a:graphicData>
            </a:graphic>
          </wp:inline>
        </w:drawing>
      </w:r>
      <w:r w:rsidRPr="000E5DE5">
        <w:rPr>
          <w:rFonts w:cstheme="minorHAnsi"/>
        </w:rPr>
        <w:instrText xml:space="preserve"> </w:instrText>
      </w:r>
      <w:r w:rsidR="00561FFA" w:rsidRPr="000E5DE5">
        <w:rPr>
          <w:rFonts w:cstheme="minorHAnsi"/>
        </w:rPr>
        <w:fldChar w:fldCharType="separate"/>
      </w:r>
      <w:r w:rsidR="00CD110F" w:rsidRPr="00ED6D4C">
        <w:rPr>
          <w:noProof/>
        </w:rPr>
        <w:drawing>
          <wp:inline distT="0" distB="0" distL="0" distR="0" wp14:anchorId="44CFE94E" wp14:editId="77362CD9">
            <wp:extent cx="1797050" cy="151130"/>
            <wp:effectExtent l="0" t="0" r="0" b="0"/>
            <wp:docPr id="4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1797050" cy="151130"/>
                    </a:xfrm>
                    <a:prstGeom prst="rect">
                      <a:avLst/>
                    </a:prstGeom>
                    <a:noFill/>
                    <a:ln w="9525">
                      <a:noFill/>
                      <a:miter lim="800000"/>
                      <a:headEnd/>
                      <a:tailEnd/>
                    </a:ln>
                  </pic:spPr>
                </pic:pic>
              </a:graphicData>
            </a:graphic>
          </wp:inline>
        </w:drawing>
      </w:r>
      <w:r w:rsidR="00561FFA" w:rsidRPr="000E5DE5">
        <w:rPr>
          <w:rFonts w:cstheme="minorHAnsi"/>
        </w:rPr>
        <w:fldChar w:fldCharType="end"/>
      </w:r>
      <w:r w:rsidRPr="000E5DE5">
        <w:rPr>
          <w:rFonts w:cstheme="minorHAnsi"/>
        </w:rPr>
        <w:t>) durch die Allokation für diesen Bilanzkreis</w:t>
      </w:r>
      <w:r>
        <w:rPr>
          <w:rFonts w:cstheme="minorHAnsi"/>
        </w:rPr>
        <w:t xml:space="preserve"> BK</w:t>
      </w:r>
      <w:r w:rsidRPr="000E5DE5">
        <w:rPr>
          <w:rFonts w:cstheme="minorHAnsi"/>
        </w:rPr>
        <w:t xml:space="preserve"> am Tag D (</w:t>
      </w:r>
      <m:oMath>
        <m:sSub>
          <m:sSubPr>
            <m:ctrlPr>
              <w:rPr>
                <w:rFonts w:ascii="Cambria Math" w:hAnsi="Cambria Math" w:cstheme="minorHAnsi"/>
                <w:i/>
              </w:rPr>
            </m:ctrlPr>
          </m:sSubPr>
          <m:e>
            <m:r>
              <w:rPr>
                <w:rFonts w:ascii="Cambria Math" w:hAnsi="Cambria Math" w:cstheme="minorHAnsi"/>
              </w:rPr>
              <m:t>Allokation</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r w:rsidR="00561FFA" w:rsidRPr="000E5DE5">
        <w:rPr>
          <w:rFonts w:cstheme="minorHAnsi"/>
        </w:rPr>
        <w:fldChar w:fldCharType="begin"/>
      </w:r>
      <w:r w:rsidRPr="000E5DE5">
        <w:rPr>
          <w:rFonts w:cstheme="minorHAnsi"/>
        </w:rPr>
        <w:instrText xml:space="preserve"> QUOTE </w:instrText>
      </w:r>
      <w:r w:rsidRPr="00ED6D4C">
        <w:rPr>
          <w:noProof/>
        </w:rPr>
        <w:drawing>
          <wp:inline distT="0" distB="0" distL="0" distR="0" wp14:anchorId="74638707" wp14:editId="293FFDAC">
            <wp:extent cx="548640" cy="174625"/>
            <wp:effectExtent l="19050" t="0" r="3810" b="0"/>
            <wp:docPr id="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548640" cy="174625"/>
                    </a:xfrm>
                    <a:prstGeom prst="rect">
                      <a:avLst/>
                    </a:prstGeom>
                    <a:noFill/>
                    <a:ln w="9525">
                      <a:noFill/>
                      <a:miter lim="800000"/>
                      <a:headEnd/>
                      <a:tailEnd/>
                    </a:ln>
                  </pic:spPr>
                </pic:pic>
              </a:graphicData>
            </a:graphic>
          </wp:inline>
        </w:drawing>
      </w:r>
      <w:r w:rsidRPr="000E5DE5">
        <w:rPr>
          <w:rFonts w:cstheme="minorHAnsi"/>
        </w:rPr>
        <w:instrText xml:space="preserve"> </w:instrText>
      </w:r>
      <w:r w:rsidR="00561FFA" w:rsidRPr="000E5DE5">
        <w:rPr>
          <w:rFonts w:cstheme="minorHAnsi"/>
        </w:rPr>
        <w:fldChar w:fldCharType="separate"/>
      </w:r>
      <w:r w:rsidR="00CD110F" w:rsidRPr="00ED6D4C">
        <w:rPr>
          <w:noProof/>
        </w:rPr>
        <w:drawing>
          <wp:inline distT="0" distB="0" distL="0" distR="0" wp14:anchorId="16F37924" wp14:editId="157B22C3">
            <wp:extent cx="548640" cy="174625"/>
            <wp:effectExtent l="19050" t="0" r="3810" b="0"/>
            <wp:docPr id="4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548640" cy="174625"/>
                    </a:xfrm>
                    <a:prstGeom prst="rect">
                      <a:avLst/>
                    </a:prstGeom>
                    <a:noFill/>
                    <a:ln w="9525">
                      <a:noFill/>
                      <a:miter lim="800000"/>
                      <a:headEnd/>
                      <a:tailEnd/>
                    </a:ln>
                  </pic:spPr>
                </pic:pic>
              </a:graphicData>
            </a:graphic>
          </wp:inline>
        </w:drawing>
      </w:r>
      <w:r w:rsidR="00561FFA" w:rsidRPr="000E5DE5">
        <w:rPr>
          <w:rFonts w:cstheme="minorHAnsi"/>
        </w:rPr>
        <w:fldChar w:fldCharType="end"/>
      </w:r>
      <w:r w:rsidR="00561FFA" w:rsidRPr="000E5DE5">
        <w:rPr>
          <w:rFonts w:cstheme="minorHAnsi"/>
        </w:rPr>
        <w:fldChar w:fldCharType="begin"/>
      </w:r>
      <w:r w:rsidRPr="000E5DE5">
        <w:rPr>
          <w:rFonts w:cstheme="minorHAnsi"/>
        </w:rPr>
        <w:instrText xml:space="preserve"> QUOTE </w:instrText>
      </w:r>
      <w:r w:rsidRPr="00ED6D4C">
        <w:rPr>
          <w:noProof/>
        </w:rPr>
        <w:drawing>
          <wp:inline distT="0" distB="0" distL="0" distR="0" wp14:anchorId="2FF14DA9" wp14:editId="573D166C">
            <wp:extent cx="1041400" cy="151130"/>
            <wp:effectExtent l="19050" t="0" r="6350" b="0"/>
            <wp:docPr id="6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041400" cy="151130"/>
                    </a:xfrm>
                    <a:prstGeom prst="rect">
                      <a:avLst/>
                    </a:prstGeom>
                    <a:noFill/>
                    <a:ln w="9525">
                      <a:noFill/>
                      <a:miter lim="800000"/>
                      <a:headEnd/>
                      <a:tailEnd/>
                    </a:ln>
                  </pic:spPr>
                </pic:pic>
              </a:graphicData>
            </a:graphic>
          </wp:inline>
        </w:drawing>
      </w:r>
      <w:r w:rsidRPr="000E5DE5">
        <w:rPr>
          <w:rFonts w:cstheme="minorHAnsi"/>
        </w:rPr>
        <w:instrText xml:space="preserve"> </w:instrText>
      </w:r>
      <w:r w:rsidR="00561FFA" w:rsidRPr="000E5DE5">
        <w:rPr>
          <w:rFonts w:cstheme="minorHAnsi"/>
        </w:rPr>
        <w:fldChar w:fldCharType="separate"/>
      </w:r>
      <w:r w:rsidR="00CD110F" w:rsidRPr="00ED6D4C">
        <w:rPr>
          <w:noProof/>
        </w:rPr>
        <w:drawing>
          <wp:inline distT="0" distB="0" distL="0" distR="0" wp14:anchorId="5D9218C1" wp14:editId="48CC970E">
            <wp:extent cx="1041400" cy="151130"/>
            <wp:effectExtent l="19050" t="0" r="6350" b="0"/>
            <wp:docPr id="4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041400" cy="151130"/>
                    </a:xfrm>
                    <a:prstGeom prst="rect">
                      <a:avLst/>
                    </a:prstGeom>
                    <a:noFill/>
                    <a:ln w="9525">
                      <a:noFill/>
                      <a:miter lim="800000"/>
                      <a:headEnd/>
                      <a:tailEnd/>
                    </a:ln>
                  </pic:spPr>
                </pic:pic>
              </a:graphicData>
            </a:graphic>
          </wp:inline>
        </w:drawing>
      </w:r>
      <w:r w:rsidR="00561FFA" w:rsidRPr="000E5DE5">
        <w:rPr>
          <w:rFonts w:cstheme="minorHAnsi"/>
        </w:rPr>
        <w:fldChar w:fldCharType="end"/>
      </w:r>
      <w:r w:rsidRPr="000E5DE5">
        <w:rPr>
          <w:rFonts w:cstheme="minorHAnsi"/>
        </w:rPr>
        <w:t>):</w:t>
      </w:r>
    </w:p>
    <w:p w14:paraId="65961FFA" w14:textId="77777777" w:rsidR="000A58FE" w:rsidRPr="000E5DE5" w:rsidRDefault="000A58FE" w:rsidP="003C2438">
      <w:pPr>
        <w:rPr>
          <w:rFonts w:cstheme="minorHAnsi"/>
        </w:rPr>
      </w:pPr>
    </w:p>
    <w:p w14:paraId="4B55B8E6" w14:textId="77777777" w:rsidR="000A58FE" w:rsidRPr="000E5DE5" w:rsidRDefault="00BA1D2D" w:rsidP="003C2438">
      <w:pPr>
        <w:rPr>
          <w:rFonts w:cstheme="minorHAnsi"/>
        </w:rPr>
      </w:pPr>
      <m:oMathPara>
        <m:oMath>
          <m:sSub>
            <m:sSubPr>
              <m:ctrlPr>
                <w:rPr>
                  <w:rFonts w:ascii="Cambria Math" w:hAnsi="Cambria Math" w:cstheme="minorHAnsi"/>
                  <w:i/>
                </w:rPr>
              </m:ctrlPr>
            </m:sSubPr>
            <m:e>
              <m:r>
                <w:rPr>
                  <w:rFonts w:ascii="Cambria Math" w:hAnsi="Cambria Math" w:cstheme="minorHAnsi"/>
                </w:rPr>
                <m:t>Ersatzwertfaktor</m:t>
              </m:r>
            </m:e>
            <m:sub>
              <m:r>
                <w:rPr>
                  <w:rFonts w:ascii="Cambria Math" w:hAnsi="Cambria Math" w:cstheme="minorHAnsi"/>
                </w:rPr>
                <m:t>BK</m:t>
              </m:r>
              <m:r>
                <w:rPr>
                  <w:rFonts w:ascii="Cambria Math" w:cstheme="minorHAnsi"/>
                </w:rPr>
                <m:t>,</m:t>
              </m:r>
              <m:r>
                <w:rPr>
                  <w:rFonts w:ascii="Cambria Math" w:hAnsi="Cambria Math" w:cstheme="minorHAnsi"/>
                </w:rPr>
                <m:t>D</m:t>
              </m:r>
            </m:sub>
          </m:sSub>
          <m:r>
            <w:rPr>
              <w:rFonts w:asci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Allokationsersatzwert</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num>
            <m:den>
              <m:sSub>
                <m:sSubPr>
                  <m:ctrlPr>
                    <w:rPr>
                      <w:rFonts w:ascii="Cambria Math" w:hAnsi="Cambria Math" w:cstheme="minorHAnsi"/>
                      <w:i/>
                    </w:rPr>
                  </m:ctrlPr>
                </m:sSubPr>
                <m:e>
                  <m:r>
                    <w:rPr>
                      <w:rFonts w:ascii="Cambria Math" w:hAnsi="Cambria Math" w:cstheme="minorHAnsi"/>
                    </w:rPr>
                    <m:t>Allokation</m:t>
                  </m:r>
                </m:e>
                <m:sub>
                  <m:r>
                    <w:rPr>
                      <w:rFonts w:ascii="Cambria Math" w:hAnsi="Cambria Math" w:cstheme="minorHAnsi"/>
                    </w:rPr>
                    <m:t>BK</m:t>
                  </m:r>
                  <m:r>
                    <w:rPr>
                      <w:rFonts w:ascii="Cambria Math" w:cstheme="minorHAnsi"/>
                    </w:rPr>
                    <m:t>,</m:t>
                  </m:r>
                  <m:r>
                    <w:rPr>
                      <w:rFonts w:ascii="Cambria Math" w:hAnsi="Cambria Math" w:cstheme="minorHAnsi"/>
                    </w:rPr>
                    <m:t>D</m:t>
                  </m:r>
                </m:sub>
              </m:sSub>
            </m:den>
          </m:f>
        </m:oMath>
      </m:oMathPara>
    </w:p>
    <w:p w14:paraId="32A32BCB" w14:textId="0F4B9968" w:rsidR="000A58FE" w:rsidRDefault="000A58FE" w:rsidP="003C2438">
      <w:pPr>
        <w:spacing w:before="240"/>
      </w:pPr>
      <w:r w:rsidRPr="000E5DE5">
        <w:t xml:space="preserve">Dieser Ersatzwertfaktor wird für jede </w:t>
      </w:r>
      <w:r w:rsidR="00F553AD">
        <w:t>Marktlokation</w:t>
      </w:r>
      <w:r w:rsidRPr="000E5DE5">
        <w:t xml:space="preserve"> angewendet, welche am Tag D dem betroffenen Bilanzkreis</w:t>
      </w:r>
      <w:r>
        <w:t xml:space="preserve"> BK</w:t>
      </w:r>
      <w:r w:rsidRPr="000E5DE5">
        <w:t xml:space="preserve"> zugeordnet ist. Damit wird für jede </w:t>
      </w:r>
      <w:r w:rsidR="00F553AD">
        <w:t>Marktlokation</w:t>
      </w:r>
      <w:r w:rsidRPr="000E5DE5">
        <w:t xml:space="preserve"> eine neue</w:t>
      </w:r>
      <w:r w:rsidRPr="000E5DE5">
        <w:rPr>
          <w:i/>
        </w:rPr>
        <w:t xml:space="preserve"> </w:t>
      </w:r>
      <w:r w:rsidRPr="000E5DE5">
        <w:t>bilanzierte Menge</w:t>
      </w:r>
      <w:r w:rsidRPr="000E5DE5">
        <w:rPr>
          <w:iCs/>
        </w:rPr>
        <w:t xml:space="preserve"> </w:t>
      </w:r>
      <w:r w:rsidRPr="000E5DE5">
        <w:t>(</w:t>
      </w:r>
      <m:oMath>
        <m:sSub>
          <m:sSubPr>
            <m:ctrlPr>
              <w:rPr>
                <w:rFonts w:ascii="Cambria Math" w:hAnsi="Cambria Math"/>
                <w:i/>
              </w:rPr>
            </m:ctrlPr>
          </m:sSubPr>
          <m:e>
            <m:r>
              <w:rPr>
                <w:rFonts w:ascii="Cambria Math" w:hAnsi="Cambria Math"/>
              </w:rPr>
              <m:t>bilanzierte</m:t>
            </m:r>
            <m:r>
              <w:rPr>
                <w:rFonts w:ascii="Cambria Math"/>
              </w:rPr>
              <m:t xml:space="preserve"> </m:t>
            </m:r>
            <m:r>
              <w:rPr>
                <w:rFonts w:ascii="Cambria Math" w:hAnsi="Cambria Math"/>
              </w:rPr>
              <m:t>Menge</m:t>
            </m:r>
          </m:e>
          <m:sub>
            <m:r>
              <w:rPr>
                <w:rFonts w:ascii="Cambria Math" w:hAnsi="Cambria Math"/>
              </w:rPr>
              <m:t>neu</m:t>
            </m:r>
            <m:r>
              <w:rPr>
                <w:rFonts w:ascii="Cambria Math"/>
              </w:rPr>
              <m:t xml:space="preserve">, </m:t>
            </m:r>
            <m:r>
              <w:rPr>
                <w:rFonts w:ascii="Cambria Math" w:hAnsi="Cambria Math"/>
              </w:rPr>
              <m:t>LSx</m:t>
            </m:r>
            <m:d>
              <m:dPr>
                <m:ctrlPr>
                  <w:rPr>
                    <w:rFonts w:ascii="Cambria Math" w:hAnsi="Cambria Math"/>
                    <w:i/>
                  </w:rPr>
                </m:ctrlPr>
              </m:dPr>
              <m:e>
                <m:r>
                  <w:rPr>
                    <w:rFonts w:ascii="Cambria Math" w:hAnsi="Cambria Math"/>
                  </w:rPr>
                  <m:t>im</m:t>
                </m:r>
                <m:r>
                  <w:rPr>
                    <w:rFonts w:ascii="Cambria Math"/>
                  </w:rPr>
                  <m:t xml:space="preserve"> </m:t>
                </m:r>
                <m:r>
                  <w:rPr>
                    <w:rFonts w:ascii="Cambria Math" w:hAnsi="Cambria Math"/>
                  </w:rPr>
                  <m:t>BK</m:t>
                </m:r>
              </m:e>
            </m:d>
            <m:r>
              <w:rPr>
                <w:rFonts w:ascii="Cambria Math"/>
              </w:rPr>
              <m:t>,</m:t>
            </m:r>
            <m:r>
              <w:rPr>
                <w:rFonts w:ascii="Cambria Math" w:hAnsi="Cambria Math"/>
              </w:rPr>
              <m:t>D</m:t>
            </m:r>
          </m:sub>
        </m:sSub>
      </m:oMath>
      <w:r w:rsidRPr="000E5DE5">
        <w:t>)</w:t>
      </w:r>
      <w:r w:rsidRPr="000E5DE5">
        <w:rPr>
          <w:i/>
        </w:rPr>
        <w:t xml:space="preserve"> </w:t>
      </w:r>
      <w:r w:rsidRPr="000E5DE5">
        <w:t xml:space="preserve">für diesen Tag </w:t>
      </w:r>
      <w:r>
        <w:t xml:space="preserve">D </w:t>
      </w:r>
      <w:r w:rsidRPr="000E5DE5">
        <w:t>berechnet:</w:t>
      </w:r>
    </w:p>
    <w:p w14:paraId="38D3D53A" w14:textId="77777777" w:rsidR="000A58FE" w:rsidRPr="000E5DE5" w:rsidRDefault="000A58FE" w:rsidP="003C2438">
      <w:pPr>
        <w:autoSpaceDE w:val="0"/>
        <w:autoSpaceDN w:val="0"/>
        <w:adjustRightInd w:val="0"/>
        <w:spacing w:after="0"/>
        <w:rPr>
          <w:rFonts w:cstheme="minorHAnsi"/>
        </w:rPr>
      </w:pPr>
    </w:p>
    <w:p w14:paraId="31A7DAAD" w14:textId="77777777" w:rsidR="000A58FE" w:rsidRDefault="00BA1D2D" w:rsidP="003C2438">
      <w:pPr>
        <w:autoSpaceDE w:val="0"/>
        <w:autoSpaceDN w:val="0"/>
        <w:adjustRightInd w:val="0"/>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bilanzierte</m:t>
              </m:r>
              <m:r>
                <w:rPr>
                  <w:rFonts w:ascii="Cambria Math" w:cstheme="minorHAnsi"/>
                </w:rPr>
                <m:t xml:space="preserve"> </m:t>
              </m:r>
              <m:r>
                <w:rPr>
                  <w:rFonts w:ascii="Cambria Math" w:hAnsi="Cambria Math" w:cstheme="minorHAnsi"/>
                </w:rPr>
                <m:t>Menge</m:t>
              </m:r>
            </m:e>
            <m:sub>
              <m:r>
                <w:rPr>
                  <w:rFonts w:ascii="Cambria Math" w:hAnsi="Cambria Math" w:cstheme="minorHAnsi"/>
                </w:rPr>
                <m:t>neu</m:t>
              </m:r>
              <m:r>
                <w:rPr>
                  <w:rFonts w:ascii="Cambria Math" w:cstheme="minorHAnsi"/>
                </w:rPr>
                <m:t xml:space="preserve">, </m:t>
              </m:r>
              <m:r>
                <w:rPr>
                  <w:rFonts w:ascii="Cambria Math" w:hAnsi="Cambria Math" w:cstheme="minorHAnsi"/>
                </w:rPr>
                <m:t>LSx</m:t>
              </m:r>
              <m:d>
                <m:dPr>
                  <m:ctrlPr>
                    <w:rPr>
                      <w:rFonts w:ascii="Cambria Math" w:hAnsi="Cambria Math" w:cstheme="minorHAnsi"/>
                      <w:i/>
                    </w:rPr>
                  </m:ctrlPr>
                </m:dPr>
                <m:e>
                  <m:r>
                    <w:rPr>
                      <w:rFonts w:ascii="Cambria Math" w:hAnsi="Cambria Math" w:cstheme="minorHAnsi"/>
                    </w:rPr>
                    <m:t>im</m:t>
                  </m:r>
                  <m:r>
                    <w:rPr>
                      <w:rFonts w:ascii="Cambria Math" w:cstheme="minorHAnsi"/>
                    </w:rPr>
                    <m:t xml:space="preserve"> </m:t>
                  </m:r>
                  <m:r>
                    <w:rPr>
                      <w:rFonts w:ascii="Cambria Math" w:hAnsi="Cambria Math" w:cstheme="minorHAnsi"/>
                    </w:rPr>
                    <m:t>BK</m:t>
                  </m:r>
                </m:e>
              </m:d>
              <m:r>
                <w:rPr>
                  <w:rFonts w:ascii="Cambria Math" w:cstheme="minorHAnsi"/>
                </w:rPr>
                <m:t>,</m:t>
              </m:r>
              <m:r>
                <w:rPr>
                  <w:rFonts w:ascii="Cambria Math" w:hAnsi="Cambria Math" w:cstheme="minorHAnsi"/>
                </w:rPr>
                <m:t>D</m:t>
              </m:r>
            </m:sub>
          </m:sSub>
          <m:r>
            <w:rPr>
              <w:rFonts w:ascii="Cambria Math" w:cstheme="minorHAnsi"/>
            </w:rPr>
            <m:t>=</m:t>
          </m:r>
          <m:sSub>
            <m:sSubPr>
              <m:ctrlPr>
                <w:rPr>
                  <w:rFonts w:ascii="Cambria Math" w:hAnsi="Cambria Math" w:cstheme="minorHAnsi"/>
                  <w:i/>
                </w:rPr>
              </m:ctrlPr>
            </m:sSubPr>
            <m:e>
              <m:r>
                <w:rPr>
                  <w:rFonts w:ascii="Cambria Math" w:hAnsi="Cambria Math" w:cstheme="minorHAnsi"/>
                </w:rPr>
                <m:t>Ersatzwertfaktor</m:t>
              </m:r>
            </m:e>
            <m:sub>
              <m:r>
                <w:rPr>
                  <w:rFonts w:ascii="Cambria Math" w:hAnsi="Cambria Math" w:cstheme="minorHAnsi"/>
                </w:rPr>
                <m:t>BK</m:t>
              </m:r>
              <m:r>
                <w:rPr>
                  <w:rFonts w:ascii="Cambria Math" w:cstheme="minorHAnsi"/>
                </w:rPr>
                <m:t>,</m:t>
              </m:r>
              <m:r>
                <w:rPr>
                  <w:rFonts w:ascii="Cambria Math" w:hAnsi="Cambria Math" w:cstheme="minorHAnsi"/>
                </w:rPr>
                <m:t>D</m:t>
              </m:r>
            </m:sub>
          </m:sSub>
          <m:r>
            <w:rPr>
              <w:rFonts w:hAnsi="Cambria Math" w:cstheme="minorHAnsi"/>
            </w:rPr>
            <m:t>*</m:t>
          </m:r>
          <m:r>
            <w:rPr>
              <w:rFonts w:ascii="Cambria Math" w:cstheme="minorHAnsi"/>
            </w:rPr>
            <m:t xml:space="preserve"> </m:t>
          </m:r>
          <m:sSub>
            <m:sSubPr>
              <m:ctrlPr>
                <w:rPr>
                  <w:rFonts w:ascii="Cambria Math" w:hAnsi="Cambria Math" w:cstheme="minorHAnsi"/>
                  <w:i/>
                </w:rPr>
              </m:ctrlPr>
            </m:sSubPr>
            <m:e>
              <m:r>
                <w:rPr>
                  <w:rFonts w:ascii="Cambria Math" w:hAnsi="Cambria Math" w:cstheme="minorHAnsi"/>
                </w:rPr>
                <m:t>bilanzierte</m:t>
              </m:r>
              <m:r>
                <w:rPr>
                  <w:rFonts w:ascii="Cambria Math" w:cstheme="minorHAnsi"/>
                </w:rPr>
                <m:t xml:space="preserve"> </m:t>
              </m:r>
              <m:r>
                <w:rPr>
                  <w:rFonts w:ascii="Cambria Math" w:hAnsi="Cambria Math" w:cstheme="minorHAnsi"/>
                </w:rPr>
                <m:t>Menge</m:t>
              </m:r>
            </m:e>
            <m:sub>
              <m:r>
                <w:rPr>
                  <w:rFonts w:ascii="Cambria Math" w:hAnsi="Cambria Math" w:cstheme="minorHAnsi"/>
                </w:rPr>
                <m:t>alt</m:t>
              </m:r>
              <m:r>
                <w:rPr>
                  <w:rFonts w:ascii="Cambria Math" w:cstheme="minorHAnsi"/>
                </w:rPr>
                <m:t xml:space="preserve">, </m:t>
              </m:r>
              <m:r>
                <w:rPr>
                  <w:rFonts w:ascii="Cambria Math" w:hAnsi="Cambria Math" w:cstheme="minorHAnsi"/>
                </w:rPr>
                <m:t>LSx</m:t>
              </m:r>
              <m:d>
                <m:dPr>
                  <m:ctrlPr>
                    <w:rPr>
                      <w:rFonts w:ascii="Cambria Math" w:hAnsi="Cambria Math" w:cstheme="minorHAnsi"/>
                      <w:i/>
                    </w:rPr>
                  </m:ctrlPr>
                </m:dPr>
                <m:e>
                  <m:r>
                    <w:rPr>
                      <w:rFonts w:ascii="Cambria Math" w:hAnsi="Cambria Math" w:cstheme="minorHAnsi"/>
                    </w:rPr>
                    <m:t>im</m:t>
                  </m:r>
                  <m:r>
                    <w:rPr>
                      <w:rFonts w:ascii="Cambria Math" w:cstheme="minorHAnsi"/>
                    </w:rPr>
                    <m:t xml:space="preserve"> </m:t>
                  </m:r>
                  <m:r>
                    <w:rPr>
                      <w:rFonts w:ascii="Cambria Math" w:hAnsi="Cambria Math" w:cstheme="minorHAnsi"/>
                    </w:rPr>
                    <m:t>BK</m:t>
                  </m:r>
                </m:e>
              </m:d>
              <m:r>
                <w:rPr>
                  <w:rFonts w:ascii="Cambria Math" w:cstheme="minorHAnsi"/>
                </w:rPr>
                <m:t xml:space="preserve">, </m:t>
              </m:r>
              <m:r>
                <w:rPr>
                  <w:rFonts w:ascii="Cambria Math" w:hAnsi="Cambria Math" w:cstheme="minorHAnsi"/>
                </w:rPr>
                <m:t>D</m:t>
              </m:r>
            </m:sub>
          </m:sSub>
        </m:oMath>
      </m:oMathPara>
    </w:p>
    <w:p w14:paraId="0F7CF911" w14:textId="77777777" w:rsidR="000A58FE" w:rsidRPr="000E5DE5" w:rsidRDefault="000A58FE" w:rsidP="003C2438">
      <w:pPr>
        <w:autoSpaceDE w:val="0"/>
        <w:autoSpaceDN w:val="0"/>
        <w:adjustRightInd w:val="0"/>
        <w:rPr>
          <w:rFonts w:cstheme="minorHAnsi"/>
        </w:rPr>
      </w:pPr>
    </w:p>
    <w:p w14:paraId="486BA8F6" w14:textId="7AF28EC1" w:rsidR="000A58FE" w:rsidRDefault="000A58FE" w:rsidP="003C2438">
      <w:pPr>
        <w:autoSpaceDE w:val="0"/>
        <w:autoSpaceDN w:val="0"/>
        <w:adjustRightInd w:val="0"/>
        <w:rPr>
          <w:rFonts w:cstheme="minorHAnsi"/>
        </w:rPr>
      </w:pPr>
      <w:r w:rsidRPr="000E5DE5">
        <w:rPr>
          <w:rFonts w:cstheme="minorHAnsi"/>
        </w:rPr>
        <w:t xml:space="preserve">Die Summe der neuen bilanzierten Menge je </w:t>
      </w:r>
      <w:r w:rsidR="00F553AD">
        <w:t>Marktlokation</w:t>
      </w:r>
      <w:r w:rsidRPr="000E5DE5">
        <w:rPr>
          <w:rFonts w:cstheme="minorHAnsi"/>
        </w:rPr>
        <w:t xml:space="preserve"> für den Tag D und den Bilanzkreis BK (</w:t>
      </w:r>
      <m:oMath>
        <m:sSub>
          <m:sSubPr>
            <m:ctrlPr>
              <w:rPr>
                <w:rFonts w:ascii="Cambria Math" w:hAnsi="Cambria Math" w:cstheme="minorHAnsi"/>
                <w:i/>
              </w:rPr>
            </m:ctrlPr>
          </m:sSubPr>
          <m:e>
            <m:r>
              <w:rPr>
                <w:rFonts w:ascii="Cambria Math" w:hAnsi="Cambria Math" w:cstheme="minorHAnsi"/>
              </w:rPr>
              <m:t>bilanzierte</m:t>
            </m:r>
            <m:r>
              <w:rPr>
                <w:rFonts w:ascii="Cambria Math" w:cstheme="minorHAnsi"/>
              </w:rPr>
              <m:t xml:space="preserve"> </m:t>
            </m:r>
            <m:r>
              <w:rPr>
                <w:rFonts w:ascii="Cambria Math" w:hAnsi="Cambria Math" w:cstheme="minorHAnsi"/>
              </w:rPr>
              <m:t>Menge</m:t>
            </m:r>
          </m:e>
          <m:sub>
            <m:r>
              <w:rPr>
                <w:rFonts w:ascii="Cambria Math" w:hAnsi="Cambria Math" w:cstheme="minorHAnsi"/>
              </w:rPr>
              <m:t>neu</m:t>
            </m:r>
            <m:r>
              <w:rPr>
                <w:rFonts w:ascii="Cambria Math" w:cstheme="minorHAnsi"/>
              </w:rPr>
              <m:t xml:space="preserve">, </m:t>
            </m:r>
            <m:r>
              <w:rPr>
                <w:rFonts w:ascii="Cambria Math" w:hAnsi="Cambria Math" w:cstheme="minorHAnsi"/>
              </w:rPr>
              <m:t>LSx</m:t>
            </m:r>
            <m:d>
              <m:dPr>
                <m:ctrlPr>
                  <w:rPr>
                    <w:rFonts w:ascii="Cambria Math" w:hAnsi="Cambria Math" w:cstheme="minorHAnsi"/>
                    <w:i/>
                  </w:rPr>
                </m:ctrlPr>
              </m:dPr>
              <m:e>
                <m:r>
                  <w:rPr>
                    <w:rFonts w:ascii="Cambria Math" w:hAnsi="Cambria Math" w:cstheme="minorHAnsi"/>
                  </w:rPr>
                  <m:t>im</m:t>
                </m:r>
                <m:r>
                  <w:rPr>
                    <w:rFonts w:ascii="Cambria Math" w:cstheme="minorHAnsi"/>
                  </w:rPr>
                  <m:t xml:space="preserve"> </m:t>
                </m:r>
                <m:r>
                  <w:rPr>
                    <w:rFonts w:ascii="Cambria Math" w:hAnsi="Cambria Math" w:cstheme="minorHAnsi"/>
                  </w:rPr>
                  <m:t>BK</m:t>
                </m:r>
              </m:e>
            </m:d>
            <m:r>
              <w:rPr>
                <w:rFonts w:ascii="Cambria Math" w:cstheme="minorHAnsi"/>
              </w:rPr>
              <m:t>,</m:t>
            </m:r>
            <m:r>
              <w:rPr>
                <w:rFonts w:ascii="Cambria Math" w:hAnsi="Cambria Math" w:cstheme="minorHAnsi"/>
              </w:rPr>
              <m:t>D</m:t>
            </m:r>
          </m:sub>
        </m:sSub>
      </m:oMath>
      <w:r w:rsidRPr="000E5DE5">
        <w:rPr>
          <w:rFonts w:cstheme="minorHAnsi"/>
        </w:rPr>
        <w:t>) muss dem bilanzkreisscharfen Allokationsersatzwert des MGV (</w:t>
      </w:r>
      <m:oMath>
        <m:sSub>
          <m:sSubPr>
            <m:ctrlPr>
              <w:rPr>
                <w:rFonts w:ascii="Cambria Math" w:hAnsi="Cambria Math" w:cstheme="minorHAnsi"/>
                <w:i/>
              </w:rPr>
            </m:ctrlPr>
          </m:sSubPr>
          <m:e>
            <m:r>
              <w:rPr>
                <w:rFonts w:ascii="Cambria Math" w:hAnsi="Cambria Math" w:cstheme="minorHAnsi"/>
              </w:rPr>
              <m:t>Allokationsersatzwert</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r w:rsidRPr="000E5DE5">
        <w:rPr>
          <w:rFonts w:cstheme="minorHAnsi"/>
        </w:rPr>
        <w:t>) entsprechen.</w:t>
      </w:r>
    </w:p>
    <w:p w14:paraId="653DD083" w14:textId="77777777" w:rsidR="00166735" w:rsidRPr="00166735" w:rsidRDefault="00BA1D2D" w:rsidP="003C2438">
      <w:pPr>
        <w:autoSpaceDE w:val="0"/>
        <w:autoSpaceDN w:val="0"/>
        <w:adjustRightInd w:val="0"/>
        <w:rPr>
          <w:rFonts w:cs="Calibri"/>
        </w:rPr>
      </w:pPr>
      <m:oMathPara>
        <m:oMath>
          <m:nary>
            <m:naryPr>
              <m:chr m:val="∑"/>
              <m:limLoc m:val="undOvr"/>
              <m:ctrlPr>
                <w:rPr>
                  <w:rFonts w:ascii="Cambria Math" w:hAnsi="Cambria Math" w:cs="Calibri"/>
                  <w:i/>
                </w:rPr>
              </m:ctrlPr>
            </m:naryPr>
            <m:sub>
              <m:r>
                <w:rPr>
                  <w:rFonts w:ascii="Cambria Math" w:hAnsi="Cambria Math" w:cs="Calibri"/>
                </w:rPr>
                <m:t>x</m:t>
              </m:r>
              <m:r>
                <w:rPr>
                  <w:rFonts w:ascii="Cambria Math" w:cs="Calibri"/>
                </w:rPr>
                <m:t>=1</m:t>
              </m:r>
            </m:sub>
            <m:sup>
              <m:r>
                <w:rPr>
                  <w:rFonts w:ascii="Cambria Math" w:hAnsi="Cambria Math" w:cs="Calibri"/>
                </w:rPr>
                <m:t>n</m:t>
              </m:r>
            </m:sup>
            <m:e>
              <m:sSub>
                <m:sSubPr>
                  <m:ctrlPr>
                    <w:rPr>
                      <w:rFonts w:ascii="Cambria Math" w:hAnsi="Cambria Math" w:cs="Calibri"/>
                      <w:i/>
                    </w:rPr>
                  </m:ctrlPr>
                </m:sSubPr>
                <m:e>
                  <m:r>
                    <w:rPr>
                      <w:rFonts w:ascii="Cambria Math" w:hAnsi="Cambria Math" w:cs="Calibri"/>
                    </w:rPr>
                    <m:t>bilanzierte</m:t>
                  </m:r>
                  <m:r>
                    <w:rPr>
                      <w:rFonts w:ascii="Cambria Math" w:cs="Calibri"/>
                    </w:rPr>
                    <m:t xml:space="preserve"> </m:t>
                  </m:r>
                  <m:r>
                    <w:rPr>
                      <w:rFonts w:ascii="Cambria Math" w:hAnsi="Cambria Math" w:cs="Calibri"/>
                    </w:rPr>
                    <m:t>Menge</m:t>
                  </m:r>
                </m:e>
                <m:sub>
                  <m:r>
                    <w:rPr>
                      <w:rFonts w:ascii="Cambria Math" w:hAnsi="Cambria Math" w:cs="Calibri"/>
                    </w:rPr>
                    <m:t>neu</m:t>
                  </m:r>
                  <m:r>
                    <w:rPr>
                      <w:rFonts w:ascii="Cambria Math" w:cs="Calibri"/>
                    </w:rPr>
                    <m:t xml:space="preserve">, </m:t>
                  </m:r>
                  <m:r>
                    <w:rPr>
                      <w:rFonts w:ascii="Cambria Math" w:hAnsi="Cambria Math" w:cs="Calibri"/>
                    </w:rPr>
                    <m:t>LSx</m:t>
                  </m:r>
                  <m:r>
                    <w:rPr>
                      <w:rFonts w:ascii="Cambria Math" w:cs="Calibri"/>
                    </w:rPr>
                    <m:t>(</m:t>
                  </m:r>
                  <m:r>
                    <w:rPr>
                      <w:rFonts w:ascii="Cambria Math" w:hAnsi="Cambria Math" w:cs="Calibri"/>
                    </w:rPr>
                    <m:t>im</m:t>
                  </m:r>
                  <m:r>
                    <w:rPr>
                      <w:rFonts w:ascii="Cambria Math" w:cs="Calibri"/>
                    </w:rPr>
                    <m:t xml:space="preserve"> </m:t>
                  </m:r>
                  <m:r>
                    <w:rPr>
                      <w:rFonts w:ascii="Cambria Math" w:hAnsi="Cambria Math" w:cs="Calibri"/>
                    </w:rPr>
                    <m:t>BK</m:t>
                  </m:r>
                  <m:r>
                    <w:rPr>
                      <w:rFonts w:ascii="Cambria Math" w:cs="Calibri"/>
                    </w:rPr>
                    <m:t>),</m:t>
                  </m:r>
                  <m:r>
                    <w:rPr>
                      <w:rFonts w:ascii="Cambria Math" w:hAnsi="Cambria Math" w:cs="Calibri"/>
                    </w:rPr>
                    <m:t>D</m:t>
                  </m:r>
                </m:sub>
              </m:sSub>
              <m:r>
                <w:rPr>
                  <w:rFonts w:ascii="Cambria Math" w:cs="Calibri"/>
                </w:rPr>
                <m:t>=</m:t>
              </m:r>
              <m:sSub>
                <m:sSubPr>
                  <m:ctrlPr>
                    <w:rPr>
                      <w:rFonts w:ascii="Cambria Math" w:hAnsi="Cambria Math" w:cs="Calibri"/>
                      <w:i/>
                    </w:rPr>
                  </m:ctrlPr>
                </m:sSubPr>
                <m:e>
                  <m:r>
                    <w:rPr>
                      <w:rFonts w:ascii="Cambria Math" w:hAnsi="Cambria Math" w:cs="Calibri"/>
                    </w:rPr>
                    <m:t>Allokationsersatzwert</m:t>
                  </m:r>
                </m:e>
                <m:sub>
                  <m:r>
                    <w:rPr>
                      <w:rFonts w:ascii="Cambria Math" w:hAnsi="Cambria Math" w:cs="Calibri"/>
                    </w:rPr>
                    <m:t>BK</m:t>
                  </m:r>
                  <m:r>
                    <w:rPr>
                      <w:rFonts w:ascii="Cambria Math" w:cs="Calibri"/>
                    </w:rPr>
                    <m:t xml:space="preserve">, </m:t>
                  </m:r>
                  <m:r>
                    <w:rPr>
                      <w:rFonts w:ascii="Cambria Math" w:hAnsi="Cambria Math" w:cs="Calibri"/>
                    </w:rPr>
                    <m:t>D</m:t>
                  </m:r>
                </m:sub>
              </m:sSub>
            </m:e>
          </m:nary>
        </m:oMath>
      </m:oMathPara>
    </w:p>
    <w:p w14:paraId="0F75280E" w14:textId="465B6A7D" w:rsidR="00166735" w:rsidRPr="00960B64" w:rsidRDefault="00166735" w:rsidP="003C2438">
      <w:pPr>
        <w:rPr>
          <w:rFonts w:cs="Calibri"/>
        </w:rPr>
      </w:pPr>
      <w:r w:rsidRPr="00960B64">
        <w:rPr>
          <w:rFonts w:cs="Calibri"/>
        </w:rPr>
        <w:t>mit:</w:t>
      </w:r>
    </w:p>
    <w:p w14:paraId="1C8E5B3C" w14:textId="22B9ADAD" w:rsidR="00166735" w:rsidRPr="00960B64" w:rsidRDefault="00166735" w:rsidP="003C2438">
      <w:pPr>
        <w:rPr>
          <w:rFonts w:cs="Calibri"/>
        </w:rPr>
      </w:pPr>
      <w:r w:rsidRPr="00960B64">
        <w:rPr>
          <w:rFonts w:cs="Calibri"/>
        </w:rPr>
        <w:t xml:space="preserve">n = Anzahl der </w:t>
      </w:r>
      <w:r w:rsidR="00F553AD">
        <w:t>Marktlokationen</w:t>
      </w:r>
      <w:r w:rsidRPr="00960B64">
        <w:rPr>
          <w:rFonts w:cs="Calibri"/>
        </w:rPr>
        <w:t>, die am Tag D dem Bilanzkreis BK zugeordnet sind.</w:t>
      </w:r>
    </w:p>
    <w:p w14:paraId="1C4EBE7A" w14:textId="77777777" w:rsidR="00166735" w:rsidRPr="00960B64" w:rsidRDefault="00166735" w:rsidP="003C2438">
      <w:pPr>
        <w:autoSpaceDE w:val="0"/>
        <w:autoSpaceDN w:val="0"/>
        <w:adjustRightInd w:val="0"/>
        <w:rPr>
          <w:rFonts w:cs="Calibri"/>
        </w:rPr>
      </w:pPr>
    </w:p>
    <w:p w14:paraId="13EE1235" w14:textId="3C11184C" w:rsidR="00166735" w:rsidRDefault="00166735" w:rsidP="003C2438">
      <w:r w:rsidRPr="00960B64">
        <w:rPr>
          <w:rFonts w:cs="Calibri"/>
        </w:rPr>
        <w:t>Falls der NB für den Tag D einen Allokationswert von Null an den MGV</w:t>
      </w:r>
      <w:r w:rsidRPr="0060515B">
        <w:t xml:space="preserve"> meldet, der MGV aber einen Allokationsersatzwert ungleich Null verwendet hat, kann das voranstehende Vorgehen nicht angewandt werden. In diesem Fall ist durch den NB eine Klärung mit allen beteiligten Marktpartnern herbeizuführen.</w:t>
      </w:r>
    </w:p>
    <w:p w14:paraId="2F3D4476" w14:textId="48488157" w:rsidR="00166735" w:rsidRDefault="00F553AD" w:rsidP="00372A70">
      <w:pPr>
        <w:pStyle w:val="berschrift3"/>
        <w:tabs>
          <w:tab w:val="num" w:pos="1134"/>
        </w:tabs>
        <w:spacing w:before="480"/>
        <w:ind w:left="1146" w:hanging="1106"/>
      </w:pPr>
      <w:bookmarkStart w:id="2097" w:name="_Toc405803684"/>
      <w:bookmarkStart w:id="2098" w:name="_Toc410395191"/>
      <w:bookmarkStart w:id="2099" w:name="_Toc411597975"/>
      <w:bookmarkStart w:id="2100" w:name="_Ref412102486"/>
      <w:bookmarkStart w:id="2101" w:name="_Ref412102509"/>
      <w:bookmarkStart w:id="2102" w:name="_Ref412102784"/>
      <w:bookmarkStart w:id="2103" w:name="_Toc412661427"/>
      <w:bookmarkStart w:id="2104" w:name="_Toc111118553"/>
      <w:r>
        <w:t xml:space="preserve">Marktlokationsscharfe </w:t>
      </w:r>
      <w:r w:rsidR="00166735">
        <w:t>Ermittlung von Mehr-/Mindermengen</w:t>
      </w:r>
      <w:bookmarkEnd w:id="2097"/>
      <w:bookmarkEnd w:id="2098"/>
      <w:bookmarkEnd w:id="2099"/>
      <w:bookmarkEnd w:id="2100"/>
      <w:bookmarkEnd w:id="2101"/>
      <w:bookmarkEnd w:id="2102"/>
      <w:bookmarkEnd w:id="2103"/>
      <w:bookmarkEnd w:id="2104"/>
    </w:p>
    <w:p w14:paraId="5C782819" w14:textId="1950ED98" w:rsidR="00166735" w:rsidRDefault="00166735" w:rsidP="003C2438">
      <w:pPr>
        <w:autoSpaceDE w:val="0"/>
        <w:autoSpaceDN w:val="0"/>
        <w:adjustRightInd w:val="0"/>
      </w:pPr>
      <w:r>
        <w:t xml:space="preserve">Für die Ermittlung der </w:t>
      </w:r>
      <w:r w:rsidR="00F553AD">
        <w:t>marktlokationsscharfe</w:t>
      </w:r>
      <w:r w:rsidR="0030651D">
        <w:t>n</w:t>
      </w:r>
      <w:r>
        <w:t xml:space="preserve"> Mehr-/Mindermengen müssen folgende Bedingungen erfüllt sein:</w:t>
      </w:r>
    </w:p>
    <w:p w14:paraId="08A740FE" w14:textId="36F21C38" w:rsidR="00166735" w:rsidRDefault="00166735" w:rsidP="007F76BC">
      <w:pPr>
        <w:pStyle w:val="Listenabsatz"/>
        <w:numPr>
          <w:ilvl w:val="0"/>
          <w:numId w:val="51"/>
        </w:numPr>
        <w:autoSpaceDE w:val="0"/>
        <w:autoSpaceDN w:val="0"/>
        <w:adjustRightInd w:val="0"/>
        <w:contextualSpacing w:val="0"/>
      </w:pPr>
      <w:r w:rsidRPr="00AA6400">
        <w:t xml:space="preserve">Für die </w:t>
      </w:r>
      <w:r w:rsidR="00F553AD">
        <w:t>Marktlokation</w:t>
      </w:r>
      <w:r w:rsidRPr="00AA6400">
        <w:t xml:space="preserve"> liegt die Entnahmemenge durch Ablesung oder Ersatzwertverfahren gemäß </w:t>
      </w:r>
      <w:r>
        <w:t>DVGW</w:t>
      </w:r>
      <w:r w:rsidR="00BF5D73">
        <w:t>-</w:t>
      </w:r>
      <w:r>
        <w:t xml:space="preserve">Arbeitsblatt </w:t>
      </w:r>
      <w:r w:rsidRPr="00AA6400">
        <w:t>G</w:t>
      </w:r>
      <w:r>
        <w:t xml:space="preserve"> </w:t>
      </w:r>
      <w:r w:rsidRPr="00AA6400">
        <w:t>685 für den Netznutzungszeitraum vor.</w:t>
      </w:r>
    </w:p>
    <w:p w14:paraId="1375180F" w14:textId="22AEF7EB" w:rsidR="00166735" w:rsidRDefault="00166735" w:rsidP="007F76BC">
      <w:pPr>
        <w:pStyle w:val="Listenabsatz"/>
        <w:numPr>
          <w:ilvl w:val="0"/>
          <w:numId w:val="51"/>
        </w:numPr>
        <w:autoSpaceDE w:val="0"/>
        <w:autoSpaceDN w:val="0"/>
        <w:adjustRightInd w:val="0"/>
        <w:contextualSpacing w:val="0"/>
      </w:pPr>
      <w:r w:rsidRPr="002F12F5">
        <w:t>Die vom NB den Bilanzkreisen zugeordneten Mengen</w:t>
      </w:r>
      <w:r w:rsidRPr="002F12F5" w:rsidDel="00631BB1">
        <w:t xml:space="preserve"> </w:t>
      </w:r>
      <w:r w:rsidRPr="002F12F5">
        <w:t xml:space="preserve">ggfs. inkl. der vom NB aufgeteilten Allokationsersatzwerte des MGV liegen </w:t>
      </w:r>
      <w:r w:rsidR="00F553AD">
        <w:t>marktlokationsscharfe</w:t>
      </w:r>
      <w:r w:rsidRPr="002F12F5">
        <w:t xml:space="preserve"> für den Bilanzierungszeitraum vor.</w:t>
      </w:r>
    </w:p>
    <w:p w14:paraId="0E28AB61" w14:textId="76DE021C" w:rsidR="00166735" w:rsidRPr="00CE0E00" w:rsidRDefault="00166735" w:rsidP="003C2438">
      <w:pPr>
        <w:tabs>
          <w:tab w:val="left" w:pos="426"/>
        </w:tabs>
        <w:rPr>
          <w:rFonts w:cs="Arial"/>
          <w:bCs/>
        </w:rPr>
      </w:pPr>
      <w:r w:rsidRPr="00CE0E00">
        <w:rPr>
          <w:rFonts w:cs="Arial"/>
          <w:bCs/>
        </w:rPr>
        <w:t>Daten aus dem Allokationsclearingverfahren werden bei der Berechnung der Mehr-/Minder</w:t>
      </w:r>
      <w:r>
        <w:rPr>
          <w:rFonts w:cs="Arial"/>
          <w:bCs/>
        </w:rPr>
        <w:t>-</w:t>
      </w:r>
      <w:r w:rsidRPr="00CE0E00">
        <w:rPr>
          <w:rFonts w:cs="Arial"/>
          <w:bCs/>
        </w:rPr>
        <w:t>mengen berücksichtigt.</w:t>
      </w:r>
    </w:p>
    <w:p w14:paraId="494356FE" w14:textId="2D69C4F2" w:rsidR="00166735" w:rsidRPr="002F12F5" w:rsidRDefault="00166735" w:rsidP="003C2438">
      <w:pPr>
        <w:autoSpaceDE w:val="0"/>
        <w:autoSpaceDN w:val="0"/>
        <w:adjustRightInd w:val="0"/>
      </w:pPr>
      <w:r w:rsidRPr="002F12F5">
        <w:lastRenderedPageBreak/>
        <w:t xml:space="preserve">Im Detail sind </w:t>
      </w:r>
      <w:r>
        <w:t xml:space="preserve">bei der Ermittlung der </w:t>
      </w:r>
      <w:r w:rsidR="00F553AD">
        <w:t>marktlokationsscharfe</w:t>
      </w:r>
      <w:r>
        <w:t>n Mehr-/Mindermengen</w:t>
      </w:r>
      <w:r w:rsidRPr="002F12F5">
        <w:t xml:space="preserve"> nachfolgende Regelungen zu berücksichtigen:</w:t>
      </w:r>
    </w:p>
    <w:p w14:paraId="376D354D" w14:textId="77777777" w:rsidR="00166735" w:rsidRDefault="00166735" w:rsidP="007F76BC">
      <w:pPr>
        <w:pStyle w:val="Listenabsatz"/>
        <w:numPr>
          <w:ilvl w:val="0"/>
          <w:numId w:val="51"/>
        </w:numPr>
        <w:autoSpaceDE w:val="0"/>
        <w:autoSpaceDN w:val="0"/>
        <w:adjustRightInd w:val="0"/>
        <w:contextualSpacing w:val="0"/>
      </w:pPr>
      <w:r w:rsidRPr="002F12F5">
        <w:t>Die bilanzierte Menge</w:t>
      </w:r>
      <w:r>
        <w:t xml:space="preserve"> und die Entnahmemenge in kWh wer</w:t>
      </w:r>
      <w:r w:rsidRPr="002F12F5">
        <w:t>d</w:t>
      </w:r>
      <w:r>
        <w:t>en</w:t>
      </w:r>
      <w:r w:rsidRPr="002F12F5">
        <w:t xml:space="preserve"> auf drei Nachkommastellen kaufmännisch gerundet.</w:t>
      </w:r>
    </w:p>
    <w:p w14:paraId="73A29B71" w14:textId="77777777" w:rsidR="00166735" w:rsidRDefault="00166735" w:rsidP="007F76BC">
      <w:pPr>
        <w:pStyle w:val="Listenabsatz"/>
        <w:numPr>
          <w:ilvl w:val="0"/>
          <w:numId w:val="51"/>
        </w:numPr>
        <w:autoSpaceDE w:val="0"/>
        <w:autoSpaceDN w:val="0"/>
        <w:adjustRightInd w:val="0"/>
        <w:contextualSpacing w:val="0"/>
      </w:pPr>
      <w:r w:rsidRPr="002F12F5">
        <w:t>Die ermittelte Mehr-/Mindermenge wird kaufmännisch auf ganze kWh gerundet.</w:t>
      </w:r>
    </w:p>
    <w:p w14:paraId="40324167" w14:textId="77777777" w:rsidR="00166735" w:rsidRDefault="00166735" w:rsidP="003C2438">
      <w:pPr>
        <w:autoSpaceDE w:val="0"/>
        <w:autoSpaceDN w:val="0"/>
        <w:adjustRightInd w:val="0"/>
      </w:pPr>
      <w:r w:rsidRPr="002F12F5">
        <w:t>Es gilt:</w:t>
      </w:r>
      <w:r>
        <w:t xml:space="preserve"> </w:t>
      </w:r>
      <w:r w:rsidRPr="002F12F5">
        <w:t>bilanzierte Menge</w:t>
      </w:r>
      <w:r>
        <w:t xml:space="preserve"> - Entnahmemenge = Mehr-/Mindermenge</w:t>
      </w:r>
    </w:p>
    <w:p w14:paraId="6303CFED" w14:textId="77777777" w:rsidR="00166735" w:rsidRPr="002F12F5" w:rsidRDefault="00166735" w:rsidP="003C2438">
      <w:pPr>
        <w:autoSpaceDE w:val="0"/>
        <w:autoSpaceDN w:val="0"/>
        <w:adjustRightInd w:val="0"/>
      </w:pPr>
      <w:r>
        <w:t>Ist der Wert der Mehr-/Mindermenge positiv, so handelt es sich um eine Mehrmenge, ist er negativ, handelt es sich um eine Mindermenge.</w:t>
      </w:r>
    </w:p>
    <w:p w14:paraId="244CAA31" w14:textId="3E03D898" w:rsidR="00166735" w:rsidRPr="002F12F5" w:rsidRDefault="00166735" w:rsidP="003C2438">
      <w:pPr>
        <w:autoSpaceDE w:val="0"/>
        <w:autoSpaceDN w:val="0"/>
        <w:adjustRightInd w:val="0"/>
      </w:pPr>
      <w:r w:rsidRPr="002F12F5">
        <w:t>Der maßgebliche Zeitraum für die Ermittlung der Entnahmemenge ist der Abrechnungszeitraum der relevanten Netznutzung.</w:t>
      </w:r>
    </w:p>
    <w:p w14:paraId="2C29CD47" w14:textId="77777777" w:rsidR="00166735" w:rsidRPr="002F12F5" w:rsidRDefault="00166735" w:rsidP="003C2438">
      <w:pPr>
        <w:autoSpaceDE w:val="0"/>
        <w:autoSpaceDN w:val="0"/>
        <w:adjustRightInd w:val="0"/>
        <w:spacing w:after="0"/>
      </w:pPr>
      <w:r w:rsidRPr="002F12F5">
        <w:t xml:space="preserve">Der maßgebliche Zeitraum für die Ermittlung der bilanzierten Menge ist der für den Abrechnungszeitraum </w:t>
      </w:r>
      <w:r w:rsidRPr="00494ED6">
        <w:t xml:space="preserve">der Netznutzung </w:t>
      </w:r>
      <w:r>
        <w:t>zugehörige</w:t>
      </w:r>
      <w:r w:rsidRPr="002F12F5">
        <w:t xml:space="preserve"> Bilanzierungszeitraum unter Berücksichtigung </w:t>
      </w:r>
      <w:r w:rsidRPr="00494ED6">
        <w:t>von</w:t>
      </w:r>
      <w:r w:rsidRPr="002F12F5">
        <w:t xml:space="preserve"> asynchronen Zeiträume</w:t>
      </w:r>
      <w:r>
        <w:t>n</w:t>
      </w:r>
      <w:r w:rsidRPr="002F12F5">
        <w:t>.</w:t>
      </w:r>
    </w:p>
    <w:p w14:paraId="5AB4EE77" w14:textId="77777777" w:rsidR="00166735" w:rsidRPr="002F12F5" w:rsidRDefault="00166735" w:rsidP="003C2438">
      <w:pPr>
        <w:autoSpaceDE w:val="0"/>
        <w:autoSpaceDN w:val="0"/>
        <w:adjustRightInd w:val="0"/>
        <w:spacing w:after="0"/>
      </w:pPr>
    </w:p>
    <w:p w14:paraId="6A2D249E" w14:textId="77777777" w:rsidR="00166735" w:rsidRDefault="00166735" w:rsidP="003C2438">
      <w:pPr>
        <w:autoSpaceDE w:val="0"/>
        <w:autoSpaceDN w:val="0"/>
        <w:adjustRightInd w:val="0"/>
      </w:pPr>
      <w:r w:rsidRPr="002F12F5">
        <w:t>Der Mehr-/Mindermengenzeitraum wird definiert durch den frühesten Starttermin und den spätesten Endtermin der beiden Zeiträume „Bilanzierungszeitraum“ und „Netznutzungszeitraum“.</w:t>
      </w:r>
      <w:r>
        <w:t xml:space="preserve"> </w:t>
      </w:r>
      <w:r w:rsidRPr="002F12F5">
        <w:t>Somit sind folgende Fälle zu unterscheiden:</w:t>
      </w:r>
    </w:p>
    <w:p w14:paraId="60E2B5FC" w14:textId="77777777" w:rsidR="00166735" w:rsidRPr="002F12F5" w:rsidRDefault="00166735" w:rsidP="003C2438">
      <w:pPr>
        <w:rPr>
          <w:u w:val="single"/>
        </w:rPr>
      </w:pPr>
      <w:r w:rsidRPr="002F12F5">
        <w:rPr>
          <w:u w:val="single"/>
        </w:rPr>
        <w:t xml:space="preserve">Fall 1: Zeiträume von Netznutzung und Bilanzierung sind identisch (synchron): </w:t>
      </w:r>
    </w:p>
    <w:p w14:paraId="746C76A9" w14:textId="77777777" w:rsidR="00166735" w:rsidRPr="002F12F5" w:rsidRDefault="00166735" w:rsidP="003C2438">
      <w:r w:rsidRPr="002F12F5">
        <w:t>Für die Mehr-/Mindermengenermittlung ist der Abrechnungszeitraum der Netznutzung (Turnus) maßgeblich. Besteht keine Notwendigkeit, dass der Bilanzierungszeitraum vom Netznutzungszeitraum abweicht, ist der Bilanzierungszeitraum identisch zum Netznutzungszeitraum zu wählen.</w:t>
      </w:r>
    </w:p>
    <w:p w14:paraId="001123BD" w14:textId="349912C4" w:rsidR="00166735" w:rsidRDefault="00166735" w:rsidP="003C2438">
      <w:r w:rsidRPr="002F12F5">
        <w:t>Auslöser für die Mehr-/Mindermengenermittlung ist die Netznutzungsabrechnung.</w:t>
      </w:r>
    </w:p>
    <w:p w14:paraId="2C94C455" w14:textId="77777777" w:rsidR="00166735" w:rsidRPr="008D0194" w:rsidRDefault="00166735" w:rsidP="003C2438">
      <w:r w:rsidRPr="008D0194">
        <w:t>Beispiel:</w:t>
      </w:r>
    </w:p>
    <w:p w14:paraId="623CACF9" w14:textId="6F71B0FB" w:rsidR="00166735" w:rsidRPr="008D0194" w:rsidRDefault="00166735" w:rsidP="003C2438">
      <w:pPr>
        <w:ind w:left="6"/>
        <w:contextualSpacing/>
      </w:pPr>
      <w:r w:rsidRPr="008D0194">
        <w:t>Netznutzungszeitraum: 07.04.2016 bis 07.04.2017</w:t>
      </w:r>
    </w:p>
    <w:p w14:paraId="4CC4A77F" w14:textId="779F8DD5" w:rsidR="00166735" w:rsidRPr="008D0194" w:rsidRDefault="00166735" w:rsidP="003C2438">
      <w:pPr>
        <w:ind w:left="6"/>
        <w:contextualSpacing/>
      </w:pPr>
      <w:r w:rsidRPr="008D0194">
        <w:t>Entnahmemenge: 10.000 kWh</w:t>
      </w:r>
    </w:p>
    <w:p w14:paraId="2F5A8137" w14:textId="66DFD476" w:rsidR="00166735" w:rsidRPr="008D0194" w:rsidRDefault="00166735" w:rsidP="003C2438">
      <w:pPr>
        <w:ind w:left="6"/>
        <w:contextualSpacing/>
      </w:pPr>
      <w:r w:rsidRPr="008D0194">
        <w:t>Bilanzierungszeitraum: 07.04.2016 bis 07.04.2017</w:t>
      </w:r>
    </w:p>
    <w:p w14:paraId="3E1BD8CC" w14:textId="77777777" w:rsidR="00166735" w:rsidRPr="008D0194" w:rsidRDefault="00166735" w:rsidP="003C2438">
      <w:pPr>
        <w:ind w:left="6"/>
        <w:contextualSpacing/>
      </w:pPr>
      <w:r w:rsidRPr="008D0194">
        <w:t>bilanzierte Menge: 12.000 kWh</w:t>
      </w:r>
    </w:p>
    <w:p w14:paraId="4D58DE54" w14:textId="312930FA" w:rsidR="00166735" w:rsidRPr="008D0194" w:rsidRDefault="00166735" w:rsidP="003C2438">
      <w:pPr>
        <w:ind w:left="6"/>
        <w:contextualSpacing/>
      </w:pPr>
      <w:r w:rsidRPr="008D0194">
        <w:t>Mehr-/Mindermengenzeitraum: 07.04.2016 bis 07.04.2017</w:t>
      </w:r>
    </w:p>
    <w:p w14:paraId="65561CA6" w14:textId="77777777" w:rsidR="00166735" w:rsidRPr="008D0194" w:rsidRDefault="00166735" w:rsidP="003C2438">
      <w:pPr>
        <w:ind w:left="6"/>
        <w:contextualSpacing/>
      </w:pPr>
      <w:r w:rsidRPr="008D0194">
        <w:t>Ermittlung der Mehr-/Mindermenge:</w:t>
      </w:r>
    </w:p>
    <w:p w14:paraId="3395E7DE" w14:textId="77777777" w:rsidR="00166735" w:rsidRPr="008D0194" w:rsidRDefault="00166735" w:rsidP="003C2438">
      <w:pPr>
        <w:ind w:left="6"/>
        <w:contextualSpacing/>
      </w:pPr>
      <w:r w:rsidRPr="008D0194">
        <w:t>12.000 kWh - 10.000 kWh = 2.000 kWh (Mehrmenge)</w:t>
      </w:r>
    </w:p>
    <w:p w14:paraId="18ED0824" w14:textId="1448A7F0" w:rsidR="00166735" w:rsidRPr="008D0194" w:rsidRDefault="00166735" w:rsidP="003C2438">
      <w:pPr>
        <w:ind w:left="6"/>
        <w:contextualSpacing/>
      </w:pPr>
      <w:r w:rsidRPr="008C6513">
        <w:t>Anwendungsmonat</w:t>
      </w:r>
      <w:r w:rsidRPr="008D0194">
        <w:t>: April 2017</w:t>
      </w:r>
    </w:p>
    <w:p w14:paraId="585E1469" w14:textId="77777777" w:rsidR="00166735" w:rsidRDefault="00166735" w:rsidP="003C2438">
      <w:pPr>
        <w:autoSpaceDE w:val="0"/>
        <w:autoSpaceDN w:val="0"/>
        <w:adjustRightInd w:val="0"/>
        <w:rPr>
          <w:u w:val="single"/>
        </w:rPr>
      </w:pPr>
    </w:p>
    <w:p w14:paraId="2C41D6FD" w14:textId="77777777" w:rsidR="00166735" w:rsidRPr="002F12F5" w:rsidRDefault="00166735" w:rsidP="003C2438">
      <w:pPr>
        <w:ind w:left="3"/>
        <w:rPr>
          <w:u w:val="single"/>
        </w:rPr>
      </w:pPr>
      <w:r w:rsidRPr="002F12F5">
        <w:rPr>
          <w:u w:val="single"/>
        </w:rPr>
        <w:t>Fall 2: Zeiträume von Netznutzung und Bilanzierung sind nicht identisch (asynchron):</w:t>
      </w:r>
    </w:p>
    <w:p w14:paraId="74E16F64" w14:textId="77777777" w:rsidR="00166735" w:rsidRPr="002F12F5" w:rsidRDefault="00166735" w:rsidP="003C2438">
      <w:r w:rsidRPr="002F12F5">
        <w:t>Dieser Fall lässt sich unterteilen:</w:t>
      </w:r>
    </w:p>
    <w:p w14:paraId="077B341C" w14:textId="77777777" w:rsidR="00166735" w:rsidRPr="002F12F5" w:rsidRDefault="00166735" w:rsidP="003C2438">
      <w:pPr>
        <w:ind w:left="3"/>
        <w:rPr>
          <w:u w:val="single"/>
        </w:rPr>
      </w:pPr>
      <w:r w:rsidRPr="002F12F5">
        <w:rPr>
          <w:u w:val="single"/>
        </w:rPr>
        <w:lastRenderedPageBreak/>
        <w:t>2a:</w:t>
      </w:r>
      <w:r w:rsidRPr="00B54DD9">
        <w:rPr>
          <w:u w:val="single"/>
        </w:rPr>
        <w:t xml:space="preserve"> </w:t>
      </w:r>
      <w:r w:rsidRPr="002F12F5">
        <w:rPr>
          <w:u w:val="single"/>
        </w:rPr>
        <w:t xml:space="preserve">Sowohl der Netznutzungszeitraum </w:t>
      </w:r>
      <w:r>
        <w:rPr>
          <w:u w:val="single"/>
        </w:rPr>
        <w:t>als auch</w:t>
      </w:r>
      <w:r w:rsidRPr="002F12F5">
        <w:rPr>
          <w:u w:val="single"/>
        </w:rPr>
        <w:t xml:space="preserve"> der Bilanzierungszeitraum sind vorhanden, jedoch nicht identisch</w:t>
      </w:r>
    </w:p>
    <w:p w14:paraId="1C8AD57D" w14:textId="77777777" w:rsidR="00166735" w:rsidRPr="002F12F5" w:rsidRDefault="00166735" w:rsidP="003C2438">
      <w:pPr>
        <w:ind w:left="3"/>
      </w:pPr>
      <w:r w:rsidRPr="002F12F5">
        <w:t>Auslöser für die Mehr-/Mindermengenermittlung ist die Netznut</w:t>
      </w:r>
      <w:r>
        <w:t>zungsabrechnung.</w:t>
      </w:r>
    </w:p>
    <w:p w14:paraId="152CE28C" w14:textId="77777777" w:rsidR="00166735" w:rsidRPr="008D0194" w:rsidRDefault="00166735" w:rsidP="003C2438">
      <w:pPr>
        <w:ind w:left="3"/>
      </w:pPr>
      <w:r w:rsidRPr="008D0194">
        <w:t>Beispiel:</w:t>
      </w:r>
    </w:p>
    <w:p w14:paraId="75FBC8EE" w14:textId="3F111FF0" w:rsidR="00166735" w:rsidRPr="008D0194" w:rsidRDefault="00166735" w:rsidP="003C2438">
      <w:pPr>
        <w:spacing w:after="0"/>
        <w:ind w:left="3"/>
      </w:pPr>
      <w:r w:rsidRPr="008D0194">
        <w:t>Ein LF meldet vor dem 15. W</w:t>
      </w:r>
      <w:r>
        <w:t>erktag</w:t>
      </w:r>
      <w:r w:rsidRPr="008D0194">
        <w:t xml:space="preserve"> im Januar 2016 einen </w:t>
      </w:r>
      <w:r>
        <w:t xml:space="preserve">Lieferbeginn (Einzug) zum </w:t>
      </w:r>
      <w:r w:rsidRPr="008D0194">
        <w:t>7.</w:t>
      </w:r>
      <w:r>
        <w:rPr>
          <w:rFonts w:cs="Arial"/>
          <w:bCs/>
        </w:rPr>
        <w:t xml:space="preserve"> Januar </w:t>
      </w:r>
      <w:r w:rsidRPr="008D0194">
        <w:t xml:space="preserve">2016 und </w:t>
      </w:r>
      <w:r w:rsidRPr="008D0194">
        <w:rPr>
          <w:u w:val="single"/>
        </w:rPr>
        <w:t>vor</w:t>
      </w:r>
      <w:r w:rsidRPr="008D0194">
        <w:t xml:space="preserve"> dem 15.</w:t>
      </w:r>
      <w:r>
        <w:t xml:space="preserve"> </w:t>
      </w:r>
      <w:r w:rsidRPr="008D0194">
        <w:t>W</w:t>
      </w:r>
      <w:r>
        <w:t>erktag</w:t>
      </w:r>
      <w:r w:rsidRPr="008D0194">
        <w:t xml:space="preserve"> im Dezember 2016 ei</w:t>
      </w:r>
      <w:r>
        <w:t xml:space="preserve">n Lieferende (Auszug) zum 14. Dezember </w:t>
      </w:r>
      <w:r w:rsidRPr="008D0194">
        <w:t>2016.</w:t>
      </w:r>
    </w:p>
    <w:p w14:paraId="57585BE1" w14:textId="77777777" w:rsidR="00166735" w:rsidRDefault="00166735" w:rsidP="003C2438">
      <w:pPr>
        <w:autoSpaceDE w:val="0"/>
        <w:autoSpaceDN w:val="0"/>
        <w:adjustRightInd w:val="0"/>
      </w:pPr>
    </w:p>
    <w:p w14:paraId="73C9A5AB" w14:textId="1AA739A6" w:rsidR="00166735" w:rsidRPr="008D0194" w:rsidRDefault="00166735" w:rsidP="00C824D5">
      <w:pPr>
        <w:spacing w:after="0"/>
        <w:ind w:left="3"/>
      </w:pPr>
      <w:r w:rsidRPr="008D0194">
        <w:t>Netznutzungszeitraum: 07.01.2016 bis 14.12.2016</w:t>
      </w:r>
    </w:p>
    <w:p w14:paraId="19E596A5" w14:textId="77777777" w:rsidR="00166735" w:rsidRPr="008D0194" w:rsidRDefault="00166735" w:rsidP="00C824D5">
      <w:pPr>
        <w:spacing w:after="0"/>
        <w:ind w:left="3"/>
      </w:pPr>
      <w:r w:rsidRPr="008D0194">
        <w:t>Entnahmemenge: 11.000 kWh</w:t>
      </w:r>
    </w:p>
    <w:p w14:paraId="17D105CB" w14:textId="75B62A4F" w:rsidR="00166735" w:rsidRPr="008D0194" w:rsidRDefault="00166735" w:rsidP="00C824D5">
      <w:pPr>
        <w:spacing w:after="0"/>
        <w:ind w:left="3"/>
      </w:pPr>
      <w:r w:rsidRPr="008D0194">
        <w:t>Bilanzierungszeitraum: 01.02.2016 bis 31.12.2016</w:t>
      </w:r>
    </w:p>
    <w:p w14:paraId="48D80C05" w14:textId="77777777" w:rsidR="00166735" w:rsidRPr="008D0194" w:rsidRDefault="00166735" w:rsidP="00C824D5">
      <w:pPr>
        <w:spacing w:after="0"/>
        <w:ind w:left="3"/>
      </w:pPr>
      <w:r w:rsidRPr="008D0194">
        <w:t>bilanzierte Menge: 9.000 kWh</w:t>
      </w:r>
    </w:p>
    <w:p w14:paraId="2351FC67" w14:textId="5E255427" w:rsidR="00166735" w:rsidRPr="008D0194" w:rsidRDefault="00166735" w:rsidP="00C824D5">
      <w:pPr>
        <w:spacing w:after="0"/>
        <w:ind w:left="3"/>
      </w:pPr>
      <w:r w:rsidRPr="008D0194">
        <w:t>Mehr-/Mindermengenzeitraum: 07.01.2016 bis 31.12.2016</w:t>
      </w:r>
    </w:p>
    <w:p w14:paraId="1B4CB411" w14:textId="77777777" w:rsidR="00166735" w:rsidRPr="008D0194" w:rsidRDefault="00166735" w:rsidP="00C824D5">
      <w:pPr>
        <w:spacing w:after="0"/>
        <w:ind w:left="3"/>
      </w:pPr>
      <w:r w:rsidRPr="008D0194">
        <w:t>Ermittlung der Mehr-/Mindermenge:</w:t>
      </w:r>
    </w:p>
    <w:p w14:paraId="68A4AFF0" w14:textId="77777777" w:rsidR="00166735" w:rsidRPr="008D0194" w:rsidRDefault="00166735" w:rsidP="00C824D5">
      <w:pPr>
        <w:spacing w:after="0"/>
        <w:ind w:left="3"/>
      </w:pPr>
      <w:r w:rsidRPr="008D0194">
        <w:t>9.000 kWh - 11.000 kWh = -2.000 kWh (Mindermenge)</w:t>
      </w:r>
    </w:p>
    <w:p w14:paraId="10FE7A22" w14:textId="1783087B" w:rsidR="00166735" w:rsidRDefault="00166735" w:rsidP="00C824D5">
      <w:pPr>
        <w:spacing w:after="0"/>
        <w:ind w:left="3"/>
      </w:pPr>
      <w:r w:rsidRPr="008C6513">
        <w:t>Anwendungsmonat</w:t>
      </w:r>
      <w:r w:rsidRPr="008D0194">
        <w:t>: Dezember 2016</w:t>
      </w:r>
    </w:p>
    <w:p w14:paraId="18E90B96" w14:textId="77777777" w:rsidR="00630E98" w:rsidRPr="008D0194" w:rsidRDefault="00630E98" w:rsidP="00630E98">
      <w:pPr>
        <w:ind w:left="6"/>
        <w:contextualSpacing/>
      </w:pPr>
    </w:p>
    <w:p w14:paraId="54C7471D" w14:textId="0F0301E6" w:rsidR="00166735" w:rsidRPr="008D0194" w:rsidRDefault="00166735" w:rsidP="00630E98">
      <w:r w:rsidRPr="008D0194">
        <w:t>Ein L</w:t>
      </w:r>
      <w:r>
        <w:t>F</w:t>
      </w:r>
      <w:r w:rsidRPr="008D0194">
        <w:t xml:space="preserve"> meldet vor dem 15. W</w:t>
      </w:r>
      <w:r>
        <w:t>erktag</w:t>
      </w:r>
      <w:r w:rsidRPr="008D0194">
        <w:t xml:space="preserve"> im Januar 2016 einen Lieferbeginn (Einzug) zum 7.</w:t>
      </w:r>
      <w:r>
        <w:t> </w:t>
      </w:r>
      <w:r>
        <w:rPr>
          <w:rFonts w:cs="Arial"/>
          <w:bCs/>
        </w:rPr>
        <w:t xml:space="preserve">Januar </w:t>
      </w:r>
      <w:r w:rsidRPr="008D0194">
        <w:t xml:space="preserve">2016 und </w:t>
      </w:r>
      <w:r w:rsidRPr="008D0194">
        <w:rPr>
          <w:u w:val="single"/>
        </w:rPr>
        <w:t>nach</w:t>
      </w:r>
      <w:r w:rsidRPr="008D0194">
        <w:t xml:space="preserve"> dem 15.</w:t>
      </w:r>
      <w:r>
        <w:t xml:space="preserve"> </w:t>
      </w:r>
      <w:r w:rsidRPr="008D0194">
        <w:t>W</w:t>
      </w:r>
      <w:r>
        <w:t>erktag</w:t>
      </w:r>
      <w:r w:rsidRPr="008D0194">
        <w:t xml:space="preserve"> im Dezember 2016 ei</w:t>
      </w:r>
      <w:r>
        <w:t xml:space="preserve">n Lieferende (Auszug) zum 14. Dezember </w:t>
      </w:r>
      <w:r w:rsidRPr="008D0194">
        <w:t>2016.</w:t>
      </w:r>
    </w:p>
    <w:p w14:paraId="7C00138D" w14:textId="77777777" w:rsidR="00166735" w:rsidRDefault="00166735" w:rsidP="003C2438">
      <w:pPr>
        <w:autoSpaceDE w:val="0"/>
        <w:autoSpaceDN w:val="0"/>
        <w:adjustRightInd w:val="0"/>
        <w:rPr>
          <w:u w:val="single"/>
        </w:rPr>
      </w:pPr>
    </w:p>
    <w:p w14:paraId="29FAF745" w14:textId="1C6EF7FE" w:rsidR="00166735" w:rsidRPr="008D0194" w:rsidRDefault="00166735" w:rsidP="003C2438">
      <w:pPr>
        <w:spacing w:after="0"/>
        <w:ind w:left="3"/>
      </w:pPr>
      <w:r w:rsidRPr="008D0194">
        <w:t>Netznutzungszeitraum: 07.01.2016 bis 14.12.2016</w:t>
      </w:r>
    </w:p>
    <w:p w14:paraId="1BECCD0A" w14:textId="77777777" w:rsidR="00166735" w:rsidRPr="008D0194" w:rsidRDefault="00166735" w:rsidP="003C2438">
      <w:pPr>
        <w:spacing w:after="0"/>
        <w:ind w:left="3"/>
      </w:pPr>
      <w:r w:rsidRPr="008D0194">
        <w:t>Entnahmemenge: 11.000 kWh</w:t>
      </w:r>
    </w:p>
    <w:p w14:paraId="6682AA3C" w14:textId="0D86033F" w:rsidR="00166735" w:rsidRPr="008D0194" w:rsidRDefault="00166735" w:rsidP="003C2438">
      <w:pPr>
        <w:spacing w:after="0"/>
        <w:ind w:left="3"/>
      </w:pPr>
      <w:r w:rsidRPr="008D0194">
        <w:t>Bilanzierungszeitraum: 01.02.2016 bis 31.01.2017</w:t>
      </w:r>
    </w:p>
    <w:p w14:paraId="3DC9A314" w14:textId="77777777" w:rsidR="00166735" w:rsidRPr="008D0194" w:rsidRDefault="00166735" w:rsidP="003C2438">
      <w:pPr>
        <w:spacing w:after="0"/>
        <w:ind w:left="3"/>
      </w:pPr>
      <w:r w:rsidRPr="008D0194">
        <w:t>bilanzierte Menge: 9.000 kWh</w:t>
      </w:r>
    </w:p>
    <w:p w14:paraId="7B820397" w14:textId="05E79C3B" w:rsidR="00166735" w:rsidRPr="008D0194" w:rsidRDefault="00166735" w:rsidP="003C2438">
      <w:pPr>
        <w:spacing w:after="0"/>
        <w:ind w:left="3"/>
      </w:pPr>
      <w:r w:rsidRPr="008D0194">
        <w:t>Mehr-/Mindermengenzeitraum: 07.01.2016 bis 31.01.2017</w:t>
      </w:r>
    </w:p>
    <w:p w14:paraId="45D0A314" w14:textId="77777777" w:rsidR="00166735" w:rsidRPr="008D0194" w:rsidRDefault="00166735" w:rsidP="003C2438">
      <w:pPr>
        <w:spacing w:after="0"/>
        <w:ind w:left="3"/>
      </w:pPr>
      <w:r w:rsidRPr="008D0194">
        <w:t>Ermittlung der Mehr-/Mindermenge:</w:t>
      </w:r>
    </w:p>
    <w:p w14:paraId="700D0D68" w14:textId="77777777" w:rsidR="00166735" w:rsidRPr="008D0194" w:rsidRDefault="00166735" w:rsidP="003C2438">
      <w:pPr>
        <w:spacing w:after="0"/>
        <w:ind w:left="3"/>
      </w:pPr>
      <w:r w:rsidRPr="008D0194">
        <w:t>9.000 kWh - 11.000 kWh = -2.000 kWh (Mindermenge)</w:t>
      </w:r>
    </w:p>
    <w:p w14:paraId="3FC83223" w14:textId="21612DD8" w:rsidR="00166735" w:rsidRPr="008D0194" w:rsidRDefault="00166735" w:rsidP="003C2438">
      <w:pPr>
        <w:ind w:left="6"/>
        <w:contextualSpacing/>
      </w:pPr>
      <w:r w:rsidRPr="008C6513">
        <w:t>Anwendungsmonat</w:t>
      </w:r>
      <w:r w:rsidRPr="008D0194">
        <w:t xml:space="preserve">: </w:t>
      </w:r>
      <w:r>
        <w:t>Januar</w:t>
      </w:r>
      <w:r w:rsidRPr="008D0194">
        <w:t xml:space="preserve"> 201</w:t>
      </w:r>
      <w:r>
        <w:t>7</w:t>
      </w:r>
    </w:p>
    <w:p w14:paraId="7E383D28" w14:textId="77777777" w:rsidR="00166735" w:rsidRPr="002F12F5" w:rsidRDefault="00166735" w:rsidP="003C2438">
      <w:pPr>
        <w:ind w:left="3"/>
      </w:pPr>
    </w:p>
    <w:p w14:paraId="4E8F1C92" w14:textId="77777777" w:rsidR="00166735" w:rsidRPr="002F12F5" w:rsidRDefault="00166735" w:rsidP="003C2438">
      <w:pPr>
        <w:ind w:left="3"/>
        <w:rPr>
          <w:u w:val="single"/>
        </w:rPr>
      </w:pPr>
      <w:r w:rsidRPr="002F12F5">
        <w:rPr>
          <w:u w:val="single"/>
        </w:rPr>
        <w:t>2b: Netznutzung ohne Bilanzierung</w:t>
      </w:r>
    </w:p>
    <w:p w14:paraId="6347DC63" w14:textId="77777777" w:rsidR="00166735" w:rsidRPr="002F12F5" w:rsidRDefault="00166735" w:rsidP="003C2438">
      <w:r w:rsidRPr="002F12F5">
        <w:t>Ist kein Bilanzierungszeitraum vorhanden (bezieht sich nicht auf asynchrone Zeiträume zwischen Bilanzierung und Netznutzung), entspricht der Mehr-/Mindermengenzeitraum dem Netznutzungszeitraum.</w:t>
      </w:r>
    </w:p>
    <w:p w14:paraId="56DEA984" w14:textId="77777777" w:rsidR="00166735" w:rsidRPr="002F12F5" w:rsidRDefault="00166735" w:rsidP="003C2438">
      <w:r w:rsidRPr="002F12F5">
        <w:t>Auslöser für die Mehr-/Mindermengenermittlung ist die Netznutzungsabrec</w:t>
      </w:r>
      <w:r>
        <w:t>hnung zum Ende der Netznutzung.</w:t>
      </w:r>
    </w:p>
    <w:p w14:paraId="371A07D8" w14:textId="77777777" w:rsidR="00166735" w:rsidRPr="008D0194" w:rsidRDefault="00166735" w:rsidP="003C2438">
      <w:r w:rsidRPr="008D0194">
        <w:t>Beispiel:</w:t>
      </w:r>
    </w:p>
    <w:p w14:paraId="7CABA99B" w14:textId="712CE24F" w:rsidR="00166735" w:rsidRPr="008D0194" w:rsidRDefault="00166735" w:rsidP="003C2438">
      <w:pPr>
        <w:ind w:left="3"/>
      </w:pPr>
      <w:r w:rsidRPr="008D0194">
        <w:lastRenderedPageBreak/>
        <w:t>Ein L</w:t>
      </w:r>
      <w:r>
        <w:t>F</w:t>
      </w:r>
      <w:r w:rsidRPr="008D0194">
        <w:t xml:space="preserve"> meldet vor dem 15. W</w:t>
      </w:r>
      <w:r>
        <w:t>erktag</w:t>
      </w:r>
      <w:r w:rsidRPr="008D0194">
        <w:t xml:space="preserve"> im Mai 2016 einen rückwirke</w:t>
      </w:r>
      <w:r>
        <w:t>nden Lieferbeginn (Einzug) zum 1. April 2016 und meldet vor dem 15. Werktag</w:t>
      </w:r>
      <w:r w:rsidRPr="008D0194">
        <w:t xml:space="preserve"> des Mai 2016 ei</w:t>
      </w:r>
      <w:r>
        <w:t xml:space="preserve">n Lieferende (Auszug) zum 30. April </w:t>
      </w:r>
      <w:r w:rsidRPr="008D0194">
        <w:t>2016.</w:t>
      </w:r>
    </w:p>
    <w:p w14:paraId="60968BBA" w14:textId="6BB74708" w:rsidR="00166735" w:rsidRPr="008D0194" w:rsidRDefault="00166735" w:rsidP="003C2438">
      <w:pPr>
        <w:ind w:left="6"/>
        <w:contextualSpacing/>
      </w:pPr>
      <w:r w:rsidRPr="008D0194">
        <w:t>Netznutzungszeitraum: 01.04.2016 bis 30.04.2016</w:t>
      </w:r>
    </w:p>
    <w:p w14:paraId="0A7B587B" w14:textId="77777777" w:rsidR="00166735" w:rsidRPr="008D0194" w:rsidRDefault="00166735" w:rsidP="003C2438">
      <w:pPr>
        <w:ind w:left="6"/>
        <w:contextualSpacing/>
      </w:pPr>
      <w:r w:rsidRPr="008D0194">
        <w:t>Entnahmemenge: 1.000 kWh</w:t>
      </w:r>
    </w:p>
    <w:p w14:paraId="38FE2E77" w14:textId="77777777" w:rsidR="00166735" w:rsidRPr="008D0194" w:rsidRDefault="00166735" w:rsidP="003C2438">
      <w:pPr>
        <w:ind w:left="6"/>
        <w:contextualSpacing/>
      </w:pPr>
      <w:r w:rsidRPr="008D0194">
        <w:t>kein Bilanzierungszeitraum</w:t>
      </w:r>
    </w:p>
    <w:p w14:paraId="0A496586" w14:textId="77777777" w:rsidR="00166735" w:rsidRPr="008D0194" w:rsidRDefault="00166735" w:rsidP="003C2438">
      <w:pPr>
        <w:ind w:left="6"/>
        <w:contextualSpacing/>
      </w:pPr>
      <w:r w:rsidRPr="008D0194">
        <w:t>keine bilanzierte Menge</w:t>
      </w:r>
    </w:p>
    <w:p w14:paraId="3CC8746F" w14:textId="3C9B477F" w:rsidR="00166735" w:rsidRPr="008D0194" w:rsidRDefault="00166735" w:rsidP="003C2438">
      <w:pPr>
        <w:ind w:left="6"/>
        <w:contextualSpacing/>
      </w:pPr>
      <w:r w:rsidRPr="008D0194">
        <w:t>Mehr-/Mindermengenzeitraum: 01.04.2016 bis 30.04.2016</w:t>
      </w:r>
    </w:p>
    <w:p w14:paraId="7127AD59" w14:textId="0F3C4430" w:rsidR="00166735" w:rsidRPr="008D0194" w:rsidRDefault="00166735" w:rsidP="003C2438">
      <w:pPr>
        <w:ind w:left="6"/>
        <w:contextualSpacing/>
      </w:pPr>
      <w:r w:rsidRPr="008D0194">
        <w:t>Ermittlung der Mehr-/Mindermenge:</w:t>
      </w:r>
    </w:p>
    <w:p w14:paraId="1A32262C" w14:textId="77777777" w:rsidR="00166735" w:rsidRPr="008D0194" w:rsidRDefault="00166735" w:rsidP="003C2438">
      <w:pPr>
        <w:ind w:left="6"/>
        <w:contextualSpacing/>
      </w:pPr>
      <w:r w:rsidRPr="008D0194">
        <w:t>0 kWh - 1.000 kWh = -1.000 kWh (Mindermenge)</w:t>
      </w:r>
    </w:p>
    <w:p w14:paraId="10EF1CC3" w14:textId="2C12B6CB" w:rsidR="00166735" w:rsidRPr="008D0194" w:rsidRDefault="00166735" w:rsidP="003C2438">
      <w:pPr>
        <w:ind w:left="6"/>
        <w:contextualSpacing/>
      </w:pPr>
      <w:r w:rsidRPr="008C6513">
        <w:t>Anwendungsmonat</w:t>
      </w:r>
      <w:r w:rsidRPr="008D0194">
        <w:t>: April 2016</w:t>
      </w:r>
    </w:p>
    <w:p w14:paraId="402F0FD9" w14:textId="77777777" w:rsidR="00166735" w:rsidRPr="002F12F5" w:rsidRDefault="00166735" w:rsidP="003C2438">
      <w:pPr>
        <w:ind w:left="3"/>
      </w:pPr>
    </w:p>
    <w:p w14:paraId="687FDBB6" w14:textId="77777777" w:rsidR="00166735" w:rsidRDefault="00166735" w:rsidP="003C2438">
      <w:pPr>
        <w:ind w:left="3"/>
      </w:pPr>
      <w:r w:rsidRPr="002F12F5">
        <w:t>Hinweis: Da in diesem Fall kein Bilanzierungszeitraum und keine bilanzierte Menge angegeben werden kann, wird auch keine bilanzierte Menge an den LF übermittelt.</w:t>
      </w:r>
    </w:p>
    <w:p w14:paraId="0C1CB3D4" w14:textId="77777777" w:rsidR="00166735" w:rsidRPr="002F12F5" w:rsidRDefault="00166735" w:rsidP="003C2438">
      <w:pPr>
        <w:ind w:left="3"/>
      </w:pPr>
    </w:p>
    <w:p w14:paraId="442B9645" w14:textId="77777777" w:rsidR="00166735" w:rsidRPr="002F12F5" w:rsidRDefault="00166735" w:rsidP="003C2438">
      <w:pPr>
        <w:rPr>
          <w:u w:val="single"/>
        </w:rPr>
      </w:pPr>
      <w:bookmarkStart w:id="2105" w:name="_Ref355680725"/>
      <w:r w:rsidRPr="002F12F5">
        <w:rPr>
          <w:u w:val="single"/>
        </w:rPr>
        <w:t>2c: Bilanzierung ohne Netznutzung</w:t>
      </w:r>
    </w:p>
    <w:p w14:paraId="5730AF21" w14:textId="16109266" w:rsidR="00166735" w:rsidRPr="002F12F5" w:rsidRDefault="00166735" w:rsidP="003C2438">
      <w:r w:rsidRPr="002F12F5">
        <w:t>Ist kein Netznutzungszeitraum vorhanden (bezieht sich nicht auf asynchrone Zeiträume zwischen Bilanzierung und Netznutzung), entspricht der Mehr-/Mindermengenzeitraum dem Bilanzierungszeitraum.</w:t>
      </w:r>
      <w:bookmarkEnd w:id="2105"/>
    </w:p>
    <w:p w14:paraId="01BB6B92" w14:textId="77777777" w:rsidR="00166735" w:rsidRPr="002F12F5" w:rsidRDefault="00166735" w:rsidP="003C2438">
      <w:r w:rsidRPr="002F12F5">
        <w:t>Auslöser für die Mehr-/Mindermengenermittlung ist das E</w:t>
      </w:r>
      <w:r>
        <w:t>nde des Bilanzierungszeitraums.</w:t>
      </w:r>
    </w:p>
    <w:p w14:paraId="0E1A66B5" w14:textId="77777777" w:rsidR="00166735" w:rsidRPr="008D0194" w:rsidRDefault="00166735" w:rsidP="003C2438">
      <w:r w:rsidRPr="008D0194">
        <w:t>Beispiel:</w:t>
      </w:r>
    </w:p>
    <w:p w14:paraId="25E2D6BE" w14:textId="37B160E5" w:rsidR="00166735" w:rsidRPr="008D0194" w:rsidRDefault="00166735" w:rsidP="003C2438">
      <w:r w:rsidRPr="008D0194">
        <w:t>Der LF „A“ meldet</w:t>
      </w:r>
      <w:r w:rsidRPr="008D0194" w:rsidDel="00CA719E">
        <w:t xml:space="preserve"> </w:t>
      </w:r>
      <w:r w:rsidRPr="008D0194">
        <w:t>fri</w:t>
      </w:r>
      <w:r>
        <w:t xml:space="preserve">stgerecht den Lieferbeginn zum 1. April </w:t>
      </w:r>
      <w:r w:rsidRPr="008D0194">
        <w:t>2016 an</w:t>
      </w:r>
      <w:r>
        <w:t>. LF „B“ meldet nach dem 16. Werktag</w:t>
      </w:r>
      <w:r w:rsidRPr="008D0194">
        <w:t xml:space="preserve"> im März e</w:t>
      </w:r>
      <w:r>
        <w:t xml:space="preserve">inen Lieferbeginn (Einzug) zum 1. April </w:t>
      </w:r>
      <w:r w:rsidRPr="008D0194">
        <w:t>2016 an und LF „A“ stimmt der Abmeldungsanfrage des NB zu.</w:t>
      </w:r>
    </w:p>
    <w:p w14:paraId="0A550F38" w14:textId="1DE5C688" w:rsidR="00166735" w:rsidRPr="008D0194" w:rsidRDefault="00166735" w:rsidP="003C2438">
      <w:pPr>
        <w:ind w:left="3"/>
        <w:contextualSpacing/>
      </w:pPr>
      <w:r w:rsidRPr="008D0194">
        <w:t>Für LF „A“:</w:t>
      </w:r>
    </w:p>
    <w:p w14:paraId="7C3582CC" w14:textId="77777777" w:rsidR="00166735" w:rsidRPr="008D0194" w:rsidRDefault="00166735" w:rsidP="003C2438">
      <w:pPr>
        <w:ind w:left="3"/>
        <w:contextualSpacing/>
      </w:pPr>
      <w:r w:rsidRPr="008D0194">
        <w:t>kein Netznutzungszeitraum</w:t>
      </w:r>
    </w:p>
    <w:p w14:paraId="2BE7D9CD" w14:textId="77777777" w:rsidR="00166735" w:rsidRPr="008D0194" w:rsidRDefault="00166735" w:rsidP="003C2438">
      <w:pPr>
        <w:ind w:left="3"/>
        <w:contextualSpacing/>
      </w:pPr>
      <w:r w:rsidRPr="008D0194">
        <w:t>keine Entnahmemenge</w:t>
      </w:r>
    </w:p>
    <w:p w14:paraId="789B5387" w14:textId="4830152B" w:rsidR="00166735" w:rsidRPr="008D0194" w:rsidRDefault="00166735" w:rsidP="003C2438">
      <w:pPr>
        <w:ind w:left="3"/>
        <w:contextualSpacing/>
      </w:pPr>
      <w:r w:rsidRPr="008D0194">
        <w:t>Bilanzierungszeitraum: 01.04.2016 bis 30.04.2016</w:t>
      </w:r>
    </w:p>
    <w:p w14:paraId="79E05BE0" w14:textId="77777777" w:rsidR="00166735" w:rsidRPr="008D0194" w:rsidRDefault="00166735" w:rsidP="003C2438">
      <w:pPr>
        <w:ind w:left="3"/>
        <w:contextualSpacing/>
      </w:pPr>
      <w:r w:rsidRPr="008D0194">
        <w:t>bilanzierte Menge: 1.000 kWh</w:t>
      </w:r>
    </w:p>
    <w:p w14:paraId="2F3187B4" w14:textId="2434172F" w:rsidR="00166735" w:rsidRPr="008D0194" w:rsidRDefault="00166735" w:rsidP="003C2438">
      <w:pPr>
        <w:ind w:left="3"/>
        <w:contextualSpacing/>
      </w:pPr>
      <w:r w:rsidRPr="008D0194">
        <w:t>Mehr-/Mindermengenzeitraum: 01.04.2016 bis 30.04.2016</w:t>
      </w:r>
    </w:p>
    <w:p w14:paraId="1A2FCA74" w14:textId="12FE1AA3" w:rsidR="00166735" w:rsidRPr="008D0194" w:rsidRDefault="00166735" w:rsidP="003C2438">
      <w:pPr>
        <w:ind w:left="3"/>
        <w:contextualSpacing/>
      </w:pPr>
      <w:r w:rsidRPr="008D0194">
        <w:t>Ermittlung der Mehr-/Mindermenge:</w:t>
      </w:r>
    </w:p>
    <w:p w14:paraId="36767140" w14:textId="77777777" w:rsidR="00166735" w:rsidRPr="008D0194" w:rsidRDefault="00166735" w:rsidP="003C2438">
      <w:pPr>
        <w:contextualSpacing/>
      </w:pPr>
      <w:r w:rsidRPr="008D0194">
        <w:t>1.000 kWh - 0 kWh = 1.000 kWh (Mehrmenge)</w:t>
      </w:r>
    </w:p>
    <w:p w14:paraId="78E3650F" w14:textId="7D6A1E0B" w:rsidR="00166735" w:rsidRPr="002F12F5" w:rsidRDefault="00166735" w:rsidP="003C2438">
      <w:pPr>
        <w:contextualSpacing/>
      </w:pPr>
      <w:r w:rsidRPr="008C6513">
        <w:t>Anwendungsmonat</w:t>
      </w:r>
      <w:r w:rsidRPr="008D0194">
        <w:t>: April</w:t>
      </w:r>
      <w:r>
        <w:t xml:space="preserve"> 2016</w:t>
      </w:r>
    </w:p>
    <w:p w14:paraId="46A8F539" w14:textId="77777777" w:rsidR="00166735" w:rsidRDefault="00166735" w:rsidP="003C2438"/>
    <w:p w14:paraId="5AD46073" w14:textId="77777777" w:rsidR="00166735" w:rsidRDefault="00166735" w:rsidP="003C2438">
      <w:pPr>
        <w:autoSpaceDE w:val="0"/>
        <w:autoSpaceDN w:val="0"/>
        <w:adjustRightInd w:val="0"/>
      </w:pPr>
      <w:r w:rsidRPr="002F12F5">
        <w:t>Hinweis: Da in diesem Fall kein Netznutzungszeitraum und keine Entnahmemenge angegeben werden kann, werden auch keine Zählerstände über</w:t>
      </w:r>
      <w:r>
        <w:t xml:space="preserve">mittelt, die im Rahmen der </w:t>
      </w:r>
      <w:proofErr w:type="spellStart"/>
      <w:r w:rsidRPr="002F12F5">
        <w:t>GeLi</w:t>
      </w:r>
      <w:proofErr w:type="spellEnd"/>
      <w:r w:rsidRPr="002F12F5">
        <w:t xml:space="preserve"> Gas-Prozesse übermittelt werden würden.</w:t>
      </w:r>
    </w:p>
    <w:p w14:paraId="20850654" w14:textId="77777777" w:rsidR="00166735" w:rsidRDefault="00166735" w:rsidP="00372A70">
      <w:pPr>
        <w:pStyle w:val="berschrift3"/>
        <w:tabs>
          <w:tab w:val="num" w:pos="1134"/>
        </w:tabs>
        <w:spacing w:before="480"/>
        <w:ind w:left="1146" w:hanging="1106"/>
      </w:pPr>
      <w:bookmarkStart w:id="2106" w:name="_Toc410395192"/>
      <w:bookmarkStart w:id="2107" w:name="_Toc411597976"/>
      <w:bookmarkStart w:id="2108" w:name="_Toc412661428"/>
      <w:bookmarkStart w:id="2109" w:name="_Toc111118554"/>
      <w:r>
        <w:lastRenderedPageBreak/>
        <w:t>Aufteilungsverfahren</w:t>
      </w:r>
      <w:bookmarkEnd w:id="2106"/>
      <w:bookmarkEnd w:id="2107"/>
      <w:bookmarkEnd w:id="2108"/>
      <w:bookmarkEnd w:id="2109"/>
    </w:p>
    <w:p w14:paraId="6DC7498B" w14:textId="0249E70E" w:rsidR="00685F8A" w:rsidRDefault="00166735" w:rsidP="003C2438">
      <w:r>
        <w:t xml:space="preserve">Eine Mengenaufteilung ist nur in Ausnahmen erforderlich, z. B. aufgrund von Steueränderungen, Änderung der Lastprofile bzw. Lastprofilverfahren und erfolgt nach den Mengenaufteilungsverfahren </w:t>
      </w:r>
      <w:r w:rsidR="00D710D7">
        <w:t>gemäß</w:t>
      </w:r>
      <w:r>
        <w:t xml:space="preserve"> DVGW</w:t>
      </w:r>
      <w:r w:rsidR="00BF5D73">
        <w:t>-</w:t>
      </w:r>
      <w:r>
        <w:t>Arbeitsblatt G 685.</w:t>
      </w:r>
    </w:p>
    <w:p w14:paraId="115D54E8" w14:textId="3950A0C7" w:rsidR="00685F8A" w:rsidRDefault="00D903D1" w:rsidP="001A6377">
      <w:pPr>
        <w:pStyle w:val="berschrift3"/>
        <w:ind w:left="1134"/>
      </w:pPr>
      <w:bookmarkStart w:id="2110" w:name="_Toc111118555"/>
      <w:r>
        <w:t>Aufteilung der Mehr-/Mindermengen bei Marktraumumstellung</w:t>
      </w:r>
      <w:bookmarkEnd w:id="2110"/>
    </w:p>
    <w:p w14:paraId="3D4E8849" w14:textId="59883949" w:rsidR="00D903D1" w:rsidRPr="000D3F77" w:rsidRDefault="00747E63" w:rsidP="00151FBF">
      <w:r>
        <w:t>Findet</w:t>
      </w:r>
      <w:r w:rsidR="00D903D1">
        <w:t xml:space="preserve"> i</w:t>
      </w:r>
      <w:r w:rsidR="00D903D1" w:rsidRPr="000D3F77">
        <w:t xml:space="preserve">m Netznutzungszeitraum </w:t>
      </w:r>
      <w:r>
        <w:t xml:space="preserve">eine Marktraumumstellung statt, </w:t>
      </w:r>
      <w:r w:rsidR="00D903D1" w:rsidRPr="000D3F77">
        <w:t xml:space="preserve">ändert sich </w:t>
      </w:r>
      <w:r>
        <w:t xml:space="preserve">in diesem Zeitraum </w:t>
      </w:r>
      <w:r w:rsidR="00D903D1" w:rsidRPr="000D3F77">
        <w:t>die Gasqualität</w:t>
      </w:r>
      <w:r>
        <w:t>.</w:t>
      </w:r>
      <w:r w:rsidR="00D903D1" w:rsidRPr="000D3F77">
        <w:t xml:space="preserve"> </w:t>
      </w:r>
      <w:r>
        <w:t>In diesem Fall ist</w:t>
      </w:r>
      <w:r w:rsidR="00D903D1" w:rsidRPr="000D3F77">
        <w:t xml:space="preserve"> bei der Mehr-/Mindermengenermittlung und -abrechnung </w:t>
      </w:r>
      <w:r>
        <w:t>das nachfolgend beschriebene</w:t>
      </w:r>
      <w:r w:rsidR="00D903D1" w:rsidRPr="000D3F77">
        <w:t xml:space="preserve"> zu beachten.</w:t>
      </w:r>
    </w:p>
    <w:p w14:paraId="08CF3103" w14:textId="7B7078E2" w:rsidR="00D903D1" w:rsidRPr="000D3F77" w:rsidRDefault="00D15C5F" w:rsidP="00594F6D">
      <w:r>
        <w:t xml:space="preserve">Für die Mehr-/Mindermengenabrechnung sind zwei </w:t>
      </w:r>
      <w:r w:rsidR="00D903D1" w:rsidRPr="000D3F77">
        <w:t>Umstellungstermine</w:t>
      </w:r>
      <w:r>
        <w:t xml:space="preserve"> relevant: der </w:t>
      </w:r>
      <w:r w:rsidR="00CB316A">
        <w:t>Abgrenzungsstichtag</w:t>
      </w:r>
      <w:r w:rsidR="00E82EC4">
        <w:t xml:space="preserve"> </w:t>
      </w:r>
      <w:r>
        <w:t>und der bilanzielle Umstellungstermin (Definition siehe BDEW/VKU/GEODE-Leitfaden Marktraumumstellung, Kapitel 2.1 Definitionen)</w:t>
      </w:r>
      <w:r w:rsidR="00D903D1" w:rsidRPr="000D3F77">
        <w:t xml:space="preserve">. Zwischen </w:t>
      </w:r>
      <w:r>
        <w:t xml:space="preserve">Abgrenzungsstichtag </w:t>
      </w:r>
      <w:r w:rsidR="00D903D1" w:rsidRPr="000D3F77">
        <w:t>und bilanziellem Umstellungstermin kommt es in der Regel zu einem Zeitversatz und somit zu eine</w:t>
      </w:r>
      <w:r w:rsidR="00C3222F">
        <w:t>m</w:t>
      </w:r>
      <w:r w:rsidR="00D903D1" w:rsidRPr="000D3F77">
        <w:t xml:space="preserve"> asynchronen </w:t>
      </w:r>
      <w:r w:rsidR="00C3222F">
        <w:t>Zeitraum zwischen Netznutzung und Bilanzierung</w:t>
      </w:r>
      <w:r w:rsidR="00D903D1" w:rsidRPr="000D3F77">
        <w:t>:</w:t>
      </w:r>
    </w:p>
    <w:p w14:paraId="0F98076D" w14:textId="6870697A" w:rsidR="00D903D1" w:rsidRDefault="00D903D1" w:rsidP="007F76BC">
      <w:pPr>
        <w:pStyle w:val="Listenabsatz"/>
        <w:numPr>
          <w:ilvl w:val="0"/>
          <w:numId w:val="65"/>
        </w:numPr>
        <w:ind w:left="284" w:hanging="284"/>
        <w:contextualSpacing w:val="0"/>
      </w:pPr>
      <w:r w:rsidRPr="007C1D32">
        <w:t>Aufgrund der Änderung der Gasqualität erfolgt für die Marktlokation eine Änderung des abrechnungsrelevanten Brennwertes. Somit müssen die Netznutzungsmengen einschließlich des Abgrenzungsstichtages ermittelt werden.</w:t>
      </w:r>
    </w:p>
    <w:p w14:paraId="69978399" w14:textId="7B68177C" w:rsidR="0071199D" w:rsidRPr="007C1D32" w:rsidRDefault="0071199D" w:rsidP="007F76BC">
      <w:pPr>
        <w:pStyle w:val="Listenabsatz"/>
        <w:numPr>
          <w:ilvl w:val="0"/>
          <w:numId w:val="65"/>
        </w:numPr>
        <w:ind w:left="284" w:hanging="284"/>
        <w:contextualSpacing w:val="0"/>
      </w:pPr>
      <w:r w:rsidRPr="00FE7E3D">
        <w:t>Zum Abgrenzungsstichtag ist ein Zählerstand zu erfassen. Dieser ist noch dem Netznutzungszeitraum für L-Gas zuzuordnen. Der Netznutzungszeitraum für H-Gas beginnt am Folgetag des Abgrenzungsstichtages.</w:t>
      </w:r>
    </w:p>
    <w:p w14:paraId="56619113" w14:textId="089C954A" w:rsidR="00D903D1" w:rsidRPr="007C1D32" w:rsidRDefault="00D903D1" w:rsidP="007F76BC">
      <w:pPr>
        <w:pStyle w:val="Listenabsatz"/>
        <w:numPr>
          <w:ilvl w:val="0"/>
          <w:numId w:val="65"/>
        </w:numPr>
        <w:ind w:left="284" w:hanging="284"/>
        <w:contextualSpacing w:val="0"/>
      </w:pPr>
      <w:r w:rsidRPr="007C1D32">
        <w:t xml:space="preserve">Aufgrund der Änderung der Gasqualität erfolgt für die Marktlokation ein Wechsel der Allokation vom L-Gas-BK/SBK in einen H-Gas-BK/SBK und somit vom L-Gas-Netzkonto in das H-Gas-Netzkonto </w:t>
      </w:r>
      <w:r w:rsidR="00267B0D">
        <w:t>des MGV</w:t>
      </w:r>
      <w:r w:rsidRPr="007C1D32">
        <w:t>. Daher müssen die bilanzierten Mengen bis zum bilanziellem Umstellungstermin ermittelt werden.</w:t>
      </w:r>
    </w:p>
    <w:p w14:paraId="780773BE" w14:textId="62D27D39" w:rsidR="00D903D1" w:rsidRPr="007C1D32" w:rsidRDefault="00D903D1" w:rsidP="00CF7B71">
      <w:r w:rsidRPr="007C1D32">
        <w:t>Für die Zeiträume vor und nach der Marktraumumstellung müssen entsprechend</w:t>
      </w:r>
      <w:r w:rsidR="00E82EC4">
        <w:t xml:space="preserve"> </w:t>
      </w:r>
      <w:r w:rsidR="00C3222F">
        <w:t>zwei</w:t>
      </w:r>
      <w:r w:rsidR="00B32396">
        <w:t xml:space="preserve"> </w:t>
      </w:r>
      <w:r w:rsidRPr="007C1D32">
        <w:t>Mehr-/Mindermengen gegenüber dem MGV abgerechnet werden. In beiden Teilzeiträumen können jeweils Mehr- oder Mindermengen entstehen.</w:t>
      </w:r>
    </w:p>
    <w:p w14:paraId="0FF1F033" w14:textId="6E0F89B2" w:rsidR="00F2393C" w:rsidRDefault="00D903D1" w:rsidP="00CF7B71">
      <w:r w:rsidRPr="007C1D32">
        <w:t xml:space="preserve">Als Grundlage für die Mehr-/Mindermengenermittlung je Marktlokation kann der NB auf Basis des abgelesenen Zählerstandes zum Abgrenzungsstichtag </w:t>
      </w:r>
      <w:r w:rsidR="00C3222F">
        <w:t>(</w:t>
      </w:r>
      <w:r w:rsidRPr="007C1D32">
        <w:t>siehe Leitfaden Marktraumumstellung)</w:t>
      </w:r>
    </w:p>
    <w:p w14:paraId="1A4FCA00" w14:textId="3B8B6787" w:rsidR="00F2393C" w:rsidRDefault="00221089" w:rsidP="00963E41">
      <w:pPr>
        <w:pStyle w:val="Listenabsatz"/>
        <w:numPr>
          <w:ilvl w:val="0"/>
          <w:numId w:val="68"/>
        </w:numPr>
      </w:pPr>
      <w:r>
        <w:t xml:space="preserve">entweder </w:t>
      </w:r>
      <w:r w:rsidR="00D903D1" w:rsidRPr="007C1D32">
        <w:t>eine Netznutzungsabgrenzung</w:t>
      </w:r>
    </w:p>
    <w:p w14:paraId="50F04B2A" w14:textId="1B334E4E" w:rsidR="00D903D1" w:rsidRPr="007C1D32" w:rsidRDefault="00D903D1" w:rsidP="00387313">
      <w:pPr>
        <w:pStyle w:val="Listenabsatz"/>
        <w:numPr>
          <w:ilvl w:val="0"/>
          <w:numId w:val="68"/>
        </w:numPr>
      </w:pPr>
      <w:r w:rsidRPr="007C1D32">
        <w:t>oder eine Netznutzungsabrechnung als (Zwischen-)Abrechnung durchführen.</w:t>
      </w:r>
    </w:p>
    <w:p w14:paraId="2D806FF0" w14:textId="070C8818" w:rsidR="00D903D1" w:rsidRPr="007C1D32" w:rsidRDefault="00D903D1" w:rsidP="00CF7B71">
      <w:r w:rsidRPr="007C1D32">
        <w:t>Beide Varianten werden nachfolgend beispielhaft beschrieben:</w:t>
      </w:r>
    </w:p>
    <w:p w14:paraId="33531052" w14:textId="652261D4" w:rsidR="00D903D1" w:rsidRPr="000D3F77" w:rsidRDefault="00D903D1" w:rsidP="00792521">
      <w:pPr>
        <w:rPr>
          <w:u w:val="single"/>
        </w:rPr>
      </w:pPr>
      <w:r w:rsidRPr="000D3F77">
        <w:rPr>
          <w:u w:val="single"/>
        </w:rPr>
        <w:lastRenderedPageBreak/>
        <w:t xml:space="preserve">Beispiel für eine </w:t>
      </w:r>
      <w:r w:rsidR="00FA44F0">
        <w:rPr>
          <w:u w:val="single"/>
        </w:rPr>
        <w:t>Netznutzungsa</w:t>
      </w:r>
      <w:r w:rsidR="00F2393C">
        <w:rPr>
          <w:u w:val="single"/>
        </w:rPr>
        <w:t>bgrenzung</w:t>
      </w:r>
      <w:r w:rsidRPr="000D3F77">
        <w:rPr>
          <w:u w:val="single"/>
        </w:rPr>
        <w:t>:</w:t>
      </w:r>
    </w:p>
    <w:p w14:paraId="14A5F43B" w14:textId="2B9E1F3A" w:rsidR="00D903D1" w:rsidRPr="000D3F77" w:rsidRDefault="00D903D1" w:rsidP="00792521">
      <w:r w:rsidRPr="000D3F77">
        <w:t>Turnusabrechnung 10.01.2018 bis 10.01.2019.</w:t>
      </w:r>
    </w:p>
    <w:p w14:paraId="3D973820" w14:textId="272BC33F" w:rsidR="00D903D1" w:rsidRPr="000D3F77" w:rsidRDefault="00221089" w:rsidP="00792521">
      <w:r>
        <w:t>Der Abgrenzungsstichtag ist der</w:t>
      </w:r>
      <w:r w:rsidR="00D903D1" w:rsidRPr="000D3F77">
        <w:t xml:space="preserve"> 08.05.2018</w:t>
      </w:r>
      <w:r>
        <w:t>.</w:t>
      </w:r>
      <w:r w:rsidR="00D903D1" w:rsidRPr="000D3F77">
        <w:t xml:space="preserve"> Der bilanzielle Umstellungstermin ist der 01.06.2018.</w:t>
      </w:r>
    </w:p>
    <w:p w14:paraId="6D510268" w14:textId="0C65FD15" w:rsidR="00D903D1" w:rsidRPr="000D3F77" w:rsidRDefault="00221089" w:rsidP="007F76BC">
      <w:pPr>
        <w:pStyle w:val="Listenabsatz"/>
        <w:numPr>
          <w:ilvl w:val="0"/>
          <w:numId w:val="65"/>
        </w:numPr>
        <w:ind w:left="284" w:hanging="284"/>
        <w:contextualSpacing w:val="0"/>
      </w:pPr>
      <w:r>
        <w:t xml:space="preserve">Die </w:t>
      </w:r>
      <w:r w:rsidR="00D903D1" w:rsidRPr="000D3F77">
        <w:t xml:space="preserve">Marktlokation ist vom 10.01.2018 bis 31.05.2018 dem </w:t>
      </w:r>
      <w:r w:rsidR="00267B0D">
        <w:t xml:space="preserve">L-Gas </w:t>
      </w:r>
      <w:r w:rsidR="00554E9C">
        <w:t>Bilanzkreis/Subbilanzkonto zugeordnet und somit dem L-Gas-Netzkonto</w:t>
      </w:r>
      <w:r w:rsidR="00D903D1" w:rsidRPr="000D3F77">
        <w:t>.</w:t>
      </w:r>
    </w:p>
    <w:p w14:paraId="57D6475E" w14:textId="34399C95" w:rsidR="00D903D1" w:rsidRPr="000D3F77" w:rsidRDefault="00221089" w:rsidP="007F76BC">
      <w:pPr>
        <w:pStyle w:val="Listenabsatz"/>
        <w:numPr>
          <w:ilvl w:val="0"/>
          <w:numId w:val="65"/>
        </w:numPr>
        <w:ind w:left="284" w:hanging="284"/>
        <w:contextualSpacing w:val="0"/>
      </w:pPr>
      <w:r>
        <w:t xml:space="preserve">Die </w:t>
      </w:r>
      <w:r w:rsidR="00D903D1" w:rsidRPr="000D3F77">
        <w:t xml:space="preserve">Marktlokation ist ab 01.06.2018 bis 10.01.2019 dem </w:t>
      </w:r>
      <w:r w:rsidR="00267B0D">
        <w:t>H-Gas</w:t>
      </w:r>
      <w:r w:rsidR="00554E9C" w:rsidRPr="00554E9C">
        <w:t xml:space="preserve"> </w:t>
      </w:r>
      <w:r w:rsidR="00554E9C">
        <w:t>Bilanzkreis/Subbilanzkonto zugeordnet und somit dem H-Gas-Netzkonto</w:t>
      </w:r>
      <w:r w:rsidR="00D903D1" w:rsidRPr="000D3F77">
        <w:t>.</w:t>
      </w:r>
    </w:p>
    <w:p w14:paraId="527CB717" w14:textId="77777777" w:rsidR="00D903D1" w:rsidRPr="000D3F77" w:rsidRDefault="00D903D1" w:rsidP="00792521">
      <w:r w:rsidRPr="000D3F77">
        <w:t>Gegenüber dem LF erfolgt lediglich eine Mehr-/Mindermengenabrechnung entsprechend der Netznutzungsabrechnung zum Turnus:</w:t>
      </w:r>
    </w:p>
    <w:p w14:paraId="1588D44F" w14:textId="02B86623" w:rsidR="00D903D1" w:rsidRPr="000D3F77" w:rsidRDefault="00D903D1" w:rsidP="00792521">
      <w:pPr>
        <w:tabs>
          <w:tab w:val="left" w:pos="3191"/>
        </w:tabs>
      </w:pPr>
      <w:r w:rsidRPr="000D3F77">
        <w:t xml:space="preserve">Netznutzungszeitraum: </w:t>
      </w:r>
      <w:r w:rsidRPr="000D3F77">
        <w:tab/>
        <w:t>10.01.2018 - 10.01.2019</w:t>
      </w:r>
      <w:r w:rsidRPr="000D3F77">
        <w:tab/>
        <w:t>20.000 kWh</w:t>
      </w:r>
      <w:r w:rsidRPr="000D3F77">
        <w:tab/>
        <w:t>Netznutzungsmenge</w:t>
      </w:r>
    </w:p>
    <w:p w14:paraId="3D45A434" w14:textId="46E2A96E" w:rsidR="00D903D1" w:rsidRPr="000D3F77" w:rsidRDefault="00D903D1" w:rsidP="00792521">
      <w:pPr>
        <w:tabs>
          <w:tab w:val="left" w:pos="3191"/>
        </w:tabs>
      </w:pPr>
      <w:r w:rsidRPr="000D3F77">
        <w:t xml:space="preserve">Bilanzierungszeitraum: </w:t>
      </w:r>
      <w:r w:rsidRPr="000D3F77">
        <w:tab/>
        <w:t>10.01.2018 - 10.01.2019</w:t>
      </w:r>
      <w:r w:rsidRPr="000D3F77">
        <w:tab/>
      </w:r>
      <w:r w:rsidR="00454880">
        <w:t>19.900</w:t>
      </w:r>
      <w:r w:rsidRPr="000D3F77">
        <w:t xml:space="preserve"> kWh</w:t>
      </w:r>
      <w:r w:rsidRPr="000D3F77">
        <w:tab/>
        <w:t>bilanzierte Menge</w:t>
      </w:r>
    </w:p>
    <w:p w14:paraId="33B94000" w14:textId="7EDA2C76" w:rsidR="00D903D1" w:rsidRPr="000D3F77" w:rsidRDefault="00D903D1" w:rsidP="00792521">
      <w:pPr>
        <w:tabs>
          <w:tab w:val="left" w:pos="3191"/>
        </w:tabs>
      </w:pPr>
      <w:r w:rsidRPr="000D3F77">
        <w:t xml:space="preserve">Mehr-/Mindermengenzeitraum: </w:t>
      </w:r>
      <w:r w:rsidRPr="000D3F77">
        <w:tab/>
        <w:t>10.01.2018 - 10.01.2019</w:t>
      </w:r>
      <w:r w:rsidRPr="000D3F77">
        <w:tab/>
        <w:t>100 kWh</w:t>
      </w:r>
      <w:r w:rsidRPr="000D3F77">
        <w:tab/>
        <w:t>Mindermenge</w:t>
      </w:r>
    </w:p>
    <w:p w14:paraId="64D9030F" w14:textId="12AAF94B" w:rsidR="00D903D1" w:rsidRPr="000D3F77" w:rsidRDefault="00D903D1" w:rsidP="00792521">
      <w:r w:rsidRPr="000D3F77">
        <w:t>Relevanter Anwendungsmonat: Januar 2019</w:t>
      </w:r>
    </w:p>
    <w:p w14:paraId="74574617" w14:textId="75852DAA" w:rsidR="00D903D1" w:rsidRPr="000D3F77" w:rsidRDefault="00D903D1" w:rsidP="00792521">
      <w:r w:rsidRPr="000D3F77">
        <w:t>Gegenüber dem MGV erfolgt die Aufteilung der 100 kWh Mindermenge nach Abgrenzung der korrespondierenden Netznutzungsmengen und bilanzierten Mengen:</w:t>
      </w:r>
    </w:p>
    <w:p w14:paraId="5328D2EC" w14:textId="54D620CC" w:rsidR="00D903D1" w:rsidRPr="000D3F77" w:rsidRDefault="00D903D1" w:rsidP="00792521">
      <w:pPr>
        <w:tabs>
          <w:tab w:val="left" w:pos="3191"/>
        </w:tabs>
      </w:pPr>
      <w:r w:rsidRPr="000D3F77">
        <w:t>Zeitraum für die Aufteilung:</w:t>
      </w:r>
      <w:r w:rsidRPr="000D3F77">
        <w:tab/>
        <w:t>10.01.2018 - 31.05.2018</w:t>
      </w:r>
      <w:r w:rsidRPr="000D3F77">
        <w:tab/>
        <w:t xml:space="preserve">50 kWh </w:t>
      </w:r>
      <w:r w:rsidRPr="000D3F77">
        <w:tab/>
        <w:t>Mehrmenge</w:t>
      </w:r>
      <w:r w:rsidR="00267B0D">
        <w:t xml:space="preserve"> </w:t>
      </w:r>
      <w:r w:rsidRPr="000D3F77">
        <w:t>L</w:t>
      </w:r>
      <w:r w:rsidR="000E54C7">
        <w:t>-</w:t>
      </w:r>
      <w:r w:rsidR="00267B0D">
        <w:t>Gas</w:t>
      </w:r>
    </w:p>
    <w:p w14:paraId="6030773B" w14:textId="35B51457" w:rsidR="00D903D1" w:rsidRPr="000D3F77" w:rsidRDefault="00D903D1" w:rsidP="00792521">
      <w:pPr>
        <w:tabs>
          <w:tab w:val="left" w:pos="3191"/>
        </w:tabs>
      </w:pPr>
      <w:r w:rsidRPr="000D3F77">
        <w:t>Zeitraum für die Aufteilung:</w:t>
      </w:r>
      <w:r w:rsidRPr="000D3F77">
        <w:tab/>
        <w:t>09.05.2018 - 10.01.2019</w:t>
      </w:r>
      <w:r w:rsidRPr="000D3F77">
        <w:tab/>
        <w:t>150 kWh</w:t>
      </w:r>
      <w:r w:rsidRPr="000D3F77">
        <w:tab/>
        <w:t>Mindermenge H</w:t>
      </w:r>
      <w:r w:rsidR="000E54C7">
        <w:t>-</w:t>
      </w:r>
      <w:r w:rsidR="00267B0D">
        <w:t>Gas</w:t>
      </w:r>
    </w:p>
    <w:p w14:paraId="3E5B07EC" w14:textId="53A512C0" w:rsidR="00D903D1" w:rsidRPr="000D3F77" w:rsidRDefault="00D903D1" w:rsidP="00792521">
      <w:pPr>
        <w:tabs>
          <w:tab w:val="left" w:pos="-6307"/>
        </w:tabs>
      </w:pPr>
      <w:r w:rsidRPr="000D3F77">
        <w:t>Relevanter Anwendungsmonat für beide Abrechnungen: Januar 2019</w:t>
      </w:r>
    </w:p>
    <w:p w14:paraId="454BBB61" w14:textId="77777777" w:rsidR="00D903D1" w:rsidRPr="000D3F77" w:rsidRDefault="00D903D1" w:rsidP="00792521">
      <w:pPr>
        <w:spacing w:before="120" w:line="240" w:lineRule="auto"/>
        <w:rPr>
          <w:u w:val="single"/>
        </w:rPr>
      </w:pPr>
    </w:p>
    <w:p w14:paraId="05605F7E" w14:textId="5DF2B483" w:rsidR="00D903D1" w:rsidRPr="000D3F77" w:rsidRDefault="00D903D1" w:rsidP="00792521">
      <w:pPr>
        <w:rPr>
          <w:u w:val="single"/>
        </w:rPr>
      </w:pPr>
      <w:r w:rsidRPr="000D3F77">
        <w:rPr>
          <w:u w:val="single"/>
        </w:rPr>
        <w:t xml:space="preserve">Beispiel für eine </w:t>
      </w:r>
      <w:r w:rsidR="00FA44F0">
        <w:rPr>
          <w:u w:val="single"/>
        </w:rPr>
        <w:t xml:space="preserve">Netznutzungsabrechnung als </w:t>
      </w:r>
      <w:r w:rsidRPr="000D3F77">
        <w:rPr>
          <w:u w:val="single"/>
        </w:rPr>
        <w:t>(Zwischen-)Abrechnung:</w:t>
      </w:r>
    </w:p>
    <w:p w14:paraId="5D3C23C9" w14:textId="623BF6B4" w:rsidR="00D903D1" w:rsidRPr="000D3F77" w:rsidRDefault="00D903D1" w:rsidP="00792521">
      <w:r w:rsidRPr="000D3F77">
        <w:t>Turnusabrechnung 10.01.2018 bis 10.01.2019.</w:t>
      </w:r>
    </w:p>
    <w:p w14:paraId="6735CD01" w14:textId="54E2CC49" w:rsidR="00D903D1" w:rsidRPr="000D3F77" w:rsidRDefault="00A14595" w:rsidP="00792521">
      <w:r>
        <w:t>Der Abgrenzungsstichtag ist der</w:t>
      </w:r>
      <w:r w:rsidR="00D903D1" w:rsidRPr="000D3F77">
        <w:t xml:space="preserve"> 08.05.2018. Der bilanzielle Umstellungstermin ist der 01.06.2018.</w:t>
      </w:r>
    </w:p>
    <w:p w14:paraId="16068A4A" w14:textId="1A2C637E" w:rsidR="00D903D1" w:rsidRPr="000D3F77" w:rsidRDefault="00A14595" w:rsidP="007F76BC">
      <w:pPr>
        <w:pStyle w:val="Listenabsatz"/>
        <w:numPr>
          <w:ilvl w:val="0"/>
          <w:numId w:val="64"/>
        </w:numPr>
        <w:ind w:left="714" w:hanging="430"/>
        <w:contextualSpacing w:val="0"/>
      </w:pPr>
      <w:r>
        <w:t xml:space="preserve">Die </w:t>
      </w:r>
      <w:r w:rsidR="00D903D1" w:rsidRPr="000D3F77">
        <w:t xml:space="preserve">Marktlokation ist vom 10.01.2018 bis 31.05.2018 dem </w:t>
      </w:r>
      <w:r w:rsidR="00267B0D">
        <w:t>L-Gas</w:t>
      </w:r>
      <w:r w:rsidR="000E54C7">
        <w:t>-Bilanzkreis/Subbilanzkonto zugeordnet und somit dem L-Gas-Netzkonto</w:t>
      </w:r>
      <w:r w:rsidR="00D903D1" w:rsidRPr="000D3F77">
        <w:t>.</w:t>
      </w:r>
    </w:p>
    <w:p w14:paraId="13F3F414" w14:textId="4AC20135" w:rsidR="00D903D1" w:rsidRPr="000D3F77" w:rsidRDefault="00A14595" w:rsidP="007F76BC">
      <w:pPr>
        <w:pStyle w:val="Listenabsatz"/>
        <w:numPr>
          <w:ilvl w:val="0"/>
          <w:numId w:val="64"/>
        </w:numPr>
        <w:ind w:left="714" w:hanging="430"/>
        <w:contextualSpacing w:val="0"/>
      </w:pPr>
      <w:r>
        <w:t xml:space="preserve">Die </w:t>
      </w:r>
      <w:r w:rsidR="00D903D1" w:rsidRPr="000D3F77">
        <w:t xml:space="preserve">Marktlokation ist ab 01.06.2018 bis 10.01.2019 dem </w:t>
      </w:r>
      <w:r w:rsidR="00267B0D">
        <w:t>H-Gas</w:t>
      </w:r>
      <w:r w:rsidR="000E54C7">
        <w:t>-Bilanzkreis/Subbilanzkonto zugeordnet und somit dem H-Gas-Netzkonto</w:t>
      </w:r>
      <w:r w:rsidR="00D903D1" w:rsidRPr="000D3F77">
        <w:t>.</w:t>
      </w:r>
    </w:p>
    <w:p w14:paraId="10E769C7" w14:textId="57CCD4AB" w:rsidR="00D903D1" w:rsidRPr="000D3F77" w:rsidRDefault="00895900" w:rsidP="00167A71">
      <w:pPr>
        <w:ind w:left="214"/>
        <w:rPr>
          <w:rFonts w:cs="Arial"/>
          <w:color w:val="000000"/>
        </w:rPr>
      </w:pPr>
      <w:r>
        <w:rPr>
          <w:rFonts w:cs="Arial"/>
          <w:color w:val="000000"/>
        </w:rPr>
        <w:lastRenderedPageBreak/>
        <w:t>Gegenüber dem LF erfolgen zwei separate Netznutzungsabrechnungen. Gegenüber LF und MGV erfolgen somit jeweils zwei Mehr-/Mindermengenabrechnungen.</w:t>
      </w:r>
    </w:p>
    <w:p w14:paraId="18D1A7D9" w14:textId="77777777" w:rsidR="00D903D1" w:rsidRPr="000D3F77" w:rsidRDefault="00D903D1" w:rsidP="000C63CB">
      <w:pPr>
        <w:ind w:left="215"/>
        <w:rPr>
          <w:u w:val="single"/>
        </w:rPr>
      </w:pPr>
      <w:r w:rsidRPr="000D3F77">
        <w:rPr>
          <w:u w:val="single"/>
        </w:rPr>
        <w:t>L-Gas:</w:t>
      </w:r>
    </w:p>
    <w:p w14:paraId="3E20FE48" w14:textId="3521E9F1" w:rsidR="00D903D1" w:rsidRPr="000D3F77" w:rsidRDefault="00D903D1" w:rsidP="000C63CB">
      <w:pPr>
        <w:tabs>
          <w:tab w:val="left" w:pos="3191"/>
        </w:tabs>
        <w:ind w:left="215"/>
      </w:pPr>
      <w:r w:rsidRPr="000D3F77">
        <w:t>Netznutzungszeitraum:</w:t>
      </w:r>
      <w:r w:rsidRPr="000D3F77">
        <w:tab/>
        <w:t>10.01.2018 – 08.05.2018</w:t>
      </w:r>
      <w:r w:rsidRPr="000D3F77">
        <w:tab/>
        <w:t>9.500 kWh</w:t>
      </w:r>
      <w:r w:rsidRPr="000D3F77">
        <w:tab/>
        <w:t>Netznutzungsmenge</w:t>
      </w:r>
    </w:p>
    <w:p w14:paraId="12C7F0D1" w14:textId="37B38911" w:rsidR="00D903D1" w:rsidRPr="000D3F77" w:rsidRDefault="00D903D1" w:rsidP="000C63CB">
      <w:pPr>
        <w:tabs>
          <w:tab w:val="left" w:pos="3191"/>
        </w:tabs>
        <w:ind w:left="215"/>
      </w:pPr>
      <w:r w:rsidRPr="000D3F77">
        <w:t>Bilanzierungszeitraum:</w:t>
      </w:r>
      <w:r w:rsidRPr="000D3F77">
        <w:tab/>
        <w:t>10.01.2018 – 31.05.2018</w:t>
      </w:r>
      <w:r w:rsidRPr="000D3F77">
        <w:tab/>
        <w:t>9.550 kWh</w:t>
      </w:r>
      <w:r w:rsidRPr="000D3F77">
        <w:tab/>
        <w:t>bilanzierte Menge</w:t>
      </w:r>
    </w:p>
    <w:p w14:paraId="1B6E418B" w14:textId="0FB51EF4" w:rsidR="00D903D1" w:rsidRDefault="00D903D1">
      <w:pPr>
        <w:tabs>
          <w:tab w:val="left" w:pos="3191"/>
        </w:tabs>
        <w:ind w:left="215"/>
      </w:pPr>
      <w:r w:rsidRPr="000D3F77">
        <w:t>Mehr-/Mindermengenzeitraum:</w:t>
      </w:r>
      <w:r w:rsidRPr="000D3F77">
        <w:tab/>
        <w:t>10.01.2018 – 31.05.2018</w:t>
      </w:r>
      <w:r w:rsidRPr="000D3F77">
        <w:tab/>
        <w:t xml:space="preserve">50 kWh </w:t>
      </w:r>
      <w:r w:rsidRPr="000D3F77">
        <w:tab/>
        <w:t>Mehrmenge L</w:t>
      </w:r>
      <w:r w:rsidR="000E54C7">
        <w:t>-</w:t>
      </w:r>
      <w:r w:rsidR="002C6F43">
        <w:t>Gas</w:t>
      </w:r>
    </w:p>
    <w:p w14:paraId="11439088" w14:textId="45738B55" w:rsidR="00A14595" w:rsidRPr="000D3F77" w:rsidRDefault="00A14595">
      <w:pPr>
        <w:tabs>
          <w:tab w:val="left" w:pos="3191"/>
        </w:tabs>
        <w:ind w:left="215"/>
      </w:pPr>
      <w:r>
        <w:t>Relevanter Anwendungsmonat:</w:t>
      </w:r>
      <w:r w:rsidR="00B32396">
        <w:t xml:space="preserve"> </w:t>
      </w:r>
      <w:r>
        <w:t xml:space="preserve">Mai 2018 </w:t>
      </w:r>
    </w:p>
    <w:p w14:paraId="6FD52D23" w14:textId="77777777" w:rsidR="00D903D1" w:rsidRPr="000D3F77" w:rsidRDefault="00D903D1" w:rsidP="000C63CB">
      <w:pPr>
        <w:ind w:left="215"/>
        <w:rPr>
          <w:u w:val="single"/>
        </w:rPr>
      </w:pPr>
      <w:r w:rsidRPr="000D3F77">
        <w:rPr>
          <w:u w:val="single"/>
        </w:rPr>
        <w:t>H-Gas:</w:t>
      </w:r>
    </w:p>
    <w:p w14:paraId="60318808" w14:textId="008AB03D" w:rsidR="00D903D1" w:rsidRPr="000D3F77" w:rsidRDefault="00D903D1" w:rsidP="000C63CB">
      <w:pPr>
        <w:tabs>
          <w:tab w:val="left" w:pos="3191"/>
        </w:tabs>
        <w:ind w:left="215"/>
      </w:pPr>
      <w:r w:rsidRPr="000D3F77">
        <w:t>Netznutzungszeitraum:</w:t>
      </w:r>
      <w:r w:rsidRPr="000D3F77">
        <w:tab/>
        <w:t xml:space="preserve">09.05.2018 – </w:t>
      </w:r>
      <w:r w:rsidR="00454880">
        <w:t>10</w:t>
      </w:r>
      <w:r w:rsidRPr="000D3F77">
        <w:t>.01.2019</w:t>
      </w:r>
      <w:r w:rsidRPr="000D3F77">
        <w:tab/>
        <w:t>10.500 kWh</w:t>
      </w:r>
      <w:r w:rsidRPr="000D3F77">
        <w:tab/>
        <w:t>Netznutzungsmenge</w:t>
      </w:r>
    </w:p>
    <w:p w14:paraId="673C7F88" w14:textId="6397CE61" w:rsidR="00D903D1" w:rsidRPr="000D3F77" w:rsidRDefault="00D903D1" w:rsidP="000C63CB">
      <w:pPr>
        <w:tabs>
          <w:tab w:val="left" w:pos="3191"/>
        </w:tabs>
        <w:ind w:left="215"/>
      </w:pPr>
      <w:r w:rsidRPr="000D3F77">
        <w:t>Bilanzierungszeitraum:</w:t>
      </w:r>
      <w:r w:rsidRPr="000D3F77">
        <w:tab/>
        <w:t xml:space="preserve">01.06.2018 – </w:t>
      </w:r>
      <w:r w:rsidR="00454880">
        <w:t>10</w:t>
      </w:r>
      <w:r w:rsidRPr="000D3F77">
        <w:t>.01.2019</w:t>
      </w:r>
      <w:r w:rsidRPr="000D3F77">
        <w:tab/>
        <w:t>10.350 kWh</w:t>
      </w:r>
      <w:r w:rsidRPr="000D3F77">
        <w:tab/>
        <w:t>bilanzierte Menge</w:t>
      </w:r>
    </w:p>
    <w:p w14:paraId="16F58270" w14:textId="51D53E3F" w:rsidR="00D903D1" w:rsidRPr="000D3F77" w:rsidRDefault="00D903D1" w:rsidP="00355558">
      <w:pPr>
        <w:tabs>
          <w:tab w:val="left" w:pos="3261"/>
          <w:tab w:val="left" w:pos="6096"/>
          <w:tab w:val="left" w:pos="7797"/>
        </w:tabs>
        <w:ind w:left="215"/>
      </w:pPr>
      <w:r w:rsidRPr="000D3F77">
        <w:t>Mehr-/Mindermengenzeitraum:</w:t>
      </w:r>
      <w:r w:rsidRPr="000D3F77">
        <w:tab/>
        <w:t xml:space="preserve">09.05.2018 – </w:t>
      </w:r>
      <w:r w:rsidR="00454880">
        <w:t>10</w:t>
      </w:r>
      <w:r w:rsidRPr="000D3F77">
        <w:t>.01.2019</w:t>
      </w:r>
      <w:r w:rsidRPr="000D3F77">
        <w:tab/>
        <w:t>150 kWh</w:t>
      </w:r>
      <w:r w:rsidRPr="000D3F77">
        <w:tab/>
        <w:t>Mindermenge H</w:t>
      </w:r>
      <w:r w:rsidR="000E54C7">
        <w:t>-</w:t>
      </w:r>
      <w:r w:rsidR="002C6F43">
        <w:t>Gas</w:t>
      </w:r>
    </w:p>
    <w:p w14:paraId="6399CA18" w14:textId="0AE5019C" w:rsidR="00D903D1" w:rsidRPr="000D3F77" w:rsidRDefault="00A14595" w:rsidP="00D903D1">
      <w:pPr>
        <w:spacing w:before="120" w:line="240" w:lineRule="auto"/>
        <w:rPr>
          <w:color w:val="000000"/>
        </w:rPr>
      </w:pPr>
      <w:r>
        <w:rPr>
          <w:color w:val="000000"/>
        </w:rPr>
        <w:t>Relevanter Anwendungsmonat: Januar 2019</w:t>
      </w:r>
    </w:p>
    <w:p w14:paraId="55819CC4" w14:textId="3C8F4FD9" w:rsidR="00D903D1" w:rsidRDefault="00A14595" w:rsidP="00685F8A">
      <w:pPr>
        <w:rPr>
          <w:color w:val="000000"/>
        </w:rPr>
      </w:pPr>
      <w:r>
        <w:rPr>
          <w:color w:val="000000"/>
        </w:rPr>
        <w:t>Nach der Umstellung des letzten Teilnetzes</w:t>
      </w:r>
      <w:r w:rsidR="00B32396">
        <w:rPr>
          <w:color w:val="000000"/>
        </w:rPr>
        <w:t xml:space="preserve"> </w:t>
      </w:r>
      <w:r w:rsidR="00D903D1" w:rsidRPr="000D3F77">
        <w:rPr>
          <w:color w:val="000000"/>
        </w:rPr>
        <w:t xml:space="preserve">auf H-Gas erwartet der MGV ausschließlich eine Mehr-/Mindermengenrechnung für das H-Gas Netzkonto. Nach erfolgter Marktraumumstellung und Abrechnung der Mehr-/Mindermengen für alle L-Gas-Kunden im Netz erwartet der MGV keine </w:t>
      </w:r>
      <w:r w:rsidR="00A12914">
        <w:rPr>
          <w:color w:val="000000"/>
        </w:rPr>
        <w:t xml:space="preserve">weitere </w:t>
      </w:r>
      <w:r w:rsidR="00D903D1" w:rsidRPr="000D3F77">
        <w:rPr>
          <w:color w:val="000000"/>
        </w:rPr>
        <w:t>Mehr/ Mindermengenabrechnung für das L-Gas Netzkonto und dieses wird geschlossen.</w:t>
      </w:r>
    </w:p>
    <w:p w14:paraId="6867F05B" w14:textId="6AF22EEC" w:rsidR="00685F8A" w:rsidRPr="003943EB" w:rsidRDefault="00814E3D" w:rsidP="003943EB">
      <w:pPr>
        <w:rPr>
          <w:rFonts w:cs="Arial"/>
          <w:b/>
          <w:bCs/>
          <w:sz w:val="28"/>
          <w:szCs w:val="26"/>
        </w:rPr>
      </w:pPr>
      <w:r>
        <w:br w:type="page"/>
      </w:r>
    </w:p>
    <w:p w14:paraId="141D380F" w14:textId="0FDAE066" w:rsidR="00FF3030" w:rsidRDefault="00BC3F08" w:rsidP="00776D7D">
      <w:pPr>
        <w:pStyle w:val="berschrift2"/>
        <w:spacing w:before="480"/>
        <w:ind w:left="567" w:hanging="567"/>
      </w:pPr>
      <w:bookmarkStart w:id="2111" w:name="_Toc405803685"/>
      <w:bookmarkStart w:id="2112" w:name="_Toc410395193"/>
      <w:bookmarkStart w:id="2113" w:name="_Toc411597977"/>
      <w:bookmarkStart w:id="2114" w:name="_Toc412661429"/>
      <w:r>
        <w:lastRenderedPageBreak/>
        <w:t xml:space="preserve"> </w:t>
      </w:r>
      <w:bookmarkStart w:id="2115" w:name="_Toc111118556"/>
      <w:r w:rsidR="00166735">
        <w:t>Preisermittlung und -veröffentlichung</w:t>
      </w:r>
      <w:bookmarkEnd w:id="2111"/>
      <w:bookmarkEnd w:id="2112"/>
      <w:bookmarkEnd w:id="2113"/>
      <w:bookmarkEnd w:id="2114"/>
      <w:bookmarkEnd w:id="2115"/>
    </w:p>
    <w:p w14:paraId="3FFC5770" w14:textId="6DA7E10D" w:rsidR="00166735" w:rsidRDefault="00C27052" w:rsidP="003C2438">
      <w:r>
        <w:t xml:space="preserve">Der </w:t>
      </w:r>
      <w:r w:rsidR="00166735" w:rsidRPr="00154B47">
        <w:t xml:space="preserve">MGV </w:t>
      </w:r>
      <w:r w:rsidR="00166735">
        <w:t>ermittel</w:t>
      </w:r>
      <w:r>
        <w:t>t</w:t>
      </w:r>
      <w:r w:rsidR="00166735">
        <w:t xml:space="preserve"> im sogenannten Kalkulationsmonat den Mehr-/ Mindermengenpreis für den Anwendungsmonat und </w:t>
      </w:r>
      <w:r>
        <w:t>veröffentlicht</w:t>
      </w:r>
      <w:r w:rsidR="00166735">
        <w:t xml:space="preserve"> diesen bis spätestens zum 15. Werktag des Kalkulationsmonats (M+15WT). Dabei wird auch gekennzeichnet, für welchen Anwendungsmonat der Preis zu verwenden ist. Ab M+15WT sind die veröffentlichten Preise final, Änderungen an den Preisgrunddaten, z. B. durch Preiskorrekturen seitens der Großhandelsplätze, werden bis M+10WT vom MGV berücksichtigt.</w:t>
      </w:r>
    </w:p>
    <w:p w14:paraId="4EB3422C" w14:textId="56BBEC08" w:rsidR="00166735" w:rsidRDefault="00166735" w:rsidP="003C2438">
      <w:r>
        <w:t xml:space="preserve">Zur Berechnung des Mehr-/Mindermengenpreises </w:t>
      </w:r>
      <w:r w:rsidR="00C27052">
        <w:t xml:space="preserve">bildet der </w:t>
      </w:r>
      <w:r>
        <w:t xml:space="preserve">MGV zunächst einen </w:t>
      </w:r>
      <w:r w:rsidRPr="00543C02">
        <w:t>monatliche</w:t>
      </w:r>
      <w:r>
        <w:t>n</w:t>
      </w:r>
      <w:r w:rsidRPr="00543C02">
        <w:t xml:space="preserve"> Gasdurchschnittspreis anhand der </w:t>
      </w:r>
      <w:r w:rsidRPr="00EF3AEB">
        <w:t xml:space="preserve">täglichen </w:t>
      </w:r>
      <w:r>
        <w:t xml:space="preserve">Differenzmengenpreise </w:t>
      </w:r>
      <w:r w:rsidR="00C27052">
        <w:t xml:space="preserve">im </w:t>
      </w:r>
      <w:r>
        <w:t>Marktgebiet.</w:t>
      </w:r>
    </w:p>
    <w:p w14:paraId="4DFE6DB2" w14:textId="446A098D" w:rsidR="00166735" w:rsidRDefault="00C27052" w:rsidP="00355558">
      <w:r>
        <w:t>Vom MGV wird das arithmetische Mittel aus den veröffentlichten</w:t>
      </w:r>
      <w:r w:rsidR="00814E3D">
        <w:t xml:space="preserve"> </w:t>
      </w:r>
      <w:r w:rsidR="00166735">
        <w:t xml:space="preserve">Differenzmengenpreisen </w:t>
      </w:r>
      <w:r w:rsidR="00166735" w:rsidRPr="008B5CB5">
        <w:t>berechnet und a</w:t>
      </w:r>
      <w:r w:rsidR="00166735">
        <w:t>uf vier Nachkommastellen in C</w:t>
      </w:r>
      <w:r w:rsidR="00166735" w:rsidRPr="008B5CB5">
        <w:t xml:space="preserve">t/kWh kaufmännisch gerundet. Der ermittelte Wert stellt den sogenannten </w:t>
      </w:r>
      <w:r w:rsidR="00166735">
        <w:t>Monats</w:t>
      </w:r>
      <w:r w:rsidR="00166735" w:rsidRPr="008B5CB5">
        <w:t>durchschnittspreis dar</w:t>
      </w:r>
      <w:r>
        <w:t>.</w:t>
      </w:r>
    </w:p>
    <w:p w14:paraId="478D0BA5" w14:textId="5C069D09" w:rsidR="00C27052" w:rsidRPr="003943EB" w:rsidRDefault="00C27052" w:rsidP="003C2438">
      <w:pPr>
        <w:spacing w:after="240"/>
      </w:pPr>
      <w:r w:rsidRPr="009A61AF">
        <w:rPr>
          <w:rFonts w:cs="Arial"/>
        </w:rPr>
        <w:t xml:space="preserve">Hinweis: </w:t>
      </w:r>
      <w:r w:rsidRPr="003943EB">
        <w:rPr>
          <w:rFonts w:cs="Arial"/>
        </w:rPr>
        <w:t>Für Monate, in denen es in Deutschland mehr als ein Marktgebiet gab, werden zur Bildung des Monatsdurchschnittspreises zunächst die einzelnen Marktgebiets-Monatsdurchschnittspreise gebildet. Der Monatsdurchschnittspreis für das bundesweite Marktgebiet stellt in diesem Fall das Arithmetische Mittel der Marktgebiets-Monatsdurchschnittspreise dar.</w:t>
      </w:r>
    </w:p>
    <w:p w14:paraId="34C32C18" w14:textId="77777777" w:rsidR="00D97BD7" w:rsidRPr="008B5CB5" w:rsidRDefault="00D97BD7" w:rsidP="003C2438">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2515"/>
      </w:tblGrid>
      <w:tr w:rsidR="00166735" w:rsidRPr="008B5CB5" w14:paraId="7C01432E" w14:textId="77777777" w:rsidTr="00937930">
        <w:tc>
          <w:tcPr>
            <w:tcW w:w="2967" w:type="dxa"/>
            <w:tcMar>
              <w:top w:w="57" w:type="dxa"/>
            </w:tcMar>
          </w:tcPr>
          <w:p w14:paraId="3E7F53CF" w14:textId="77777777" w:rsidR="00166735" w:rsidRPr="008B5CB5" w:rsidRDefault="00166735" w:rsidP="003C2438">
            <w:pPr>
              <w:rPr>
                <w:b/>
                <w:bCs/>
              </w:rPr>
            </w:pPr>
            <w:r w:rsidRPr="008B5CB5">
              <w:rPr>
                <w:b/>
                <w:bCs/>
              </w:rPr>
              <w:t>Tag</w:t>
            </w:r>
          </w:p>
        </w:tc>
        <w:tc>
          <w:tcPr>
            <w:tcW w:w="2515" w:type="dxa"/>
            <w:tcMar>
              <w:top w:w="57" w:type="dxa"/>
            </w:tcMar>
          </w:tcPr>
          <w:p w14:paraId="35BF03CB" w14:textId="77777777" w:rsidR="00166735" w:rsidRPr="008B5CB5" w:rsidRDefault="00166735" w:rsidP="003C2438">
            <w:pPr>
              <w:rPr>
                <w:b/>
                <w:bCs/>
              </w:rPr>
            </w:pPr>
            <w:r>
              <w:rPr>
                <w:b/>
              </w:rPr>
              <w:t>Differenzmengenpreis</w:t>
            </w:r>
            <w:r w:rsidRPr="00543C02">
              <w:t xml:space="preserve"> </w:t>
            </w:r>
            <w:r>
              <w:rPr>
                <w:b/>
                <w:bCs/>
              </w:rPr>
              <w:t>in C</w:t>
            </w:r>
            <w:r w:rsidRPr="008B5CB5">
              <w:rPr>
                <w:b/>
                <w:bCs/>
              </w:rPr>
              <w:t>t/kWh</w:t>
            </w:r>
          </w:p>
        </w:tc>
      </w:tr>
      <w:tr w:rsidR="00166735" w:rsidRPr="008B5CB5" w14:paraId="4C1FE5AA" w14:textId="77777777" w:rsidTr="00937930">
        <w:trPr>
          <w:trHeight w:hRule="exact" w:val="397"/>
        </w:trPr>
        <w:tc>
          <w:tcPr>
            <w:tcW w:w="2967" w:type="dxa"/>
            <w:tcMar>
              <w:top w:w="57" w:type="dxa"/>
            </w:tcMar>
          </w:tcPr>
          <w:p w14:paraId="577B4401" w14:textId="5958688C" w:rsidR="00166735" w:rsidRPr="008B5CB5" w:rsidRDefault="00166735" w:rsidP="003C2438">
            <w:r w:rsidRPr="008B5CB5">
              <w:t>01.0</w:t>
            </w:r>
            <w:r>
              <w:t>4</w:t>
            </w:r>
            <w:r w:rsidRPr="008B5CB5">
              <w:t>.20</w:t>
            </w:r>
            <w:r w:rsidR="00C27052">
              <w:t>22</w:t>
            </w:r>
            <w:r w:rsidR="00055400">
              <w:t xml:space="preserve"> </w:t>
            </w:r>
          </w:p>
        </w:tc>
        <w:tc>
          <w:tcPr>
            <w:tcW w:w="2515" w:type="dxa"/>
            <w:tcMar>
              <w:top w:w="57" w:type="dxa"/>
            </w:tcMar>
          </w:tcPr>
          <w:p w14:paraId="2EECC3CA" w14:textId="77777777" w:rsidR="00166735" w:rsidRPr="008B5CB5" w:rsidRDefault="00166735" w:rsidP="003C2438">
            <w:r w:rsidRPr="008B5CB5">
              <w:t>2,4576</w:t>
            </w:r>
          </w:p>
        </w:tc>
      </w:tr>
      <w:tr w:rsidR="00166735" w:rsidRPr="008B5CB5" w14:paraId="0F4355E8" w14:textId="77777777" w:rsidTr="00937930">
        <w:trPr>
          <w:trHeight w:hRule="exact" w:val="397"/>
        </w:trPr>
        <w:tc>
          <w:tcPr>
            <w:tcW w:w="2967" w:type="dxa"/>
            <w:tcMar>
              <w:top w:w="57" w:type="dxa"/>
            </w:tcMar>
          </w:tcPr>
          <w:p w14:paraId="7EBA76F5" w14:textId="015A36D7" w:rsidR="00166735" w:rsidRPr="008B5CB5" w:rsidRDefault="00166735" w:rsidP="003C2438">
            <w:r w:rsidRPr="008B5CB5">
              <w:t>02.0</w:t>
            </w:r>
            <w:r>
              <w:t>4</w:t>
            </w:r>
            <w:r w:rsidRPr="008B5CB5">
              <w:t>.20</w:t>
            </w:r>
            <w:r w:rsidR="00C27052">
              <w:t>22</w:t>
            </w:r>
            <w:r w:rsidR="00055400">
              <w:t xml:space="preserve"> </w:t>
            </w:r>
          </w:p>
        </w:tc>
        <w:tc>
          <w:tcPr>
            <w:tcW w:w="2515" w:type="dxa"/>
            <w:tcMar>
              <w:top w:w="57" w:type="dxa"/>
            </w:tcMar>
          </w:tcPr>
          <w:p w14:paraId="52728ACA" w14:textId="77777777" w:rsidR="00166735" w:rsidRPr="008B5CB5" w:rsidRDefault="00166735" w:rsidP="003C2438">
            <w:r w:rsidRPr="008B5CB5">
              <w:t>2,4924</w:t>
            </w:r>
          </w:p>
        </w:tc>
      </w:tr>
      <w:tr w:rsidR="00166735" w:rsidRPr="008B5CB5" w14:paraId="29B381AE" w14:textId="77777777" w:rsidTr="00937930">
        <w:trPr>
          <w:trHeight w:hRule="exact" w:val="397"/>
        </w:trPr>
        <w:tc>
          <w:tcPr>
            <w:tcW w:w="2967" w:type="dxa"/>
            <w:tcMar>
              <w:top w:w="57" w:type="dxa"/>
            </w:tcMar>
          </w:tcPr>
          <w:p w14:paraId="254355B0" w14:textId="77777777" w:rsidR="00166735" w:rsidRPr="008B5CB5" w:rsidRDefault="00166735" w:rsidP="003C2438">
            <w:r w:rsidRPr="008B5CB5">
              <w:t>…</w:t>
            </w:r>
          </w:p>
        </w:tc>
        <w:tc>
          <w:tcPr>
            <w:tcW w:w="2515" w:type="dxa"/>
            <w:tcMar>
              <w:top w:w="57" w:type="dxa"/>
            </w:tcMar>
          </w:tcPr>
          <w:p w14:paraId="233B0174" w14:textId="77777777" w:rsidR="00166735" w:rsidRPr="008B5CB5" w:rsidRDefault="00166735" w:rsidP="003C2438">
            <w:r w:rsidRPr="008B5CB5">
              <w:t>…</w:t>
            </w:r>
          </w:p>
        </w:tc>
      </w:tr>
      <w:tr w:rsidR="00166735" w:rsidRPr="008B5CB5" w14:paraId="4F5EE171" w14:textId="77777777" w:rsidTr="00937930">
        <w:trPr>
          <w:trHeight w:hRule="exact" w:val="397"/>
        </w:trPr>
        <w:tc>
          <w:tcPr>
            <w:tcW w:w="2967" w:type="dxa"/>
            <w:tcMar>
              <w:top w:w="57" w:type="dxa"/>
            </w:tcMar>
          </w:tcPr>
          <w:p w14:paraId="6682AF13" w14:textId="162ECBA7" w:rsidR="00166735" w:rsidRPr="008B5CB5" w:rsidRDefault="00166735" w:rsidP="003C2438">
            <w:r w:rsidRPr="008B5CB5">
              <w:t>3</w:t>
            </w:r>
            <w:r>
              <w:t>0</w:t>
            </w:r>
            <w:r w:rsidRPr="008B5CB5">
              <w:t>.0</w:t>
            </w:r>
            <w:r>
              <w:t>4</w:t>
            </w:r>
            <w:r w:rsidRPr="008B5CB5">
              <w:t>.20</w:t>
            </w:r>
            <w:r w:rsidR="00C27052">
              <w:t>22</w:t>
            </w:r>
            <w:r w:rsidR="00055400">
              <w:t xml:space="preserve"> </w:t>
            </w:r>
          </w:p>
        </w:tc>
        <w:tc>
          <w:tcPr>
            <w:tcW w:w="2515" w:type="dxa"/>
            <w:tcMar>
              <w:top w:w="57" w:type="dxa"/>
            </w:tcMar>
          </w:tcPr>
          <w:p w14:paraId="3E8354F4" w14:textId="77777777" w:rsidR="00166735" w:rsidRPr="008B5CB5" w:rsidRDefault="00166735" w:rsidP="003C2438">
            <w:r w:rsidRPr="008B5CB5">
              <w:t>2,9604</w:t>
            </w:r>
          </w:p>
        </w:tc>
      </w:tr>
      <w:tr w:rsidR="00166735" w:rsidRPr="008B5CB5" w14:paraId="22DA78B9" w14:textId="77777777" w:rsidTr="00937930">
        <w:trPr>
          <w:trHeight w:hRule="exact" w:val="1020"/>
        </w:trPr>
        <w:tc>
          <w:tcPr>
            <w:tcW w:w="2967" w:type="dxa"/>
            <w:tcMar>
              <w:top w:w="57" w:type="dxa"/>
            </w:tcMar>
          </w:tcPr>
          <w:p w14:paraId="05FB8CDD" w14:textId="1C478F2D" w:rsidR="00166735" w:rsidRPr="006651BD" w:rsidRDefault="00166735" w:rsidP="003C2438">
            <w:pPr>
              <w:rPr>
                <w:b/>
              </w:rPr>
            </w:pPr>
            <w:r w:rsidRPr="006651BD">
              <w:rPr>
                <w:b/>
                <w:bCs/>
              </w:rPr>
              <w:t>M</w:t>
            </w:r>
            <w:r>
              <w:rPr>
                <w:b/>
                <w:bCs/>
              </w:rPr>
              <w:t>onatsdurchschnittspreis in C</w:t>
            </w:r>
            <w:r w:rsidRPr="006651BD">
              <w:rPr>
                <w:b/>
                <w:bCs/>
              </w:rPr>
              <w:t>t/kWh</w:t>
            </w:r>
          </w:p>
        </w:tc>
        <w:tc>
          <w:tcPr>
            <w:tcW w:w="2515" w:type="dxa"/>
            <w:tcMar>
              <w:top w:w="57" w:type="dxa"/>
            </w:tcMar>
          </w:tcPr>
          <w:p w14:paraId="1E57A17A" w14:textId="77777777" w:rsidR="00166735" w:rsidRPr="006651BD" w:rsidRDefault="00166735" w:rsidP="003C2438">
            <w:pPr>
              <w:keepNext/>
              <w:rPr>
                <w:b/>
              </w:rPr>
            </w:pPr>
            <w:r w:rsidRPr="007A3379">
              <w:rPr>
                <w:b/>
              </w:rPr>
              <w:t>2,6708</w:t>
            </w:r>
          </w:p>
        </w:tc>
      </w:tr>
    </w:tbl>
    <w:p w14:paraId="32561BE9" w14:textId="2551AF4C" w:rsidR="00166735" w:rsidRPr="007F358A" w:rsidRDefault="00166735" w:rsidP="003C2438">
      <w:pPr>
        <w:pStyle w:val="Abbildung"/>
        <w:spacing w:after="0"/>
        <w:rPr>
          <w:b/>
          <w:bCs/>
        </w:rPr>
      </w:pPr>
      <w:bookmarkStart w:id="2116" w:name="_Toc412562680"/>
      <w:bookmarkStart w:id="2117" w:name="_Toc437530355"/>
      <w:bookmarkStart w:id="2118" w:name="_Toc111118625"/>
      <w:bookmarkStart w:id="2119" w:name="_Toc111196171"/>
      <w:r w:rsidRPr="007F358A">
        <w:rPr>
          <w:b/>
          <w:bCs/>
        </w:rPr>
        <w:t xml:space="preserve">Abbildung </w:t>
      </w:r>
      <w:r w:rsidR="00561FFA" w:rsidRPr="007F358A">
        <w:rPr>
          <w:b/>
          <w:bCs/>
        </w:rPr>
        <w:fldChar w:fldCharType="begin"/>
      </w:r>
      <w:r w:rsidRPr="007F358A">
        <w:rPr>
          <w:b/>
          <w:bCs/>
        </w:rPr>
        <w:instrText xml:space="preserve"> SEQ Abbildung \* ARABIC </w:instrText>
      </w:r>
      <w:r w:rsidR="00561FFA" w:rsidRPr="007F358A">
        <w:rPr>
          <w:b/>
          <w:bCs/>
        </w:rPr>
        <w:fldChar w:fldCharType="separate"/>
      </w:r>
      <w:r w:rsidR="007A098D">
        <w:rPr>
          <w:b/>
          <w:bCs/>
        </w:rPr>
        <w:t>42</w:t>
      </w:r>
      <w:r w:rsidR="00561FFA" w:rsidRPr="007F358A">
        <w:rPr>
          <w:b/>
          <w:bCs/>
        </w:rPr>
        <w:fldChar w:fldCharType="end"/>
      </w:r>
      <w:r w:rsidRPr="007F358A">
        <w:rPr>
          <w:b/>
          <w:bCs/>
        </w:rPr>
        <w:t xml:space="preserve">: </w:t>
      </w:r>
      <w:r w:rsidR="00A779EA">
        <w:rPr>
          <w:b/>
          <w:bCs/>
        </w:rPr>
        <w:t xml:space="preserve">Beispiel zur </w:t>
      </w:r>
      <w:r w:rsidRPr="007F358A">
        <w:rPr>
          <w:b/>
          <w:bCs/>
        </w:rPr>
        <w:t>Berechnung des Monatsdurchschnittspreis</w:t>
      </w:r>
      <w:bookmarkEnd w:id="2116"/>
      <w:r>
        <w:rPr>
          <w:b/>
          <w:bCs/>
        </w:rPr>
        <w:t>es</w:t>
      </w:r>
      <w:bookmarkEnd w:id="2117"/>
      <w:bookmarkEnd w:id="2118"/>
      <w:bookmarkEnd w:id="2119"/>
      <w:r>
        <w:rPr>
          <w:b/>
          <w:bCs/>
        </w:rPr>
        <w:t xml:space="preserve"> </w:t>
      </w:r>
    </w:p>
    <w:p w14:paraId="106B353E" w14:textId="77777777" w:rsidR="00166735" w:rsidRDefault="00166735" w:rsidP="003C2438"/>
    <w:p w14:paraId="7BE64F8F" w14:textId="7C451F05" w:rsidR="00166735" w:rsidRDefault="00166735" w:rsidP="003C2438">
      <w:pPr>
        <w:spacing w:after="240"/>
      </w:pPr>
      <w:r w:rsidRPr="008B5CB5">
        <w:t xml:space="preserve">Der Mehr-/Mindermengenpreis wird anschließend als arithmetisches Mittel der letzten 12 </w:t>
      </w:r>
      <w:r>
        <w:t>Monatsdurchschnittspreise</w:t>
      </w:r>
      <w:r w:rsidRPr="008B5CB5">
        <w:t xml:space="preserve"> ermittelt und im Kalkulationsmonat </w:t>
      </w:r>
      <w:r>
        <w:t xml:space="preserve">an M+15WT </w:t>
      </w:r>
      <w:r w:rsidRPr="008B5CB5">
        <w:t xml:space="preserve">für den </w:t>
      </w:r>
      <w:r>
        <w:t>Anwendungsmonat</w:t>
      </w:r>
      <w:r w:rsidRPr="008B5CB5">
        <w:t>, der auf den Kalkulationsmonat folgt,</w:t>
      </w:r>
      <w:r>
        <w:t xml:space="preserve"> </w:t>
      </w:r>
      <w:r w:rsidRPr="008B5CB5">
        <w:t>veröffentlicht.</w:t>
      </w:r>
    </w:p>
    <w:p w14:paraId="02C3EBCC" w14:textId="77777777" w:rsidR="00167A71" w:rsidRPr="008B5CB5" w:rsidRDefault="00167A71" w:rsidP="003C2438">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4110"/>
      </w:tblGrid>
      <w:tr w:rsidR="00166735" w:rsidRPr="008B5CB5" w14:paraId="273C6F97" w14:textId="77777777" w:rsidTr="00937930">
        <w:tc>
          <w:tcPr>
            <w:tcW w:w="3369" w:type="dxa"/>
            <w:tcMar>
              <w:top w:w="57" w:type="dxa"/>
            </w:tcMar>
          </w:tcPr>
          <w:p w14:paraId="4D870F18" w14:textId="77777777" w:rsidR="00166735" w:rsidRPr="008B5CB5" w:rsidRDefault="00166735" w:rsidP="003C2438">
            <w:pPr>
              <w:rPr>
                <w:b/>
                <w:bCs/>
              </w:rPr>
            </w:pPr>
            <w:r w:rsidRPr="008B5CB5">
              <w:rPr>
                <w:b/>
                <w:bCs/>
              </w:rPr>
              <w:lastRenderedPageBreak/>
              <w:t>Monat</w:t>
            </w:r>
          </w:p>
        </w:tc>
        <w:tc>
          <w:tcPr>
            <w:tcW w:w="4110" w:type="dxa"/>
            <w:tcMar>
              <w:top w:w="57" w:type="dxa"/>
            </w:tcMar>
          </w:tcPr>
          <w:p w14:paraId="515AE628" w14:textId="77777777" w:rsidR="00166735" w:rsidRPr="008B5CB5" w:rsidRDefault="00166735" w:rsidP="003C2438">
            <w:pPr>
              <w:rPr>
                <w:b/>
                <w:bCs/>
              </w:rPr>
            </w:pPr>
            <w:r w:rsidRPr="006651BD">
              <w:rPr>
                <w:b/>
                <w:bCs/>
              </w:rPr>
              <w:t>Monatsdurchschnittspreis</w:t>
            </w:r>
            <w:r>
              <w:rPr>
                <w:b/>
                <w:bCs/>
              </w:rPr>
              <w:t xml:space="preserve"> in C</w:t>
            </w:r>
            <w:r w:rsidRPr="008B5CB5">
              <w:rPr>
                <w:b/>
                <w:bCs/>
              </w:rPr>
              <w:t>t/kWh</w:t>
            </w:r>
          </w:p>
        </w:tc>
      </w:tr>
      <w:tr w:rsidR="00166735" w:rsidRPr="008B5CB5" w14:paraId="344CFC66" w14:textId="77777777" w:rsidTr="00937930">
        <w:tc>
          <w:tcPr>
            <w:tcW w:w="3369" w:type="dxa"/>
            <w:tcMar>
              <w:top w:w="57" w:type="dxa"/>
            </w:tcMar>
          </w:tcPr>
          <w:p w14:paraId="5491AC47" w14:textId="56FD2AB4" w:rsidR="00166735" w:rsidRPr="008B5CB5" w:rsidRDefault="00166735" w:rsidP="003C2438">
            <w:r>
              <w:t>Apr</w:t>
            </w:r>
            <w:r w:rsidRPr="008B5CB5">
              <w:t xml:space="preserve"> 20</w:t>
            </w:r>
            <w:r w:rsidR="00055400">
              <w:t xml:space="preserve">22 </w:t>
            </w:r>
          </w:p>
        </w:tc>
        <w:tc>
          <w:tcPr>
            <w:tcW w:w="4110" w:type="dxa"/>
            <w:tcMar>
              <w:top w:w="57" w:type="dxa"/>
            </w:tcMar>
          </w:tcPr>
          <w:p w14:paraId="738AF103" w14:textId="59C75661" w:rsidR="00166735" w:rsidRPr="008B5CB5" w:rsidRDefault="00A052CC" w:rsidP="003C2438">
            <w:r>
              <w:t>2,</w:t>
            </w:r>
            <w:r w:rsidR="008717D1">
              <w:t>6708</w:t>
            </w:r>
          </w:p>
        </w:tc>
      </w:tr>
      <w:tr w:rsidR="00166735" w:rsidRPr="008B5CB5" w14:paraId="087FF46A" w14:textId="77777777" w:rsidTr="00937930">
        <w:tc>
          <w:tcPr>
            <w:tcW w:w="3369" w:type="dxa"/>
            <w:tcMar>
              <w:top w:w="57" w:type="dxa"/>
            </w:tcMar>
          </w:tcPr>
          <w:p w14:paraId="087B95B9" w14:textId="6E64D60F" w:rsidR="00166735" w:rsidRPr="008B5CB5" w:rsidRDefault="00166735" w:rsidP="003C2438">
            <w:r>
              <w:t>Mai</w:t>
            </w:r>
            <w:r w:rsidRPr="008B5CB5">
              <w:t xml:space="preserve"> 20</w:t>
            </w:r>
            <w:r w:rsidR="00055400">
              <w:t xml:space="preserve">22 </w:t>
            </w:r>
          </w:p>
        </w:tc>
        <w:tc>
          <w:tcPr>
            <w:tcW w:w="4110" w:type="dxa"/>
            <w:tcMar>
              <w:top w:w="57" w:type="dxa"/>
            </w:tcMar>
          </w:tcPr>
          <w:p w14:paraId="082B8452" w14:textId="77777777" w:rsidR="00166735" w:rsidRPr="008B5CB5" w:rsidRDefault="00166735" w:rsidP="003C2438">
            <w:r w:rsidRPr="008B5CB5">
              <w:t>2,8002</w:t>
            </w:r>
          </w:p>
        </w:tc>
      </w:tr>
      <w:tr w:rsidR="00166735" w:rsidRPr="008B5CB5" w14:paraId="0ABB3A73" w14:textId="77777777" w:rsidTr="00937930">
        <w:tc>
          <w:tcPr>
            <w:tcW w:w="3369" w:type="dxa"/>
            <w:tcMar>
              <w:top w:w="57" w:type="dxa"/>
            </w:tcMar>
          </w:tcPr>
          <w:p w14:paraId="2FD049F2" w14:textId="77777777" w:rsidR="00166735" w:rsidRPr="008B5CB5" w:rsidRDefault="00166735" w:rsidP="003C2438">
            <w:r w:rsidRPr="008B5CB5">
              <w:t>…</w:t>
            </w:r>
          </w:p>
        </w:tc>
        <w:tc>
          <w:tcPr>
            <w:tcW w:w="4110" w:type="dxa"/>
            <w:tcMar>
              <w:top w:w="57" w:type="dxa"/>
            </w:tcMar>
          </w:tcPr>
          <w:p w14:paraId="64B18EAC" w14:textId="77777777" w:rsidR="00166735" w:rsidRPr="008B5CB5" w:rsidRDefault="00166735" w:rsidP="003C2438">
            <w:r w:rsidRPr="008B5CB5">
              <w:t>…</w:t>
            </w:r>
          </w:p>
        </w:tc>
      </w:tr>
      <w:tr w:rsidR="00166735" w:rsidRPr="008B5CB5" w14:paraId="2E145E60" w14:textId="77777777" w:rsidTr="00937930">
        <w:tc>
          <w:tcPr>
            <w:tcW w:w="3369" w:type="dxa"/>
            <w:tcMar>
              <w:top w:w="57" w:type="dxa"/>
            </w:tcMar>
          </w:tcPr>
          <w:p w14:paraId="4BBDF8B6" w14:textId="6714FDAC" w:rsidR="00166735" w:rsidRPr="008B5CB5" w:rsidRDefault="00166735" w:rsidP="003C2438">
            <w:r>
              <w:t>Mrz</w:t>
            </w:r>
            <w:r w:rsidR="00FD413C">
              <w:t>.</w:t>
            </w:r>
            <w:r w:rsidRPr="008B5CB5">
              <w:t xml:space="preserve"> 20</w:t>
            </w:r>
            <w:r w:rsidR="00055400">
              <w:t xml:space="preserve">23 </w:t>
            </w:r>
          </w:p>
        </w:tc>
        <w:tc>
          <w:tcPr>
            <w:tcW w:w="4110" w:type="dxa"/>
            <w:tcMar>
              <w:top w:w="57" w:type="dxa"/>
            </w:tcMar>
          </w:tcPr>
          <w:p w14:paraId="51FB3B07" w14:textId="77777777" w:rsidR="00166735" w:rsidRPr="008B5CB5" w:rsidRDefault="00166735" w:rsidP="003C2438">
            <w:r w:rsidRPr="008B5CB5">
              <w:t>2,8616</w:t>
            </w:r>
          </w:p>
        </w:tc>
      </w:tr>
      <w:tr w:rsidR="00166735" w:rsidRPr="008B5CB5" w14:paraId="15ED65FD" w14:textId="77777777" w:rsidTr="00937930">
        <w:tc>
          <w:tcPr>
            <w:tcW w:w="3369" w:type="dxa"/>
            <w:tcMar>
              <w:top w:w="57" w:type="dxa"/>
            </w:tcMar>
          </w:tcPr>
          <w:p w14:paraId="5E7552C1" w14:textId="614EC70F" w:rsidR="00166735" w:rsidRPr="008B5CB5" w:rsidRDefault="00166735" w:rsidP="003C2438">
            <w:r w:rsidRPr="008B5CB5">
              <w:t xml:space="preserve">Mehr-/Mindermengenpreis für den </w:t>
            </w:r>
            <w:r>
              <w:t>Anwendungsmonat</w:t>
            </w:r>
            <w:r w:rsidRPr="008B5CB5">
              <w:t xml:space="preserve"> </w:t>
            </w:r>
            <w:r>
              <w:t>Mai 20</w:t>
            </w:r>
            <w:r w:rsidR="00055400">
              <w:t xml:space="preserve">23 </w:t>
            </w:r>
          </w:p>
        </w:tc>
        <w:tc>
          <w:tcPr>
            <w:tcW w:w="4110" w:type="dxa"/>
            <w:tcMar>
              <w:top w:w="57" w:type="dxa"/>
            </w:tcMar>
          </w:tcPr>
          <w:p w14:paraId="55F493B3" w14:textId="77777777" w:rsidR="00166735" w:rsidRPr="008B5CB5" w:rsidRDefault="00166735" w:rsidP="003C2438">
            <w:r>
              <w:t>2,7153</w:t>
            </w:r>
          </w:p>
          <w:p w14:paraId="22D30ED9" w14:textId="77777777" w:rsidR="00166735" w:rsidRPr="008B5CB5" w:rsidRDefault="00166735" w:rsidP="003C2438">
            <w:pPr>
              <w:keepNext/>
            </w:pPr>
          </w:p>
        </w:tc>
      </w:tr>
    </w:tbl>
    <w:p w14:paraId="4F6E5581" w14:textId="1EC9D0AB" w:rsidR="00166735" w:rsidRPr="007F358A" w:rsidRDefault="00166735" w:rsidP="003C2438">
      <w:pPr>
        <w:pStyle w:val="Abbildung"/>
        <w:spacing w:after="0"/>
        <w:rPr>
          <w:b/>
          <w:bCs/>
        </w:rPr>
      </w:pPr>
      <w:bookmarkStart w:id="2120" w:name="_Toc412562682"/>
      <w:bookmarkStart w:id="2121" w:name="_Toc437530357"/>
      <w:bookmarkStart w:id="2122" w:name="_Toc111118626"/>
      <w:bookmarkStart w:id="2123" w:name="_Toc111196172"/>
      <w:r w:rsidRPr="007F358A">
        <w:rPr>
          <w:b/>
          <w:bCs/>
        </w:rPr>
        <w:t xml:space="preserve">Abbildung </w:t>
      </w:r>
      <w:r w:rsidR="00561FFA" w:rsidRPr="007F358A">
        <w:rPr>
          <w:b/>
          <w:bCs/>
        </w:rPr>
        <w:fldChar w:fldCharType="begin"/>
      </w:r>
      <w:r w:rsidRPr="007F358A">
        <w:rPr>
          <w:b/>
          <w:bCs/>
        </w:rPr>
        <w:instrText xml:space="preserve"> SEQ Abbildung \* ARABIC </w:instrText>
      </w:r>
      <w:r w:rsidR="00561FFA" w:rsidRPr="007F358A">
        <w:rPr>
          <w:b/>
          <w:bCs/>
        </w:rPr>
        <w:fldChar w:fldCharType="separate"/>
      </w:r>
      <w:r w:rsidR="007A098D">
        <w:rPr>
          <w:b/>
          <w:bCs/>
        </w:rPr>
        <w:t>43</w:t>
      </w:r>
      <w:r w:rsidR="00561FFA" w:rsidRPr="007F358A">
        <w:rPr>
          <w:b/>
          <w:bCs/>
        </w:rPr>
        <w:fldChar w:fldCharType="end"/>
      </w:r>
      <w:r w:rsidRPr="007F358A">
        <w:rPr>
          <w:b/>
          <w:bCs/>
        </w:rPr>
        <w:t xml:space="preserve">: </w:t>
      </w:r>
      <w:r w:rsidR="008717D1">
        <w:rPr>
          <w:b/>
          <w:bCs/>
        </w:rPr>
        <w:t xml:space="preserve">Beispiel </w:t>
      </w:r>
      <w:r w:rsidRPr="007F358A">
        <w:rPr>
          <w:b/>
          <w:bCs/>
        </w:rPr>
        <w:t>Bildung Mehr-/Mindermengenpreis</w:t>
      </w:r>
      <w:bookmarkEnd w:id="2120"/>
      <w:bookmarkEnd w:id="2121"/>
      <w:bookmarkEnd w:id="2122"/>
      <w:bookmarkEnd w:id="2123"/>
    </w:p>
    <w:p w14:paraId="56D3115A" w14:textId="77777777" w:rsidR="00166735" w:rsidRDefault="00166735" w:rsidP="003C2438"/>
    <w:p w14:paraId="7A4D7B37" w14:textId="77777777" w:rsidR="00166735" w:rsidRDefault="00166735" w:rsidP="003C2438">
      <w:r>
        <w:t>Der Mehr-/Mindermengenpreis wird bei der Ermittlung auf 4 Nachkommastellen in Ct/kWh kaufmännisch gerundet und mit 6 Nachkommastellen in EUR/kWh im elektronischen Format (zum Download als .</w:t>
      </w:r>
      <w:proofErr w:type="spellStart"/>
      <w:r>
        <w:t>csv</w:t>
      </w:r>
      <w:proofErr w:type="spellEnd"/>
      <w:r>
        <w:t>-Datei) veröffentlicht.</w:t>
      </w:r>
    </w:p>
    <w:p w14:paraId="097CDECD" w14:textId="3A52D98E" w:rsidR="00166735" w:rsidRDefault="00166735" w:rsidP="003C2438">
      <w:r>
        <w:t>Bei dem Mehr-/Mindermengenpreis handelt es sich um einen symmetrischen Preis, der für die Mehrmengen und für die Mindermengen identisch ist.</w:t>
      </w:r>
    </w:p>
    <w:p w14:paraId="167C0EA8" w14:textId="77777777" w:rsidR="00166735" w:rsidRDefault="00166735" w:rsidP="003C2438">
      <w:r>
        <w:t>Beispiel:</w:t>
      </w:r>
    </w:p>
    <w:p w14:paraId="304AEEA4" w14:textId="76D78EDE" w:rsidR="00166735" w:rsidRPr="00A946BC" w:rsidRDefault="00166735" w:rsidP="003C2438">
      <w:r w:rsidRPr="00A946BC">
        <w:t>Der Mehr-/Mindermengenpreis für den Anwendungsmonat Mai 20</w:t>
      </w:r>
      <w:r w:rsidR="00055400">
        <w:t xml:space="preserve">23 </w:t>
      </w:r>
      <w:r w:rsidRPr="00A946BC">
        <w:t>(grün) ist ein gemittelter 12-Monatswert des Zeitraumes April 20</w:t>
      </w:r>
      <w:r w:rsidR="00055400">
        <w:t xml:space="preserve">22 </w:t>
      </w:r>
      <w:r w:rsidRPr="00A946BC">
        <w:t>bis einschließlich März 20</w:t>
      </w:r>
      <w:r w:rsidR="00055400">
        <w:t xml:space="preserve">23 </w:t>
      </w:r>
      <w:r w:rsidRPr="00A946BC">
        <w:t>(orange), der im Kalkulationsmonat April 20</w:t>
      </w:r>
      <w:r w:rsidR="00055400">
        <w:t xml:space="preserve">23 </w:t>
      </w:r>
      <w:r w:rsidRPr="00A946BC">
        <w:t xml:space="preserve">(gelb) ermittelt und </w:t>
      </w:r>
      <w:r>
        <w:t xml:space="preserve">an M+15WT </w:t>
      </w:r>
      <w:r w:rsidRPr="00A946BC">
        <w:t>veröffentlic</w:t>
      </w:r>
      <w:r>
        <w:t>ht wird und als Mehr-/Mindermen</w:t>
      </w:r>
      <w:r w:rsidRPr="00A946BC">
        <w:t>genpreis für den Anwendungsmonat Mai 20</w:t>
      </w:r>
      <w:r w:rsidR="00055400">
        <w:t xml:space="preserve">23 </w:t>
      </w:r>
      <w:r w:rsidRPr="00A946BC">
        <w:t>gekennzeichnet ist.</w:t>
      </w:r>
    </w:p>
    <w:p w14:paraId="45B1D87A" w14:textId="4690C2F3" w:rsidR="00166735" w:rsidRDefault="00166735" w:rsidP="003C2438">
      <w:pPr>
        <w:keepNext/>
      </w:pPr>
    </w:p>
    <w:p w14:paraId="1F2C0E47" w14:textId="06435BD4" w:rsidR="00055400" w:rsidRDefault="00055400" w:rsidP="003C2438">
      <w:pPr>
        <w:keepNext/>
      </w:pPr>
      <w:r>
        <w:rPr>
          <w:noProof/>
        </w:rPr>
        <w:drawing>
          <wp:inline distT="0" distB="0" distL="0" distR="0" wp14:anchorId="612680D2" wp14:editId="78EBD5CD">
            <wp:extent cx="5759450" cy="1100455"/>
            <wp:effectExtent l="0" t="0" r="0" b="444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59450" cy="1100455"/>
                    </a:xfrm>
                    <a:prstGeom prst="rect">
                      <a:avLst/>
                    </a:prstGeom>
                    <a:noFill/>
                  </pic:spPr>
                </pic:pic>
              </a:graphicData>
            </a:graphic>
          </wp:inline>
        </w:drawing>
      </w:r>
    </w:p>
    <w:p w14:paraId="52CAA46C" w14:textId="2129036A" w:rsidR="00166735" w:rsidRPr="00E8744B" w:rsidRDefault="00166735" w:rsidP="003C2438">
      <w:pPr>
        <w:rPr>
          <w:b/>
        </w:rPr>
      </w:pPr>
      <w:bookmarkStart w:id="2124" w:name="_Toc412562683"/>
      <w:bookmarkStart w:id="2125" w:name="_Toc437530358"/>
      <w:bookmarkStart w:id="2126" w:name="_Toc111118627"/>
      <w:bookmarkStart w:id="2127" w:name="_Toc111196173"/>
      <w:r w:rsidRPr="00E8744B">
        <w:rPr>
          <w:b/>
        </w:rPr>
        <w:t xml:space="preserve">Abbildung </w:t>
      </w:r>
      <w:r w:rsidR="00561FFA" w:rsidRPr="00E8744B">
        <w:rPr>
          <w:b/>
        </w:rPr>
        <w:fldChar w:fldCharType="begin"/>
      </w:r>
      <w:r w:rsidRPr="00E8744B">
        <w:rPr>
          <w:b/>
        </w:rPr>
        <w:instrText xml:space="preserve"> SEQ Abbildung \* ARABIC </w:instrText>
      </w:r>
      <w:r w:rsidR="00561FFA" w:rsidRPr="00E8744B">
        <w:rPr>
          <w:b/>
        </w:rPr>
        <w:fldChar w:fldCharType="separate"/>
      </w:r>
      <w:r w:rsidR="007A098D">
        <w:rPr>
          <w:b/>
          <w:noProof/>
        </w:rPr>
        <w:t>44</w:t>
      </w:r>
      <w:r w:rsidR="00561FFA" w:rsidRPr="00E8744B">
        <w:rPr>
          <w:b/>
        </w:rPr>
        <w:fldChar w:fldCharType="end"/>
      </w:r>
      <w:r w:rsidRPr="00E8744B">
        <w:rPr>
          <w:b/>
        </w:rPr>
        <w:t xml:space="preserve">: </w:t>
      </w:r>
      <w:r w:rsidR="00A779EA">
        <w:rPr>
          <w:b/>
        </w:rPr>
        <w:t xml:space="preserve">Beispiel </w:t>
      </w:r>
      <w:r w:rsidRPr="00E8744B">
        <w:rPr>
          <w:b/>
        </w:rPr>
        <w:t>Mehr-/Mindermengenpreis für den Anwendungsmonat</w:t>
      </w:r>
      <w:bookmarkEnd w:id="2124"/>
      <w:bookmarkEnd w:id="2125"/>
      <w:bookmarkEnd w:id="2126"/>
      <w:bookmarkEnd w:id="2127"/>
    </w:p>
    <w:p w14:paraId="4312B6D9" w14:textId="77777777" w:rsidR="00166735" w:rsidRPr="00960B64" w:rsidRDefault="00166735" w:rsidP="003C2438">
      <w:pPr>
        <w:spacing w:after="200"/>
        <w:rPr>
          <w:b/>
          <w:bCs/>
          <w:szCs w:val="26"/>
        </w:rPr>
      </w:pPr>
    </w:p>
    <w:p w14:paraId="3FFD8716" w14:textId="77777777" w:rsidR="00FF3030" w:rsidRDefault="00166735" w:rsidP="00642CF1">
      <w:pPr>
        <w:pStyle w:val="berschrift2"/>
        <w:spacing w:before="480"/>
        <w:ind w:left="709" w:hanging="709"/>
      </w:pPr>
      <w:bookmarkStart w:id="2128" w:name="_Toc405803686"/>
      <w:bookmarkStart w:id="2129" w:name="_Toc410395194"/>
      <w:bookmarkStart w:id="2130" w:name="_Toc411597978"/>
      <w:bookmarkStart w:id="2131" w:name="_Toc412661430"/>
      <w:bookmarkStart w:id="2132" w:name="_Toc111118557"/>
      <w:r w:rsidRPr="0055644D">
        <w:lastRenderedPageBreak/>
        <w:t>Prozesse zwischen</w:t>
      </w:r>
      <w:r>
        <w:t xml:space="preserve"> NB und LF</w:t>
      </w:r>
      <w:bookmarkEnd w:id="2128"/>
      <w:bookmarkEnd w:id="2129"/>
      <w:bookmarkEnd w:id="2130"/>
      <w:bookmarkEnd w:id="2131"/>
      <w:bookmarkEnd w:id="2132"/>
    </w:p>
    <w:p w14:paraId="7C34322D" w14:textId="1032E397" w:rsidR="00166735" w:rsidRDefault="00166735" w:rsidP="00372A70">
      <w:pPr>
        <w:pStyle w:val="berschrift3"/>
        <w:tabs>
          <w:tab w:val="num" w:pos="1134"/>
        </w:tabs>
        <w:spacing w:before="480"/>
        <w:ind w:left="1146" w:hanging="1106"/>
      </w:pPr>
      <w:bookmarkStart w:id="2133" w:name="_Toc405803687"/>
      <w:bookmarkStart w:id="2134" w:name="_Toc410395195"/>
      <w:bookmarkStart w:id="2135" w:name="_Toc411597979"/>
      <w:bookmarkStart w:id="2136" w:name="_Ref412102750"/>
      <w:bookmarkStart w:id="2137" w:name="_Toc412661431"/>
      <w:bookmarkStart w:id="2138" w:name="_Toc111118558"/>
      <w:r>
        <w:t xml:space="preserve">Übermittlung der </w:t>
      </w:r>
      <w:r w:rsidR="00FB279D" w:rsidRPr="00F57B2C">
        <w:t>marktlokationsscharfen</w:t>
      </w:r>
      <w:r>
        <w:t xml:space="preserve"> Allokationsliste</w:t>
      </w:r>
      <w:bookmarkEnd w:id="2133"/>
      <w:bookmarkEnd w:id="2134"/>
      <w:bookmarkEnd w:id="2135"/>
      <w:bookmarkEnd w:id="2136"/>
      <w:bookmarkEnd w:id="2137"/>
      <w:bookmarkEnd w:id="2138"/>
    </w:p>
    <w:p w14:paraId="7975EAB8" w14:textId="17710171" w:rsidR="00166735" w:rsidRDefault="00166735" w:rsidP="003C2438">
      <w:r>
        <w:t>Der LF kann die</w:t>
      </w:r>
      <w:r w:rsidRPr="00BF0045">
        <w:t xml:space="preserve"> monatliche Übermittlung einer tages- und </w:t>
      </w:r>
      <w:r w:rsidR="00FB279D">
        <w:t>marktlokationsscharfen</w:t>
      </w:r>
      <w:r w:rsidRPr="00BF0045">
        <w:t xml:space="preserve"> Aufstellung der Allokationsmengen </w:t>
      </w:r>
      <w:r>
        <w:t xml:space="preserve">für die Zukunft </w:t>
      </w:r>
      <w:r w:rsidRPr="00BF0045">
        <w:t>frühestens ab dem aktuellen Liefermonat beim NB abonnieren.</w:t>
      </w:r>
    </w:p>
    <w:p w14:paraId="3BBA9725" w14:textId="06A39C58" w:rsidR="00166735" w:rsidRDefault="00166735" w:rsidP="003C2438">
      <w:r w:rsidRPr="00BF0045">
        <w:t>Der NB übermittelt die angeforderte Allokationsliste für alle</w:t>
      </w:r>
      <w:r w:rsidR="00FB279D" w:rsidRPr="00FB279D">
        <w:t xml:space="preserve"> </w:t>
      </w:r>
      <w:r w:rsidR="00FB279D">
        <w:t>Marktlokationen</w:t>
      </w:r>
      <w:r w:rsidRPr="00BF0045">
        <w:t>, die dem LF in dem Liefermonat bilanziell zugeordnet sind. Die Übermittlung der Allokationsliste erfolgt monatlich ab dem Monat, für den die Allokationsliste angefordert wurde, jeweils im dritten Monat nach dem Liefermonat und vor Versand der ersten Mehr-/Mindermengen</w:t>
      </w:r>
      <w:r w:rsidR="00DD6732">
        <w:t>ab</w:t>
      </w:r>
      <w:r w:rsidRPr="00BF0045">
        <w:t>rechnung</w:t>
      </w:r>
      <w:r w:rsidR="00DD6732">
        <w:t xml:space="preserve">, deren Mehr- bzw. </w:t>
      </w:r>
      <w:r w:rsidRPr="00BF0045">
        <w:t>Mindermengenzeitraum diesen Monat enthält.</w:t>
      </w:r>
      <w:r>
        <w:t xml:space="preserve"> </w:t>
      </w:r>
      <w:r w:rsidRPr="00BF0045">
        <w:t xml:space="preserve">Für Monate, in denen dem LF keine </w:t>
      </w:r>
      <w:r w:rsidR="00FB279D">
        <w:t xml:space="preserve">Marktlokation </w:t>
      </w:r>
      <w:r w:rsidRPr="00BF0045">
        <w:t>bilanziell zugeordnet sind, erfolgt keine Übermittlung der Allokationsliste.</w:t>
      </w:r>
      <w:r w:rsidRPr="009A2CDC">
        <w:t xml:space="preserve"> </w:t>
      </w:r>
      <w:r w:rsidRPr="00BF0045">
        <w:t>Der LF kann das Abo jederzeit unter Angabe des Monats, für den die Allokationsliste letztmalig übermittelt werden soll, beenden.</w:t>
      </w:r>
    </w:p>
    <w:p w14:paraId="00453B7D" w14:textId="65511242" w:rsidR="00166735" w:rsidRDefault="00166735" w:rsidP="003C2438">
      <w:r w:rsidRPr="009A2CDC">
        <w:t xml:space="preserve">Die in der </w:t>
      </w:r>
      <w:r w:rsidR="00FB279D">
        <w:t>marktlokationsscharfen</w:t>
      </w:r>
      <w:r w:rsidRPr="009A2CDC">
        <w:t xml:space="preserve"> Allokationsliste enthaltenen bilanzierten Mengen sind auf </w:t>
      </w:r>
      <w:r w:rsidR="00B6097B">
        <w:t>drei</w:t>
      </w:r>
      <w:r w:rsidRPr="009A2CDC">
        <w:t xml:space="preserve"> Nachkommastellen kaufmännisch gerundet in kWh anzugeben. Die vom NB übermittelte bilanzierte Menge je </w:t>
      </w:r>
      <w:r w:rsidR="00FB279D">
        <w:t>Marktlokation</w:t>
      </w:r>
      <w:r w:rsidRPr="009A2CDC">
        <w:t xml:space="preserve"> für den Mehr-/Mindermengenzeitraum kann aufgrund von Rundungsdifferenzen um max. 1 kWh von der Summe der Tageswerte aus der </w:t>
      </w:r>
      <w:r w:rsidR="00FB279D">
        <w:t>marktlokationsscharfen</w:t>
      </w:r>
      <w:r w:rsidRPr="009A2CDC">
        <w:t xml:space="preserve"> Allokationsliste abweichen.</w:t>
      </w:r>
    </w:p>
    <w:p w14:paraId="7B07E41A" w14:textId="556D90D9" w:rsidR="00166735" w:rsidRDefault="00166735" w:rsidP="003C2438">
      <w:r w:rsidRPr="00ED6D4C">
        <w:t>Bei</w:t>
      </w:r>
      <w:r>
        <w:t xml:space="preserve"> der anschließenden </w:t>
      </w:r>
      <w:r w:rsidRPr="00ED6D4C">
        <w:t xml:space="preserve">Prüfung der </w:t>
      </w:r>
      <w:r w:rsidR="00FB279D">
        <w:t>marktlokationsscharfen</w:t>
      </w:r>
      <w:r w:rsidRPr="00ED6D4C">
        <w:t xml:space="preserve"> Allokationsliste gegen das Bilanzkreisergebnis</w:t>
      </w:r>
      <w:r>
        <w:t xml:space="preserve"> können Rundungsdifferenzen bis zu einer Höhe von max. 74</w:t>
      </w:r>
      <w:r w:rsidR="000B5FD7">
        <w:t>4</w:t>
      </w:r>
      <w:r>
        <w:t xml:space="preserve"> kWh</w:t>
      </w:r>
      <w:r>
        <w:rPr>
          <w:rStyle w:val="Kommentarzeichen"/>
        </w:rPr>
        <w:t xml:space="preserve"> </w:t>
      </w:r>
      <w:r>
        <w:t>pro Bilanzkreis und Monat auftreten.</w:t>
      </w:r>
      <w:r w:rsidRPr="00ED6D4C">
        <w:t xml:space="preserve"> </w:t>
      </w:r>
      <w:r>
        <w:t xml:space="preserve">Bei Abweichungen, die 744 kWh pro Bilanzkreis übersteigen, ist der </w:t>
      </w:r>
      <w:r w:rsidR="000B5FD7">
        <w:t>LF</w:t>
      </w:r>
      <w:r>
        <w:t xml:space="preserve"> berechtigt, von dem </w:t>
      </w:r>
      <w:r w:rsidR="0056315F">
        <w:t>NB</w:t>
      </w:r>
      <w:r>
        <w:t xml:space="preserve"> einen Nachweis zu verlangen.</w:t>
      </w:r>
    </w:p>
    <w:p w14:paraId="78C6B467" w14:textId="77777777" w:rsidR="00166735" w:rsidRPr="00807B2C" w:rsidRDefault="00166735" w:rsidP="003C2438">
      <w:pPr>
        <w:spacing w:after="0"/>
        <w:rPr>
          <w:rFonts w:ascii="Times New Roman" w:hAnsi="Times New Roman"/>
          <w:sz w:val="24"/>
          <w:szCs w:val="24"/>
        </w:rPr>
      </w:pPr>
    </w:p>
    <w:tbl>
      <w:tblPr>
        <w:tblW w:w="5675" w:type="dxa"/>
        <w:tblInd w:w="-13" w:type="dxa"/>
        <w:shd w:val="clear" w:color="auto" w:fill="FFFFFF"/>
        <w:tblCellMar>
          <w:left w:w="0" w:type="dxa"/>
          <w:right w:w="0" w:type="dxa"/>
        </w:tblCellMar>
        <w:tblLook w:val="04A0" w:firstRow="1" w:lastRow="0" w:firstColumn="1" w:lastColumn="0" w:noHBand="0" w:noVBand="1"/>
      </w:tblPr>
      <w:tblGrid>
        <w:gridCol w:w="761"/>
        <w:gridCol w:w="1106"/>
        <w:gridCol w:w="1276"/>
        <w:gridCol w:w="425"/>
        <w:gridCol w:w="992"/>
        <w:gridCol w:w="1134"/>
      </w:tblGrid>
      <w:tr w:rsidR="00166735" w:rsidRPr="00807B2C" w14:paraId="2D4CF79E" w14:textId="77777777" w:rsidTr="00937930">
        <w:trPr>
          <w:trHeight w:val="315"/>
        </w:trPr>
        <w:tc>
          <w:tcPr>
            <w:tcW w:w="742"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A03BE7D"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Uhrzeit</w:t>
            </w:r>
          </w:p>
        </w:tc>
        <w:tc>
          <w:tcPr>
            <w:tcW w:w="110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AFB0FA"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ANB - System</w:t>
            </w:r>
          </w:p>
          <w:p w14:paraId="7B25527D"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(h-Werte)</w:t>
            </w:r>
          </w:p>
        </w:tc>
        <w:tc>
          <w:tcPr>
            <w:tcW w:w="127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1DA865C"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ANB-MSCONS</w:t>
            </w:r>
          </w:p>
          <w:p w14:paraId="1761687E"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(d-Werte)</w:t>
            </w:r>
          </w:p>
        </w:tc>
        <w:tc>
          <w:tcPr>
            <w:tcW w:w="42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F260ED"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 </w:t>
            </w:r>
          </w:p>
        </w:tc>
        <w:tc>
          <w:tcPr>
            <w:tcW w:w="992"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7D0B97"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ANB - ALOCAT</w:t>
            </w:r>
          </w:p>
          <w:p w14:paraId="6F3248C4"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(h-Werte)</w:t>
            </w:r>
          </w:p>
        </w:tc>
        <w:tc>
          <w:tcPr>
            <w:tcW w:w="113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71E67C8"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MGV-Bilanzkreis Tagesband</w:t>
            </w:r>
          </w:p>
          <w:p w14:paraId="6480691A" w14:textId="77777777" w:rsidR="00166735" w:rsidRPr="00807B2C" w:rsidRDefault="00166735" w:rsidP="003C2438">
            <w:pPr>
              <w:spacing w:after="0"/>
              <w:rPr>
                <w:rFonts w:ascii="Times New Roman" w:hAnsi="Times New Roman"/>
                <w:sz w:val="24"/>
                <w:szCs w:val="24"/>
              </w:rPr>
            </w:pPr>
            <w:r w:rsidRPr="00807B2C">
              <w:rPr>
                <w:rFonts w:cs="Arial"/>
                <w:b/>
                <w:bCs/>
                <w:color w:val="000000"/>
                <w:sz w:val="18"/>
                <w:szCs w:val="18"/>
              </w:rPr>
              <w:t>(h-Werte)</w:t>
            </w:r>
          </w:p>
        </w:tc>
      </w:tr>
      <w:tr w:rsidR="00166735" w:rsidRPr="00807B2C" w14:paraId="4D9E8BEC"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C434D2"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07:00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2B66FC"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13,500100</w:t>
            </w:r>
          </w:p>
        </w:tc>
        <w:tc>
          <w:tcPr>
            <w:tcW w:w="1276" w:type="dxa"/>
            <w:vMerge w:val="restart"/>
            <w:tcBorders>
              <w:top w:val="nil"/>
              <w:left w:val="nil"/>
              <w:bottom w:val="single" w:sz="8" w:space="0" w:color="000000"/>
              <w:right w:val="single" w:sz="8" w:space="0" w:color="auto"/>
            </w:tcBorders>
            <w:shd w:val="clear" w:color="auto" w:fill="FFFFFF"/>
            <w:noWrap/>
            <w:tcMar>
              <w:top w:w="0" w:type="dxa"/>
              <w:left w:w="70" w:type="dxa"/>
              <w:bottom w:w="0" w:type="dxa"/>
              <w:right w:w="70" w:type="dxa"/>
            </w:tcMar>
            <w:vAlign w:val="bottom"/>
            <w:hideMark/>
          </w:tcPr>
          <w:p w14:paraId="321A8D6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600,002</w:t>
            </w: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3FAFFA5E"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D24C05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F39B6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E43FC83"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6AC914"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08:00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9B0F72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14,500100</w:t>
            </w:r>
          </w:p>
        </w:tc>
        <w:tc>
          <w:tcPr>
            <w:tcW w:w="0" w:type="auto"/>
            <w:vMerge/>
            <w:tcBorders>
              <w:top w:val="nil"/>
              <w:left w:val="nil"/>
              <w:bottom w:val="single" w:sz="8" w:space="0" w:color="000000"/>
              <w:right w:val="single" w:sz="8" w:space="0" w:color="auto"/>
            </w:tcBorders>
            <w:shd w:val="clear" w:color="auto" w:fill="FFFFFF"/>
            <w:vAlign w:val="center"/>
            <w:hideMark/>
          </w:tcPr>
          <w:p w14:paraId="75059848"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72B0068D"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F84DE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D25CE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45C7FD77"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13B1692"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09:00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2DD9584"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15,500100</w:t>
            </w:r>
          </w:p>
        </w:tc>
        <w:tc>
          <w:tcPr>
            <w:tcW w:w="0" w:type="auto"/>
            <w:vMerge/>
            <w:tcBorders>
              <w:top w:val="nil"/>
              <w:left w:val="nil"/>
              <w:bottom w:val="single" w:sz="8" w:space="0" w:color="000000"/>
              <w:right w:val="single" w:sz="8" w:space="0" w:color="auto"/>
            </w:tcBorders>
            <w:shd w:val="clear" w:color="auto" w:fill="FFFFFF"/>
            <w:vAlign w:val="center"/>
            <w:hideMark/>
          </w:tcPr>
          <w:p w14:paraId="29BD9E74"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6A749624"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B0C04B"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16</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CDAF3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2494ECC3"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4539D51"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10:00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C6F32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16,500100</w:t>
            </w:r>
          </w:p>
        </w:tc>
        <w:tc>
          <w:tcPr>
            <w:tcW w:w="0" w:type="auto"/>
            <w:vMerge/>
            <w:tcBorders>
              <w:top w:val="nil"/>
              <w:left w:val="nil"/>
              <w:bottom w:val="single" w:sz="8" w:space="0" w:color="000000"/>
              <w:right w:val="single" w:sz="8" w:space="0" w:color="auto"/>
            </w:tcBorders>
            <w:shd w:val="clear" w:color="auto" w:fill="FFFFFF"/>
            <w:vAlign w:val="center"/>
            <w:hideMark/>
          </w:tcPr>
          <w:p w14:paraId="096B315B"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70513225"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FD973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17</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9F4132"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2209D8C5"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4BC744"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11:00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62827A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17,500100</w:t>
            </w:r>
          </w:p>
        </w:tc>
        <w:tc>
          <w:tcPr>
            <w:tcW w:w="0" w:type="auto"/>
            <w:vMerge/>
            <w:tcBorders>
              <w:top w:val="nil"/>
              <w:left w:val="nil"/>
              <w:bottom w:val="single" w:sz="8" w:space="0" w:color="000000"/>
              <w:right w:val="single" w:sz="8" w:space="0" w:color="auto"/>
            </w:tcBorders>
            <w:shd w:val="clear" w:color="auto" w:fill="FFFFFF"/>
            <w:vAlign w:val="center"/>
            <w:hideMark/>
          </w:tcPr>
          <w:p w14:paraId="7D875650"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4C073F4F"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14AA77"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CDC7F3C"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248D8FE8"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ECDCB57"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12:00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FEB74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18,500100</w:t>
            </w:r>
          </w:p>
        </w:tc>
        <w:tc>
          <w:tcPr>
            <w:tcW w:w="0" w:type="auto"/>
            <w:vMerge/>
            <w:tcBorders>
              <w:top w:val="nil"/>
              <w:left w:val="nil"/>
              <w:bottom w:val="single" w:sz="8" w:space="0" w:color="000000"/>
              <w:right w:val="single" w:sz="8" w:space="0" w:color="auto"/>
            </w:tcBorders>
            <w:shd w:val="clear" w:color="auto" w:fill="FFFFFF"/>
            <w:vAlign w:val="center"/>
            <w:hideMark/>
          </w:tcPr>
          <w:p w14:paraId="31C9DD36"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28381FDC"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2AFA17"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C8FC8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3E0C870D"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D67339"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13:00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0F378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19,500100</w:t>
            </w:r>
          </w:p>
        </w:tc>
        <w:tc>
          <w:tcPr>
            <w:tcW w:w="0" w:type="auto"/>
            <w:vMerge/>
            <w:tcBorders>
              <w:top w:val="nil"/>
              <w:left w:val="nil"/>
              <w:bottom w:val="single" w:sz="8" w:space="0" w:color="000000"/>
              <w:right w:val="single" w:sz="8" w:space="0" w:color="auto"/>
            </w:tcBorders>
            <w:shd w:val="clear" w:color="auto" w:fill="FFFFFF"/>
            <w:vAlign w:val="center"/>
            <w:hideMark/>
          </w:tcPr>
          <w:p w14:paraId="35D256D7"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615A4873"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F9A5584"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ECF9ED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22CDF595"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A5D05F"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14:00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378D6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20,500100</w:t>
            </w:r>
          </w:p>
        </w:tc>
        <w:tc>
          <w:tcPr>
            <w:tcW w:w="0" w:type="auto"/>
            <w:vMerge/>
            <w:tcBorders>
              <w:top w:val="nil"/>
              <w:left w:val="nil"/>
              <w:bottom w:val="single" w:sz="8" w:space="0" w:color="000000"/>
              <w:right w:val="single" w:sz="8" w:space="0" w:color="auto"/>
            </w:tcBorders>
            <w:shd w:val="clear" w:color="auto" w:fill="FFFFFF"/>
            <w:vAlign w:val="center"/>
            <w:hideMark/>
          </w:tcPr>
          <w:p w14:paraId="5B38676F"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1DE4E96A"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DB440C"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21</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CE7793"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10F71440"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2530AED"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15:00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D70FF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21,500100</w:t>
            </w:r>
          </w:p>
        </w:tc>
        <w:tc>
          <w:tcPr>
            <w:tcW w:w="0" w:type="auto"/>
            <w:vMerge/>
            <w:tcBorders>
              <w:top w:val="nil"/>
              <w:left w:val="nil"/>
              <w:bottom w:val="single" w:sz="8" w:space="0" w:color="000000"/>
              <w:right w:val="single" w:sz="8" w:space="0" w:color="auto"/>
            </w:tcBorders>
            <w:shd w:val="clear" w:color="auto" w:fill="FFFFFF"/>
            <w:vAlign w:val="center"/>
            <w:hideMark/>
          </w:tcPr>
          <w:p w14:paraId="138C9030"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128434EB"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EEC6A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22</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748DA9B"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5B7A11A"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D0879B"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16:00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EF3387"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22,500100</w:t>
            </w:r>
          </w:p>
        </w:tc>
        <w:tc>
          <w:tcPr>
            <w:tcW w:w="0" w:type="auto"/>
            <w:vMerge/>
            <w:tcBorders>
              <w:top w:val="nil"/>
              <w:left w:val="nil"/>
              <w:bottom w:val="single" w:sz="8" w:space="0" w:color="000000"/>
              <w:right w:val="single" w:sz="8" w:space="0" w:color="auto"/>
            </w:tcBorders>
            <w:shd w:val="clear" w:color="auto" w:fill="FFFFFF"/>
            <w:vAlign w:val="center"/>
            <w:hideMark/>
          </w:tcPr>
          <w:p w14:paraId="5E98A360"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20C071D8"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1DC2863"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062B4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3BDA4AA1"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AC5FE1"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lastRenderedPageBreak/>
              <w:t>17:00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E6F0E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23,500100</w:t>
            </w:r>
          </w:p>
        </w:tc>
        <w:tc>
          <w:tcPr>
            <w:tcW w:w="0" w:type="auto"/>
            <w:vMerge/>
            <w:tcBorders>
              <w:top w:val="nil"/>
              <w:left w:val="nil"/>
              <w:bottom w:val="single" w:sz="8" w:space="0" w:color="000000"/>
              <w:right w:val="single" w:sz="8" w:space="0" w:color="auto"/>
            </w:tcBorders>
            <w:shd w:val="clear" w:color="auto" w:fill="FFFFFF"/>
            <w:vAlign w:val="center"/>
            <w:hideMark/>
          </w:tcPr>
          <w:p w14:paraId="29B50100"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1FF41520"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DB21F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EB333E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6665D655"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06DE11F"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lastRenderedPageBreak/>
              <w:t>18:00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2624BE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24,500100</w:t>
            </w:r>
          </w:p>
        </w:tc>
        <w:tc>
          <w:tcPr>
            <w:tcW w:w="0" w:type="auto"/>
            <w:vMerge/>
            <w:tcBorders>
              <w:top w:val="nil"/>
              <w:left w:val="nil"/>
              <w:bottom w:val="single" w:sz="8" w:space="0" w:color="000000"/>
              <w:right w:val="single" w:sz="8" w:space="0" w:color="auto"/>
            </w:tcBorders>
            <w:shd w:val="clear" w:color="auto" w:fill="FFFFFF"/>
            <w:vAlign w:val="center"/>
            <w:hideMark/>
          </w:tcPr>
          <w:p w14:paraId="200707D5"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48C43638"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60D2E5"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F8758C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02A9D552"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DC675F"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19:00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76A85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25,500100</w:t>
            </w:r>
          </w:p>
        </w:tc>
        <w:tc>
          <w:tcPr>
            <w:tcW w:w="0" w:type="auto"/>
            <w:vMerge/>
            <w:tcBorders>
              <w:top w:val="nil"/>
              <w:left w:val="nil"/>
              <w:bottom w:val="single" w:sz="8" w:space="0" w:color="000000"/>
              <w:right w:val="single" w:sz="8" w:space="0" w:color="auto"/>
            </w:tcBorders>
            <w:shd w:val="clear" w:color="auto" w:fill="FFFFFF"/>
            <w:vAlign w:val="center"/>
            <w:hideMark/>
          </w:tcPr>
          <w:p w14:paraId="4023E831"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3C8F858E"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903712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18B37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13769E2D"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694C48"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20:00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AA0476B"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26,500100</w:t>
            </w:r>
          </w:p>
        </w:tc>
        <w:tc>
          <w:tcPr>
            <w:tcW w:w="0" w:type="auto"/>
            <w:vMerge/>
            <w:tcBorders>
              <w:top w:val="nil"/>
              <w:left w:val="nil"/>
              <w:bottom w:val="single" w:sz="8" w:space="0" w:color="000000"/>
              <w:right w:val="single" w:sz="8" w:space="0" w:color="auto"/>
            </w:tcBorders>
            <w:shd w:val="clear" w:color="auto" w:fill="FFFFFF"/>
            <w:vAlign w:val="center"/>
            <w:hideMark/>
          </w:tcPr>
          <w:p w14:paraId="41E09582"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5FD47A8F"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6EB41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27</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2FF9EA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130A641B"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9EE396"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21:00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28DD70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27,500100</w:t>
            </w:r>
          </w:p>
        </w:tc>
        <w:tc>
          <w:tcPr>
            <w:tcW w:w="0" w:type="auto"/>
            <w:vMerge/>
            <w:tcBorders>
              <w:top w:val="nil"/>
              <w:left w:val="nil"/>
              <w:bottom w:val="single" w:sz="8" w:space="0" w:color="000000"/>
              <w:right w:val="single" w:sz="8" w:space="0" w:color="auto"/>
            </w:tcBorders>
            <w:shd w:val="clear" w:color="auto" w:fill="FFFFFF"/>
            <w:vAlign w:val="center"/>
            <w:hideMark/>
          </w:tcPr>
          <w:p w14:paraId="667EB960"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269A7A8F"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5C7BE5"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09BFA7"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33428A91"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0AF0BA5"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22:00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65E7662"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28,500100</w:t>
            </w:r>
          </w:p>
        </w:tc>
        <w:tc>
          <w:tcPr>
            <w:tcW w:w="0" w:type="auto"/>
            <w:vMerge/>
            <w:tcBorders>
              <w:top w:val="nil"/>
              <w:left w:val="nil"/>
              <w:bottom w:val="single" w:sz="8" w:space="0" w:color="000000"/>
              <w:right w:val="single" w:sz="8" w:space="0" w:color="auto"/>
            </w:tcBorders>
            <w:shd w:val="clear" w:color="auto" w:fill="FFFFFF"/>
            <w:vAlign w:val="center"/>
            <w:hideMark/>
          </w:tcPr>
          <w:p w14:paraId="10F06559"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716CAF57"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8F9CA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D79C335"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7CB67EC"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CAAD00"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23:00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5BA80C"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29,500100</w:t>
            </w:r>
          </w:p>
        </w:tc>
        <w:tc>
          <w:tcPr>
            <w:tcW w:w="0" w:type="auto"/>
            <w:vMerge/>
            <w:tcBorders>
              <w:top w:val="nil"/>
              <w:left w:val="nil"/>
              <w:bottom w:val="single" w:sz="8" w:space="0" w:color="000000"/>
              <w:right w:val="single" w:sz="8" w:space="0" w:color="auto"/>
            </w:tcBorders>
            <w:shd w:val="clear" w:color="auto" w:fill="FFFFFF"/>
            <w:vAlign w:val="center"/>
            <w:hideMark/>
          </w:tcPr>
          <w:p w14:paraId="134AC667"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36AA2294"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FD545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997FE0"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5D21E81E"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5EC7BD"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00:00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21730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30,500100</w:t>
            </w:r>
          </w:p>
        </w:tc>
        <w:tc>
          <w:tcPr>
            <w:tcW w:w="0" w:type="auto"/>
            <w:vMerge/>
            <w:tcBorders>
              <w:top w:val="nil"/>
              <w:left w:val="nil"/>
              <w:bottom w:val="single" w:sz="8" w:space="0" w:color="000000"/>
              <w:right w:val="single" w:sz="8" w:space="0" w:color="auto"/>
            </w:tcBorders>
            <w:shd w:val="clear" w:color="auto" w:fill="FFFFFF"/>
            <w:vAlign w:val="center"/>
            <w:hideMark/>
          </w:tcPr>
          <w:p w14:paraId="6A45C2EE"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11540EF0"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0CDC4E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31</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08E40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39B8DEC8"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8D2AA7A"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01:00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E2F385"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31,500100</w:t>
            </w:r>
          </w:p>
        </w:tc>
        <w:tc>
          <w:tcPr>
            <w:tcW w:w="0" w:type="auto"/>
            <w:vMerge/>
            <w:tcBorders>
              <w:top w:val="nil"/>
              <w:left w:val="nil"/>
              <w:bottom w:val="single" w:sz="8" w:space="0" w:color="000000"/>
              <w:right w:val="single" w:sz="8" w:space="0" w:color="auto"/>
            </w:tcBorders>
            <w:shd w:val="clear" w:color="auto" w:fill="FFFFFF"/>
            <w:vAlign w:val="center"/>
            <w:hideMark/>
          </w:tcPr>
          <w:p w14:paraId="51A5100E"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4465C1A7"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C2F1F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32</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C989D0"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DFCB5D4"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477FEB"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02:00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030501"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32,500100</w:t>
            </w:r>
          </w:p>
        </w:tc>
        <w:tc>
          <w:tcPr>
            <w:tcW w:w="0" w:type="auto"/>
            <w:vMerge/>
            <w:tcBorders>
              <w:top w:val="nil"/>
              <w:left w:val="nil"/>
              <w:bottom w:val="single" w:sz="8" w:space="0" w:color="000000"/>
              <w:right w:val="single" w:sz="8" w:space="0" w:color="auto"/>
            </w:tcBorders>
            <w:shd w:val="clear" w:color="auto" w:fill="FFFFFF"/>
            <w:vAlign w:val="center"/>
            <w:hideMark/>
          </w:tcPr>
          <w:p w14:paraId="7CE3DEC3"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4CE5D227"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7BC10F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E4862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60239D3"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2D8707D"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03:00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460499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33,500100</w:t>
            </w:r>
          </w:p>
        </w:tc>
        <w:tc>
          <w:tcPr>
            <w:tcW w:w="0" w:type="auto"/>
            <w:vMerge/>
            <w:tcBorders>
              <w:top w:val="nil"/>
              <w:left w:val="nil"/>
              <w:bottom w:val="single" w:sz="8" w:space="0" w:color="000000"/>
              <w:right w:val="single" w:sz="8" w:space="0" w:color="auto"/>
            </w:tcBorders>
            <w:shd w:val="clear" w:color="auto" w:fill="FFFFFF"/>
            <w:vAlign w:val="center"/>
            <w:hideMark/>
          </w:tcPr>
          <w:p w14:paraId="1CF4326C"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5F3F29C8"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32C19D"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73A6359"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25720D42"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715474"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04:00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C1C945"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34,500100</w:t>
            </w:r>
          </w:p>
        </w:tc>
        <w:tc>
          <w:tcPr>
            <w:tcW w:w="0" w:type="auto"/>
            <w:vMerge/>
            <w:tcBorders>
              <w:top w:val="nil"/>
              <w:left w:val="nil"/>
              <w:bottom w:val="single" w:sz="8" w:space="0" w:color="000000"/>
              <w:right w:val="single" w:sz="8" w:space="0" w:color="auto"/>
            </w:tcBorders>
            <w:shd w:val="clear" w:color="auto" w:fill="FFFFFF"/>
            <w:vAlign w:val="center"/>
            <w:hideMark/>
          </w:tcPr>
          <w:p w14:paraId="615341D1"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5210E28A"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CFAC62"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6152D26"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379E964A"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735998"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05:00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B40F40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35,500100</w:t>
            </w:r>
          </w:p>
        </w:tc>
        <w:tc>
          <w:tcPr>
            <w:tcW w:w="0" w:type="auto"/>
            <w:vMerge/>
            <w:tcBorders>
              <w:top w:val="nil"/>
              <w:left w:val="nil"/>
              <w:bottom w:val="single" w:sz="8" w:space="0" w:color="000000"/>
              <w:right w:val="single" w:sz="8" w:space="0" w:color="auto"/>
            </w:tcBorders>
            <w:shd w:val="clear" w:color="auto" w:fill="FFFFFF"/>
            <w:vAlign w:val="center"/>
            <w:hideMark/>
          </w:tcPr>
          <w:p w14:paraId="25DED29D"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7042A69A"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7FE4C6B"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36</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C6830F"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75BE516F" w14:textId="77777777" w:rsidTr="00937930">
        <w:trPr>
          <w:trHeight w:val="300"/>
        </w:trPr>
        <w:tc>
          <w:tcPr>
            <w:tcW w:w="74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9F8656F"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06:00</w:t>
            </w:r>
          </w:p>
        </w:tc>
        <w:tc>
          <w:tcPr>
            <w:tcW w:w="110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5827EC"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36,500100</w:t>
            </w:r>
          </w:p>
        </w:tc>
        <w:tc>
          <w:tcPr>
            <w:tcW w:w="0" w:type="auto"/>
            <w:vMerge/>
            <w:tcBorders>
              <w:top w:val="nil"/>
              <w:left w:val="nil"/>
              <w:bottom w:val="single" w:sz="8" w:space="0" w:color="000000"/>
              <w:right w:val="single" w:sz="8" w:space="0" w:color="auto"/>
            </w:tcBorders>
            <w:shd w:val="clear" w:color="auto" w:fill="FFFFFF"/>
            <w:vAlign w:val="center"/>
            <w:hideMark/>
          </w:tcPr>
          <w:p w14:paraId="36003EFC" w14:textId="77777777" w:rsidR="00166735" w:rsidRPr="00807B2C" w:rsidRDefault="00166735" w:rsidP="003C2438">
            <w:pPr>
              <w:spacing w:after="0"/>
              <w:rPr>
                <w:rFonts w:ascii="Times New Roman" w:hAnsi="Times New Roman"/>
                <w:sz w:val="24"/>
                <w:szCs w:val="24"/>
              </w:rPr>
            </w:pPr>
          </w:p>
        </w:tc>
        <w:tc>
          <w:tcPr>
            <w:tcW w:w="42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27D1081" w14:textId="77777777" w:rsidR="00166735" w:rsidRPr="00807B2C" w:rsidRDefault="00166735" w:rsidP="003C2438">
            <w:pPr>
              <w:spacing w:after="0"/>
              <w:jc w:val="center"/>
              <w:rPr>
                <w:rFonts w:ascii="Times New Roman" w:hAnsi="Times New Roman"/>
                <w:sz w:val="24"/>
                <w:szCs w:val="24"/>
              </w:rPr>
            </w:pPr>
            <w:r w:rsidRPr="00807B2C">
              <w:rPr>
                <w:rFonts w:cs="Arial"/>
                <w:color w:val="000000"/>
                <w:sz w:val="18"/>
                <w:szCs w:val="18"/>
              </w:rPr>
              <w:t>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2EEFF3A"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37</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C23028" w14:textId="77777777" w:rsidR="00166735" w:rsidRPr="00807B2C" w:rsidRDefault="00166735" w:rsidP="003C2438">
            <w:pPr>
              <w:spacing w:after="0"/>
              <w:jc w:val="right"/>
              <w:rPr>
                <w:rFonts w:ascii="Times New Roman" w:hAnsi="Times New Roman"/>
                <w:sz w:val="24"/>
                <w:szCs w:val="24"/>
              </w:rPr>
            </w:pPr>
            <w:r w:rsidRPr="00807B2C">
              <w:rPr>
                <w:rFonts w:cs="Arial"/>
                <w:color w:val="000000"/>
                <w:sz w:val="18"/>
                <w:szCs w:val="18"/>
              </w:rPr>
              <w:t>26</w:t>
            </w:r>
          </w:p>
        </w:tc>
      </w:tr>
      <w:tr w:rsidR="00166735" w:rsidRPr="00807B2C" w14:paraId="5276D6B1" w14:textId="77777777" w:rsidTr="00937930">
        <w:trPr>
          <w:trHeight w:val="300"/>
        </w:trPr>
        <w:tc>
          <w:tcPr>
            <w:tcW w:w="742" w:type="dxa"/>
            <w:shd w:val="clear" w:color="auto" w:fill="FFFFFF"/>
            <w:noWrap/>
            <w:tcMar>
              <w:top w:w="0" w:type="dxa"/>
              <w:left w:w="70" w:type="dxa"/>
              <w:bottom w:w="0" w:type="dxa"/>
              <w:right w:w="70" w:type="dxa"/>
            </w:tcMar>
            <w:vAlign w:val="bottom"/>
            <w:hideMark/>
          </w:tcPr>
          <w:p w14:paraId="2147068A" w14:textId="77777777" w:rsidR="00166735" w:rsidRPr="00807B2C" w:rsidRDefault="00166735" w:rsidP="003C2438">
            <w:pPr>
              <w:spacing w:after="0"/>
              <w:rPr>
                <w:rFonts w:ascii="Times New Roman" w:hAnsi="Times New Roman"/>
                <w:sz w:val="24"/>
                <w:szCs w:val="24"/>
              </w:rPr>
            </w:pPr>
            <w:r w:rsidRPr="00807B2C">
              <w:rPr>
                <w:rFonts w:cs="Arial"/>
                <w:color w:val="000000"/>
                <w:sz w:val="18"/>
                <w:szCs w:val="18"/>
              </w:rPr>
              <w:t>Summe</w:t>
            </w:r>
          </w:p>
        </w:tc>
        <w:tc>
          <w:tcPr>
            <w:tcW w:w="1106" w:type="dxa"/>
            <w:shd w:val="clear" w:color="auto" w:fill="FFFFFF"/>
            <w:noWrap/>
            <w:tcMar>
              <w:top w:w="0" w:type="dxa"/>
              <w:left w:w="70" w:type="dxa"/>
              <w:bottom w:w="0" w:type="dxa"/>
              <w:right w:w="70" w:type="dxa"/>
            </w:tcMar>
            <w:vAlign w:val="bottom"/>
            <w:hideMark/>
          </w:tcPr>
          <w:p w14:paraId="3CD28F4F"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600,002400</w:t>
            </w:r>
          </w:p>
        </w:tc>
        <w:tc>
          <w:tcPr>
            <w:tcW w:w="1276" w:type="dxa"/>
            <w:shd w:val="clear" w:color="auto" w:fill="F79646"/>
            <w:noWrap/>
            <w:tcMar>
              <w:top w:w="0" w:type="dxa"/>
              <w:left w:w="70" w:type="dxa"/>
              <w:bottom w:w="0" w:type="dxa"/>
              <w:right w:w="70" w:type="dxa"/>
            </w:tcMar>
            <w:vAlign w:val="bottom"/>
            <w:hideMark/>
          </w:tcPr>
          <w:p w14:paraId="74D0A5DC"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600,002</w:t>
            </w:r>
          </w:p>
        </w:tc>
        <w:tc>
          <w:tcPr>
            <w:tcW w:w="425" w:type="dxa"/>
            <w:shd w:val="clear" w:color="auto" w:fill="FFFFFF"/>
            <w:noWrap/>
            <w:tcMar>
              <w:top w:w="0" w:type="dxa"/>
              <w:left w:w="70" w:type="dxa"/>
              <w:bottom w:w="0" w:type="dxa"/>
              <w:right w:w="70" w:type="dxa"/>
            </w:tcMar>
            <w:vAlign w:val="bottom"/>
            <w:hideMark/>
          </w:tcPr>
          <w:p w14:paraId="0377D2CD" w14:textId="77777777" w:rsidR="00166735" w:rsidRPr="00807B2C" w:rsidRDefault="00166735" w:rsidP="003C2438">
            <w:pPr>
              <w:spacing w:after="0"/>
              <w:rPr>
                <w:rFonts w:ascii="Times New Roman" w:hAnsi="Times New Roman"/>
                <w:sz w:val="24"/>
                <w:szCs w:val="24"/>
              </w:rPr>
            </w:pPr>
          </w:p>
        </w:tc>
        <w:tc>
          <w:tcPr>
            <w:tcW w:w="992" w:type="dxa"/>
            <w:shd w:val="clear" w:color="auto" w:fill="FFFF00"/>
            <w:noWrap/>
            <w:tcMar>
              <w:top w:w="0" w:type="dxa"/>
              <w:left w:w="70" w:type="dxa"/>
              <w:bottom w:w="0" w:type="dxa"/>
              <w:right w:w="70" w:type="dxa"/>
            </w:tcMar>
            <w:vAlign w:val="bottom"/>
            <w:hideMark/>
          </w:tcPr>
          <w:p w14:paraId="26DEA8EA"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612</w:t>
            </w:r>
          </w:p>
        </w:tc>
        <w:tc>
          <w:tcPr>
            <w:tcW w:w="1134" w:type="dxa"/>
            <w:shd w:val="clear" w:color="auto" w:fill="FFFF00"/>
            <w:noWrap/>
            <w:tcMar>
              <w:top w:w="0" w:type="dxa"/>
              <w:left w:w="70" w:type="dxa"/>
              <w:bottom w:w="0" w:type="dxa"/>
              <w:right w:w="70" w:type="dxa"/>
            </w:tcMar>
            <w:vAlign w:val="bottom"/>
            <w:hideMark/>
          </w:tcPr>
          <w:p w14:paraId="4702D374"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624</w:t>
            </w:r>
          </w:p>
        </w:tc>
      </w:tr>
      <w:tr w:rsidR="00166735" w:rsidRPr="00807B2C" w14:paraId="24338EB9" w14:textId="77777777" w:rsidTr="00937930">
        <w:trPr>
          <w:trHeight w:val="300"/>
        </w:trPr>
        <w:tc>
          <w:tcPr>
            <w:tcW w:w="3124" w:type="dxa"/>
            <w:gridSpan w:val="3"/>
            <w:shd w:val="clear" w:color="auto" w:fill="FFFFFF"/>
            <w:noWrap/>
            <w:tcMar>
              <w:top w:w="0" w:type="dxa"/>
              <w:left w:w="70" w:type="dxa"/>
              <w:bottom w:w="0" w:type="dxa"/>
              <w:right w:w="70" w:type="dxa"/>
            </w:tcMar>
            <w:vAlign w:val="bottom"/>
            <w:hideMark/>
          </w:tcPr>
          <w:p w14:paraId="34171E11" w14:textId="77777777" w:rsidR="00166735" w:rsidRPr="00807B2C" w:rsidRDefault="00166735" w:rsidP="003C2438">
            <w:pPr>
              <w:spacing w:after="0"/>
              <w:rPr>
                <w:rFonts w:ascii="Times New Roman" w:hAnsi="Times New Roman"/>
                <w:sz w:val="24"/>
                <w:szCs w:val="24"/>
              </w:rPr>
            </w:pPr>
          </w:p>
        </w:tc>
        <w:tc>
          <w:tcPr>
            <w:tcW w:w="425" w:type="dxa"/>
            <w:shd w:val="clear" w:color="auto" w:fill="FFFFFF"/>
            <w:noWrap/>
            <w:tcMar>
              <w:top w:w="0" w:type="dxa"/>
              <w:left w:w="70" w:type="dxa"/>
              <w:bottom w:w="0" w:type="dxa"/>
              <w:right w:w="70" w:type="dxa"/>
            </w:tcMar>
            <w:vAlign w:val="bottom"/>
            <w:hideMark/>
          </w:tcPr>
          <w:p w14:paraId="75E93CE0" w14:textId="77777777" w:rsidR="00166735" w:rsidRPr="00807B2C" w:rsidRDefault="00166735" w:rsidP="003C2438">
            <w:pPr>
              <w:spacing w:after="0"/>
              <w:rPr>
                <w:rFonts w:ascii="Times New Roman" w:hAnsi="Times New Roman"/>
                <w:sz w:val="20"/>
                <w:szCs w:val="20"/>
              </w:rPr>
            </w:pPr>
          </w:p>
        </w:tc>
        <w:tc>
          <w:tcPr>
            <w:tcW w:w="992" w:type="dxa"/>
            <w:shd w:val="clear" w:color="auto" w:fill="FFFF00"/>
            <w:noWrap/>
            <w:tcMar>
              <w:top w:w="0" w:type="dxa"/>
              <w:left w:w="70" w:type="dxa"/>
              <w:bottom w:w="0" w:type="dxa"/>
              <w:right w:w="70" w:type="dxa"/>
            </w:tcMar>
            <w:vAlign w:val="bottom"/>
            <w:hideMark/>
          </w:tcPr>
          <w:p w14:paraId="0FD16141"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-12</w:t>
            </w:r>
          </w:p>
        </w:tc>
        <w:tc>
          <w:tcPr>
            <w:tcW w:w="1134" w:type="dxa"/>
            <w:shd w:val="clear" w:color="auto" w:fill="FFFF00"/>
            <w:noWrap/>
            <w:tcMar>
              <w:top w:w="0" w:type="dxa"/>
              <w:left w:w="70" w:type="dxa"/>
              <w:bottom w:w="0" w:type="dxa"/>
              <w:right w:w="70" w:type="dxa"/>
            </w:tcMar>
            <w:vAlign w:val="bottom"/>
            <w:hideMark/>
          </w:tcPr>
          <w:p w14:paraId="6E8CA219" w14:textId="77777777" w:rsidR="00166735" w:rsidRPr="00807B2C" w:rsidRDefault="00166735" w:rsidP="003C2438">
            <w:pPr>
              <w:spacing w:after="0"/>
              <w:jc w:val="right"/>
              <w:rPr>
                <w:rFonts w:ascii="Times New Roman" w:hAnsi="Times New Roman"/>
                <w:sz w:val="24"/>
                <w:szCs w:val="24"/>
              </w:rPr>
            </w:pPr>
            <w:r w:rsidRPr="00807B2C">
              <w:rPr>
                <w:rFonts w:cs="Arial"/>
                <w:b/>
                <w:bCs/>
                <w:color w:val="000000"/>
                <w:sz w:val="18"/>
                <w:szCs w:val="18"/>
              </w:rPr>
              <w:t>-24</w:t>
            </w:r>
          </w:p>
        </w:tc>
      </w:tr>
    </w:tbl>
    <w:p w14:paraId="68F70993" w14:textId="77777777" w:rsidR="00166735" w:rsidRPr="00807B2C" w:rsidRDefault="00166735" w:rsidP="003C2438">
      <w:pPr>
        <w:shd w:val="clear" w:color="auto" w:fill="FFFFFF"/>
        <w:spacing w:after="0"/>
        <w:rPr>
          <w:rFonts w:ascii="Times New Roman" w:hAnsi="Times New Roman"/>
          <w:color w:val="000000"/>
          <w:sz w:val="24"/>
          <w:szCs w:val="24"/>
        </w:rPr>
      </w:pPr>
      <w:r w:rsidRPr="00807B2C">
        <w:rPr>
          <w:rFonts w:cs="Arial"/>
          <w:color w:val="000000"/>
          <w:sz w:val="20"/>
          <w:szCs w:val="20"/>
        </w:rPr>
        <w:t> </w:t>
      </w:r>
    </w:p>
    <w:p w14:paraId="68373959" w14:textId="77777777" w:rsidR="00166735" w:rsidRPr="00807B2C" w:rsidRDefault="00166735" w:rsidP="003C2438">
      <w:pPr>
        <w:shd w:val="clear" w:color="auto" w:fill="FFFFFF"/>
        <w:spacing w:after="0"/>
      </w:pPr>
      <w:r>
        <w:t xml:space="preserve">Die Rundungsdifferenzen von 744 kWh können auftreten, wenn ein </w:t>
      </w:r>
      <w:r w:rsidRPr="00807B2C">
        <w:t xml:space="preserve">NB </w:t>
      </w:r>
      <w:r>
        <w:t xml:space="preserve">beim Versand einer </w:t>
      </w:r>
      <w:r w:rsidRPr="00807B2C">
        <w:t>ALOCAT mit Stundenwerten</w:t>
      </w:r>
      <w:r>
        <w:t xml:space="preserve"> </w:t>
      </w:r>
      <w:r w:rsidRPr="00807B2C">
        <w:t xml:space="preserve">zuerst jede Stunde </w:t>
      </w:r>
      <w:r>
        <w:t>rundet</w:t>
      </w:r>
      <w:r w:rsidRPr="00807B2C">
        <w:t xml:space="preserve">, um tagesscharfe ganzzahlige Werte für die Allokation zu erhalten und dann im </w:t>
      </w:r>
      <w:r>
        <w:t>Rahmen der Bandbildung beim MGV ein zweites Mal gerundet wird.</w:t>
      </w:r>
    </w:p>
    <w:p w14:paraId="299FE938" w14:textId="77777777" w:rsidR="00166735" w:rsidRPr="00807B2C" w:rsidRDefault="00166735" w:rsidP="003C2438">
      <w:pPr>
        <w:shd w:val="clear" w:color="auto" w:fill="FFFFFF"/>
        <w:spacing w:after="0"/>
      </w:pPr>
      <w:r w:rsidRPr="00807B2C">
        <w:t>Je Rundungsvorgang können 12 kWh Rundungsdifferenz entstehen. In Summe ist die Rundungsdifferenz pro Tag also max. 24 kWh und im Monat somit 744 kWh.</w:t>
      </w:r>
    </w:p>
    <w:p w14:paraId="76C2D3AB" w14:textId="77777777" w:rsidR="00166735" w:rsidRDefault="00166735" w:rsidP="00372A70">
      <w:pPr>
        <w:pStyle w:val="berschrift3"/>
        <w:tabs>
          <w:tab w:val="num" w:pos="1134"/>
        </w:tabs>
        <w:spacing w:before="480"/>
        <w:ind w:left="1146" w:hanging="1106"/>
      </w:pPr>
      <w:bookmarkStart w:id="2139" w:name="_Toc405803688"/>
      <w:bookmarkStart w:id="2140" w:name="_Toc410395196"/>
      <w:bookmarkStart w:id="2141" w:name="_Toc411597980"/>
      <w:bookmarkStart w:id="2142" w:name="_Toc412661432"/>
      <w:bookmarkStart w:id="2143" w:name="_Toc111118559"/>
      <w:r>
        <w:t>Abrechnung der Mehr-/Mindermengen</w:t>
      </w:r>
      <w:bookmarkEnd w:id="2139"/>
      <w:bookmarkEnd w:id="2140"/>
      <w:bookmarkEnd w:id="2141"/>
      <w:bookmarkEnd w:id="2142"/>
      <w:bookmarkEnd w:id="2143"/>
    </w:p>
    <w:p w14:paraId="2B3F4E85" w14:textId="675AB676" w:rsidR="00166735" w:rsidRDefault="00166735" w:rsidP="003C2438">
      <w:r>
        <w:t>Die Rechnungsstellung des NB an den LF erfolgt im dritten Monat nach Ende des Monats in dem der Mehr-/Mindermengenzeitraum endet. Der früheste Termin für die Rechnungsstellung liegt nach Ablauf des zweiten Monats nach Ende des Monats in dem der Mehr-/Minder-mengenzeitraum endet (M+2M). Der späteste Termin liegt am Ende des dritten Monats nach Ende des Monats in dem der Mehr-/Mindermengenzeitraum endet (M+3M).</w:t>
      </w:r>
    </w:p>
    <w:p w14:paraId="36B4007C" w14:textId="77777777" w:rsidR="00166735" w:rsidRDefault="00166735" w:rsidP="003C2438">
      <w:pPr>
        <w:rPr>
          <w:szCs w:val="24"/>
        </w:rPr>
      </w:pPr>
      <w:r>
        <w:rPr>
          <w:szCs w:val="24"/>
        </w:rPr>
        <w:t>Beispiel:</w:t>
      </w:r>
    </w:p>
    <w:tbl>
      <w:tblPr>
        <w:tblW w:w="0" w:type="auto"/>
        <w:tblCellMar>
          <w:left w:w="0" w:type="dxa"/>
          <w:right w:w="0" w:type="dxa"/>
        </w:tblCellMar>
        <w:tblLook w:val="04A0" w:firstRow="1" w:lastRow="0" w:firstColumn="1" w:lastColumn="0" w:noHBand="0" w:noVBand="1"/>
      </w:tblPr>
      <w:tblGrid>
        <w:gridCol w:w="4520"/>
        <w:gridCol w:w="4530"/>
      </w:tblGrid>
      <w:tr w:rsidR="00166735" w:rsidRPr="00ED6D4C" w14:paraId="402D0216" w14:textId="77777777" w:rsidTr="00937930">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83696B" w14:textId="77777777" w:rsidR="00166735" w:rsidRPr="00ED6D4C" w:rsidRDefault="00166735" w:rsidP="003C2438">
            <w:pPr>
              <w:rPr>
                <w:szCs w:val="24"/>
              </w:rPr>
            </w:pPr>
            <w:r w:rsidRPr="00ED6D4C">
              <w:rPr>
                <w:szCs w:val="24"/>
              </w:rPr>
              <w:t>Ende des Mehr-/Mindermengenzeitraums</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6FF593" w14:textId="25D5CCC4" w:rsidR="00166735" w:rsidRPr="00ED6D4C" w:rsidRDefault="00166735" w:rsidP="003C2438">
            <w:pPr>
              <w:rPr>
                <w:szCs w:val="24"/>
              </w:rPr>
            </w:pPr>
            <w:r w:rsidRPr="00ED6D4C">
              <w:rPr>
                <w:szCs w:val="24"/>
              </w:rPr>
              <w:t>April 20</w:t>
            </w:r>
            <w:r w:rsidR="00055400">
              <w:rPr>
                <w:szCs w:val="24"/>
              </w:rPr>
              <w:t xml:space="preserve">22 </w:t>
            </w:r>
          </w:p>
        </w:tc>
      </w:tr>
      <w:tr w:rsidR="00166735" w:rsidRPr="00ED6D4C" w14:paraId="02993CFE" w14:textId="77777777" w:rsidTr="009379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5DF3C" w14:textId="77777777" w:rsidR="00166735" w:rsidRPr="00ED6D4C" w:rsidRDefault="00166735" w:rsidP="003C2438">
            <w:pPr>
              <w:rPr>
                <w:szCs w:val="24"/>
              </w:rPr>
            </w:pPr>
            <w:r w:rsidRPr="00ED6D4C">
              <w:rPr>
                <w:szCs w:val="24"/>
              </w:rPr>
              <w:t>Rechnungsstellung für Mehr-/Mindermengen (frühester Termin)</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7141C115" w14:textId="161D47C8" w:rsidR="00166735" w:rsidRDefault="00166735" w:rsidP="003C2438">
            <w:pPr>
              <w:rPr>
                <w:szCs w:val="24"/>
              </w:rPr>
            </w:pPr>
            <w:r w:rsidRPr="00ED6D4C">
              <w:rPr>
                <w:szCs w:val="24"/>
              </w:rPr>
              <w:t>01.07.20</w:t>
            </w:r>
            <w:r w:rsidR="00055400">
              <w:rPr>
                <w:szCs w:val="24"/>
              </w:rPr>
              <w:t xml:space="preserve">22 </w:t>
            </w:r>
          </w:p>
        </w:tc>
      </w:tr>
      <w:tr w:rsidR="00166735" w:rsidRPr="00ED6D4C" w14:paraId="1DF702D7" w14:textId="77777777" w:rsidTr="009379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58136" w14:textId="77777777" w:rsidR="00166735" w:rsidRPr="00ED6D4C" w:rsidRDefault="00166735" w:rsidP="003C2438">
            <w:pPr>
              <w:rPr>
                <w:szCs w:val="24"/>
              </w:rPr>
            </w:pPr>
            <w:r w:rsidRPr="00ED6D4C">
              <w:rPr>
                <w:szCs w:val="24"/>
              </w:rPr>
              <w:t>Rechnungsstellung für Mehr-/Mindermengen (spätester Termin)</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72FAE383" w14:textId="7C578F8E" w:rsidR="00166735" w:rsidRPr="00ED6D4C" w:rsidRDefault="00166735" w:rsidP="003C2438">
            <w:pPr>
              <w:rPr>
                <w:szCs w:val="24"/>
              </w:rPr>
            </w:pPr>
            <w:r w:rsidRPr="00ED6D4C">
              <w:rPr>
                <w:szCs w:val="24"/>
              </w:rPr>
              <w:t>31.07.20</w:t>
            </w:r>
            <w:r w:rsidR="00055400">
              <w:rPr>
                <w:szCs w:val="24"/>
              </w:rPr>
              <w:t xml:space="preserve">22 </w:t>
            </w:r>
          </w:p>
        </w:tc>
      </w:tr>
    </w:tbl>
    <w:p w14:paraId="2834BB76" w14:textId="77777777" w:rsidR="00166735" w:rsidRDefault="00166735" w:rsidP="003C2438">
      <w:r>
        <w:lastRenderedPageBreak/>
        <w:t>Die Frist „spätester Termin“ muss nicht abgewartet werden. Der Rechnungsversand erfolgt unverzüglich nach dem „frühesten Termin“ und dem Vorliegen valider Daten.</w:t>
      </w:r>
    </w:p>
    <w:p w14:paraId="0A08710B" w14:textId="67AC7738" w:rsidR="00166735" w:rsidRDefault="00166735" w:rsidP="003C2438">
      <w:r>
        <w:t>Vor der Rechnungsstellung übermittelt der NB die bilanzierte Menge in kWh mit drei Nachkommastellen an den LF</w:t>
      </w:r>
      <w:r w:rsidR="00703F12">
        <w:t>,</w:t>
      </w:r>
      <w:r>
        <w:t xml:space="preserve"> falls eine Bilanzierung stattgefunden hat. Der NB erstellt fristgerecht die </w:t>
      </w:r>
      <w:r w:rsidR="00FB279D">
        <w:t>marktlokationsscharfen</w:t>
      </w:r>
      <w:r>
        <w:t xml:space="preserve"> Mehr-/Mindermengen</w:t>
      </w:r>
      <w:r w:rsidR="00DD6732">
        <w:t>ab</w:t>
      </w:r>
      <w:r>
        <w:t xml:space="preserve">rechnung auf Basis ermittelter und ausgetauschter (und ggf. zwischenzeitlich korrigierter) Werte, unter Verwendung des für den Anwendungsmonat veröffentlichten Mehr-/Mindermengenpreises. Die Übermittlung der Rechnung an den LF erfolgt unverzüglich, spätestens jedoch bis zum Ablauf des 10. Werktages nach Übermittlung der bilanzierten Menge. Rechnungen sind auch bei einer Mehr-/Mindermenge von </w:t>
      </w:r>
      <w:r w:rsidR="00DD6732">
        <w:t>„</w:t>
      </w:r>
      <w:r>
        <w:t>Null</w:t>
      </w:r>
      <w:r w:rsidR="00DD6732">
        <w:t>“</w:t>
      </w:r>
      <w:r>
        <w:t xml:space="preserve"> zu stellen.</w:t>
      </w:r>
    </w:p>
    <w:p w14:paraId="00E557F1" w14:textId="77777777" w:rsidR="00166735" w:rsidRDefault="00166735" w:rsidP="003C2438">
      <w:r>
        <w:t>Eine Mehrmenge führt zu einem Guthaben des LF beim NB.</w:t>
      </w:r>
    </w:p>
    <w:p w14:paraId="796B5AB7" w14:textId="72364F61" w:rsidR="00166735" w:rsidRDefault="00166735" w:rsidP="003C2438">
      <w:r>
        <w:t>Eine Mindermenge führt zu einer Forderung des NB gegenüber dem LF.</w:t>
      </w:r>
    </w:p>
    <w:p w14:paraId="26841818" w14:textId="77777777" w:rsidR="00166735" w:rsidRDefault="00166735" w:rsidP="003C2438">
      <w:r>
        <w:t>Abhängig von dem Prüfergebnis der Mehr-/Mindermengen</w:t>
      </w:r>
      <w:r w:rsidR="00DD6732">
        <w:t>ab</w:t>
      </w:r>
      <w:r>
        <w:t>rechnung übermittelt der LF das Zahlungs- bzw. Nichtzahlungsavis. Bei Vorliegen eines Nichtzahlungsavis, stößt der NB bei Bedarf eine bilaterale Klärung an. Insbesondere Änderungen der Entnahmemenge führen zur Stornierung und zum Neuversand der Mehr-/Mindermengen</w:t>
      </w:r>
      <w:r w:rsidR="00DD6732">
        <w:t>ab</w:t>
      </w:r>
      <w:r>
        <w:t>rechnung.</w:t>
      </w:r>
    </w:p>
    <w:p w14:paraId="349D083E" w14:textId="77777777" w:rsidR="00166735" w:rsidRDefault="00166735" w:rsidP="003C2438">
      <w:r w:rsidRPr="00303FA1">
        <w:t>Das Zahlungsziel darf 10 W</w:t>
      </w:r>
      <w:r>
        <w:t>erktage</w:t>
      </w:r>
      <w:r w:rsidRPr="00303FA1">
        <w:t xml:space="preserve"> nach Eingang der Mehr-/Mindermengen</w:t>
      </w:r>
      <w:r w:rsidR="00DD6732">
        <w:t>ab</w:t>
      </w:r>
      <w:r w:rsidRPr="00303FA1">
        <w:t>rechnung beim LF nicht unterschrei</w:t>
      </w:r>
      <w:r>
        <w:t xml:space="preserve">ten. </w:t>
      </w:r>
      <w:r w:rsidRPr="00303FA1">
        <w:t>Der LF über</w:t>
      </w:r>
      <w:r>
        <w:t>mittelt spätestens 10 Werktage nach Eingang der Mehr-/Mindermengen</w:t>
      </w:r>
      <w:r w:rsidR="00DD6732">
        <w:t>ab</w:t>
      </w:r>
      <w:r w:rsidRPr="00303FA1">
        <w:t>rechnung</w:t>
      </w:r>
      <w:r>
        <w:t xml:space="preserve"> ein Zahlungsavis an den NB. Ein Nichtzahlungsavis ist unverzüglich zu übermitteln, s</w:t>
      </w:r>
      <w:r w:rsidRPr="00303FA1">
        <w:t>pätestens</w:t>
      </w:r>
      <w:r>
        <w:t xml:space="preserve"> jedoch 10 Werktage nach Eingang der Mehr-/Mindermengen</w:t>
      </w:r>
      <w:r w:rsidR="00DD6732">
        <w:t>ab</w:t>
      </w:r>
      <w:r w:rsidRPr="00303FA1">
        <w:t>rechnung</w:t>
      </w:r>
      <w:r>
        <w:t>.</w:t>
      </w:r>
    </w:p>
    <w:p w14:paraId="0751FCDB" w14:textId="71AD16E5" w:rsidR="00166735" w:rsidRDefault="00166735" w:rsidP="003C2438">
      <w:r>
        <w:t xml:space="preserve">In dem asynchronen Fall Kap. </w:t>
      </w:r>
      <w:r w:rsidR="0011373C">
        <w:fldChar w:fldCharType="begin"/>
      </w:r>
      <w:r w:rsidR="0011373C">
        <w:instrText xml:space="preserve"> REF _Ref412102486 \r \h  \* MERGEFORMAT </w:instrText>
      </w:r>
      <w:r w:rsidR="0011373C">
        <w:fldChar w:fldCharType="separate"/>
      </w:r>
      <w:r w:rsidR="00692E23">
        <w:t>10.5.3</w:t>
      </w:r>
      <w:r w:rsidR="0011373C">
        <w:fldChar w:fldCharType="end"/>
      </w:r>
      <w:r w:rsidRPr="00B828BD">
        <w:t xml:space="preserve"> 2b) Ne</w:t>
      </w:r>
      <w:r>
        <w:t xml:space="preserve">tznutzung ohne Bilanzierung, entfällt die Referenz auf die bilanzierte Menge. Bei dem asynchronen </w:t>
      </w:r>
      <w:r w:rsidRPr="00B828BD">
        <w:t xml:space="preserve">Fall </w:t>
      </w:r>
      <w:r>
        <w:t xml:space="preserve">Kap. </w:t>
      </w:r>
      <w:r w:rsidR="0011373C">
        <w:fldChar w:fldCharType="begin"/>
      </w:r>
      <w:r w:rsidR="0011373C">
        <w:instrText xml:space="preserve"> REF _Ref412102509 \r \h  \* MERGEFORMAT </w:instrText>
      </w:r>
      <w:r w:rsidR="0011373C">
        <w:fldChar w:fldCharType="separate"/>
      </w:r>
      <w:r w:rsidR="00692E23">
        <w:t>10.5.3</w:t>
      </w:r>
      <w:r w:rsidR="0011373C">
        <w:fldChar w:fldCharType="end"/>
      </w:r>
      <w:r w:rsidRPr="00B828BD">
        <w:t xml:space="preserve"> 2c</w:t>
      </w:r>
      <w:r>
        <w:t>) Bilanzierung ohne Netznutzung, wird in der Rechnung kein Netznutzungszeitraum angegeben.</w:t>
      </w:r>
    </w:p>
    <w:p w14:paraId="07D44B88" w14:textId="77777777" w:rsidR="00166735" w:rsidRDefault="00166735" w:rsidP="00372A70">
      <w:pPr>
        <w:pStyle w:val="berschrift3"/>
        <w:tabs>
          <w:tab w:val="num" w:pos="1134"/>
        </w:tabs>
        <w:spacing w:before="480"/>
        <w:ind w:left="1146" w:hanging="1106"/>
      </w:pPr>
      <w:bookmarkStart w:id="2144" w:name="_Toc405803689"/>
      <w:bookmarkStart w:id="2145" w:name="_Toc410395197"/>
      <w:bookmarkStart w:id="2146" w:name="_Toc411597981"/>
      <w:bookmarkStart w:id="2147" w:name="_Toc412661433"/>
      <w:bookmarkStart w:id="2148" w:name="_Toc111118560"/>
      <w:r w:rsidRPr="001C2325">
        <w:t>Nachvollziehbarkeit der Mehr-/Mindermengenabrechnung</w:t>
      </w:r>
      <w:bookmarkEnd w:id="2144"/>
      <w:bookmarkEnd w:id="2145"/>
      <w:bookmarkEnd w:id="2146"/>
      <w:bookmarkEnd w:id="2147"/>
      <w:bookmarkEnd w:id="2148"/>
    </w:p>
    <w:p w14:paraId="76624797" w14:textId="77777777" w:rsidR="00166735" w:rsidRDefault="00166735" w:rsidP="003C2438">
      <w:r w:rsidRPr="0060515B" w:rsidDel="002F758A">
        <w:t>Mit d</w:t>
      </w:r>
      <w:r w:rsidRPr="0060515B">
        <w:t xml:space="preserve">en folgenden </w:t>
      </w:r>
      <w:r w:rsidRPr="0060515B" w:rsidDel="002F758A">
        <w:t xml:space="preserve">Informationen ist der </w:t>
      </w:r>
      <w:r w:rsidRPr="0060515B">
        <w:t xml:space="preserve">LF </w:t>
      </w:r>
      <w:r w:rsidRPr="0060515B" w:rsidDel="002F758A">
        <w:t>in der Lage, die Mehr-/Mindermengenabrechnung zu plausibilisieren.</w:t>
      </w:r>
    </w:p>
    <w:p w14:paraId="33616BFC" w14:textId="77777777" w:rsidR="00166735" w:rsidRPr="00C32576" w:rsidRDefault="00166735" w:rsidP="003C2438">
      <w:pPr>
        <w:spacing w:before="240"/>
        <w:rPr>
          <w:u w:val="single"/>
        </w:rPr>
      </w:pPr>
      <w:r w:rsidRPr="00C32576">
        <w:rPr>
          <w:u w:val="single"/>
        </w:rPr>
        <w:t>Entnahmemengen:</w:t>
      </w:r>
    </w:p>
    <w:p w14:paraId="3B786D67" w14:textId="2890418A" w:rsidR="00166735" w:rsidRDefault="00166735" w:rsidP="003C2438">
      <w:r w:rsidRPr="00C32576">
        <w:t xml:space="preserve">Dem LF liegt die Entnahmemenge </w:t>
      </w:r>
      <w:r w:rsidR="00FB279D">
        <w:t xml:space="preserve">marktlokationsscharf </w:t>
      </w:r>
      <w:r w:rsidRPr="00C32576">
        <w:t>durch die Mengenmeldungen (Zählerstände, Zustandszahl, Brennwert), auf denen die Netznutzungsabrechnung basiert, vor.</w:t>
      </w:r>
    </w:p>
    <w:p w14:paraId="1609CD81" w14:textId="77777777" w:rsidR="00166735" w:rsidRPr="00960B64" w:rsidRDefault="00166735" w:rsidP="003C2438">
      <w:pPr>
        <w:spacing w:before="240"/>
        <w:rPr>
          <w:rFonts w:eastAsia="Calibri"/>
          <w:u w:val="single"/>
        </w:rPr>
      </w:pPr>
      <w:r w:rsidRPr="00960B64">
        <w:rPr>
          <w:rFonts w:eastAsia="Calibri"/>
          <w:u w:val="single"/>
        </w:rPr>
        <w:t>Bilanzierte Mengen:</w:t>
      </w:r>
    </w:p>
    <w:p w14:paraId="111D937A" w14:textId="7309C35F" w:rsidR="00166735" w:rsidRDefault="00166735" w:rsidP="003C2438">
      <w:r w:rsidRPr="00C32576">
        <w:t xml:space="preserve">Dem LF liegt die bilanzierte Menge </w:t>
      </w:r>
      <w:r w:rsidR="00FB279D">
        <w:t xml:space="preserve">marktlokationsscharf </w:t>
      </w:r>
      <w:r w:rsidRPr="00C32576">
        <w:t xml:space="preserve">aus der Übermittlung durch den NB vor. Zusätzlich kann der LF gemäß </w:t>
      </w:r>
      <w:r>
        <w:t xml:space="preserve">Kap. </w:t>
      </w:r>
      <w:r w:rsidR="0011373C">
        <w:fldChar w:fldCharType="begin"/>
      </w:r>
      <w:r w:rsidR="0011373C">
        <w:instrText xml:space="preserve"> REF _Ref412102750 \r \h  \* MERGEFORMAT </w:instrText>
      </w:r>
      <w:r w:rsidR="0011373C">
        <w:fldChar w:fldCharType="separate"/>
      </w:r>
      <w:r w:rsidR="00692E23">
        <w:t>10.7.1</w:t>
      </w:r>
      <w:r w:rsidR="0011373C">
        <w:fldChar w:fldCharType="end"/>
      </w:r>
      <w:r w:rsidRPr="00C32576">
        <w:t xml:space="preserve"> eine </w:t>
      </w:r>
      <w:r w:rsidR="00FB279D">
        <w:t xml:space="preserve">marktlokationsscharfe </w:t>
      </w:r>
      <w:r w:rsidRPr="00C32576">
        <w:t>Allokationsliste anfordern, um z. B. eine Prüfung der bilanzierten Menge durchführen zu können.</w:t>
      </w:r>
    </w:p>
    <w:p w14:paraId="36AF58FB" w14:textId="77777777" w:rsidR="00166735" w:rsidRPr="00C32576" w:rsidRDefault="00166735" w:rsidP="003C2438">
      <w:pPr>
        <w:spacing w:before="240"/>
        <w:rPr>
          <w:u w:val="single"/>
        </w:rPr>
      </w:pPr>
      <w:r w:rsidRPr="00C32576">
        <w:rPr>
          <w:u w:val="single"/>
        </w:rPr>
        <w:lastRenderedPageBreak/>
        <w:t>Mehr-/Mindermengenpreise:</w:t>
      </w:r>
    </w:p>
    <w:p w14:paraId="7FF56EB8" w14:textId="035D68CA" w:rsidR="00166735" w:rsidRDefault="00166735" w:rsidP="003C2438">
      <w:r w:rsidRPr="00C32576">
        <w:t>Der LF kann den vom NB verwendeten Preis anhand der veröffentlichten Mehr-/Mindermengenpreise auf de</w:t>
      </w:r>
      <w:r w:rsidR="00055400">
        <w:t>r</w:t>
      </w:r>
      <w:r w:rsidRPr="00C32576">
        <w:t xml:space="preserve"> Internetseite </w:t>
      </w:r>
      <w:r w:rsidR="00055400">
        <w:t xml:space="preserve">des </w:t>
      </w:r>
      <w:r w:rsidRPr="00C32576">
        <w:t>MGV prüfen.</w:t>
      </w:r>
    </w:p>
    <w:p w14:paraId="05A58B5F" w14:textId="77777777" w:rsidR="00FF3030" w:rsidRDefault="00166735" w:rsidP="00642CF1">
      <w:pPr>
        <w:pStyle w:val="berschrift2"/>
        <w:spacing w:before="480"/>
        <w:ind w:left="709" w:hanging="709"/>
      </w:pPr>
      <w:bookmarkStart w:id="2149" w:name="_Toc410395198"/>
      <w:bookmarkStart w:id="2150" w:name="_Toc411597982"/>
      <w:bookmarkStart w:id="2151" w:name="_Toc111118561"/>
      <w:r>
        <w:t>Prozesse zwischen NB und MGV</w:t>
      </w:r>
      <w:bookmarkEnd w:id="2149"/>
      <w:bookmarkEnd w:id="2150"/>
      <w:bookmarkEnd w:id="2151"/>
    </w:p>
    <w:p w14:paraId="3AE07F2C" w14:textId="77777777" w:rsidR="00FF3030" w:rsidRDefault="00166735" w:rsidP="00372A70">
      <w:pPr>
        <w:pStyle w:val="berschrift3"/>
        <w:tabs>
          <w:tab w:val="num" w:pos="1134"/>
        </w:tabs>
        <w:spacing w:before="480"/>
        <w:ind w:left="1146" w:hanging="1106"/>
      </w:pPr>
      <w:bookmarkStart w:id="2152" w:name="_Toc410395199"/>
      <w:bookmarkStart w:id="2153" w:name="_Toc411597983"/>
      <w:bookmarkStart w:id="2154" w:name="_Toc111118562"/>
      <w:r>
        <w:t>Mitteilung des Ableseverfahrens</w:t>
      </w:r>
      <w:bookmarkEnd w:id="2152"/>
      <w:bookmarkEnd w:id="2153"/>
      <w:bookmarkEnd w:id="2154"/>
    </w:p>
    <w:p w14:paraId="517B95A6" w14:textId="77777777" w:rsidR="00166735" w:rsidRDefault="00166735" w:rsidP="003C2438">
      <w:r w:rsidRPr="0060515B">
        <w:t xml:space="preserve">Der NB teilt dem MGV schriftlich </w:t>
      </w:r>
      <w:r w:rsidR="00BE5549">
        <w:t xml:space="preserve">sein angewendetes SLP-Ableseverfahren (Stichtag- oder rollierende Ablesung) mit. </w:t>
      </w:r>
      <w:r w:rsidRPr="0060515B">
        <w:t>Im Falle der Stichtagsablesung wird dem MGV zusätzlich der jeweilige Stichtag mitgeteilt.</w:t>
      </w:r>
    </w:p>
    <w:p w14:paraId="0D28D2E8" w14:textId="43B96F08" w:rsidR="00166735" w:rsidRPr="003B0DC8" w:rsidRDefault="00166735" w:rsidP="003C2438">
      <w:r w:rsidRPr="003B0DC8">
        <w:t>Die Gasnetzzugangsverordnung lässt dem NB die Wahl, ob die Mehr-/Mindermengen</w:t>
      </w:r>
      <w:r>
        <w:softHyphen/>
      </w:r>
      <w:r w:rsidRPr="003B0DC8">
        <w:t xml:space="preserve">ermittlung einmal jährlich für alle Kunden zu einem Stichtag durchgeführt </w:t>
      </w:r>
      <w:r w:rsidR="00D865DF">
        <w:t xml:space="preserve">wird </w:t>
      </w:r>
      <w:r w:rsidRPr="003B0DC8">
        <w:t>oder rollierend über das ganze Jahr erfolgt.</w:t>
      </w:r>
    </w:p>
    <w:p w14:paraId="722FBA56" w14:textId="0DA84554" w:rsidR="00166735" w:rsidRPr="003B0DC8" w:rsidRDefault="00166735" w:rsidP="003C2438">
      <w:r w:rsidRPr="003B0DC8">
        <w:t xml:space="preserve">Im Falle des rollierenden Ableseverfahrens ermittelt der NB auf Basis der Zählerablesung die Verbrauchswerte der einzelnen Entnahmestellen. Nach erfolgter Ablesung errechnet der NB auf Basis der </w:t>
      </w:r>
      <w:r w:rsidR="00D710D7">
        <w:t>gemäß</w:t>
      </w:r>
      <w:r w:rsidRPr="003B0DC8">
        <w:t xml:space="preserve"> DVGW</w:t>
      </w:r>
      <w:r w:rsidR="00BF5D73">
        <w:t>-</w:t>
      </w:r>
      <w:r w:rsidRPr="003B0DC8">
        <w:t xml:space="preserve">Arbeitsblatt G 685 vorgegebenen Regeln den jeweiligen Abrechnungsbrennwert, die Zustandszahl </w:t>
      </w:r>
      <w:r w:rsidR="00642CF1" w:rsidRPr="003B0DC8">
        <w:t>etc.,</w:t>
      </w:r>
      <w:r w:rsidRPr="003B0DC8">
        <w:t xml:space="preserve"> um den Verbrauch in der Einheit kWh für den Ablesezeitraum zu ermitteln. Dieser Prozess erfolgt kontinuierlich über das ganze Jahr, so dass in der Regel jeden Monat eine Teilmenge aller </w:t>
      </w:r>
      <w:r w:rsidR="00FB279D">
        <w:t>Marktlokationen</w:t>
      </w:r>
      <w:r w:rsidR="00FB279D" w:rsidRPr="003B0DC8">
        <w:t xml:space="preserve"> </w:t>
      </w:r>
      <w:r w:rsidRPr="003B0DC8">
        <w:t>abgelesen wird. Zusätzlich finden weitere Ablesevorgänge statt, wie z.</w:t>
      </w:r>
      <w:r w:rsidR="00E60B3D">
        <w:t> </w:t>
      </w:r>
      <w:r w:rsidRPr="003B0DC8">
        <w:t>B. aufgrund von durchgeführten Lieferantenwechseln oder bei Ein- und Auszügen.</w:t>
      </w:r>
    </w:p>
    <w:p w14:paraId="2C0C6DF4" w14:textId="4C3EF5FD" w:rsidR="00166735" w:rsidRPr="003B0DC8" w:rsidRDefault="00166735" w:rsidP="003C2438">
      <w:r w:rsidRPr="003B0DC8">
        <w:t xml:space="preserve">NB mit Stichtagsverfahren ermitteln die ausgespeiste Energiemenge je </w:t>
      </w:r>
      <w:r w:rsidR="00FB279D">
        <w:t xml:space="preserve">Marktlokation </w:t>
      </w:r>
      <w:r w:rsidRPr="003B0DC8">
        <w:t xml:space="preserve">für alle </w:t>
      </w:r>
      <w:r w:rsidR="00FB279D">
        <w:t>Marktlokationen</w:t>
      </w:r>
      <w:r w:rsidRPr="003B0DC8">
        <w:t xml:space="preserve"> im Netz zu einem bestimmten Stichtag bzw. um einen bestimmten Stichtag herum.</w:t>
      </w:r>
    </w:p>
    <w:p w14:paraId="73E2F517" w14:textId="77777777" w:rsidR="00166735" w:rsidRPr="0060515B" w:rsidRDefault="00166735" w:rsidP="003C2438">
      <w:r w:rsidRPr="0060515B">
        <w:t xml:space="preserve">Die Informationen </w:t>
      </w:r>
      <w:r>
        <w:t xml:space="preserve">bezüglich des Ableseverfahrens </w:t>
      </w:r>
      <w:r w:rsidRPr="0060515B">
        <w:t>sind notwendig, damit sich der MGV auf den Empfang der Mehr-/Mindermengenmeldungen einstellen kann. In beiden Fällen erwartet der MGV monatliche Mehr-/Mindermengenmeldungen.</w:t>
      </w:r>
    </w:p>
    <w:p w14:paraId="64E1702F" w14:textId="77777777" w:rsidR="00166735" w:rsidRDefault="00166735" w:rsidP="003C2438">
      <w:r w:rsidRPr="0060515B">
        <w:t xml:space="preserve">Bei einer Fusion von NB mit unterschiedlichen Ableseverfahren, bei Änderung des verwendeten Ableseverfahrens oder bei </w:t>
      </w:r>
      <w:r>
        <w:t>der</w:t>
      </w:r>
      <w:r w:rsidRPr="0060515B">
        <w:t xml:space="preserve"> Gründung eines neuen NB meldet der NB dem MGV unverzüglich das neue Ableseverfahren ggf. unter zusätzlicher Nennung des verwendeten Stichtages.</w:t>
      </w:r>
    </w:p>
    <w:p w14:paraId="3799AC97" w14:textId="77777777" w:rsidR="00166735" w:rsidRDefault="00166735" w:rsidP="00372A70">
      <w:pPr>
        <w:pStyle w:val="berschrift3"/>
        <w:tabs>
          <w:tab w:val="num" w:pos="1134"/>
        </w:tabs>
        <w:spacing w:before="480"/>
        <w:ind w:left="1146" w:hanging="1106"/>
      </w:pPr>
      <w:bookmarkStart w:id="2155" w:name="_Toc410395200"/>
      <w:bookmarkStart w:id="2156" w:name="_Toc411597984"/>
      <w:bookmarkStart w:id="2157" w:name="_Toc412661436"/>
      <w:bookmarkStart w:id="2158" w:name="_Toc111118563"/>
      <w:r w:rsidRPr="0060515B">
        <w:t>Meldung der Mehr-/Mindermengen</w:t>
      </w:r>
      <w:bookmarkEnd w:id="2155"/>
      <w:bookmarkEnd w:id="2156"/>
      <w:bookmarkEnd w:id="2157"/>
      <w:bookmarkEnd w:id="2158"/>
    </w:p>
    <w:p w14:paraId="1D7EFDD1" w14:textId="7FFB6ED0" w:rsidR="00166735" w:rsidRPr="0060515B" w:rsidRDefault="00166735" w:rsidP="003C2438">
      <w:r w:rsidRPr="0060515B">
        <w:t xml:space="preserve">Die unter </w:t>
      </w:r>
      <w:r>
        <w:t xml:space="preserve">Kap. </w:t>
      </w:r>
      <w:r w:rsidR="0011373C">
        <w:fldChar w:fldCharType="begin"/>
      </w:r>
      <w:r w:rsidR="0011373C">
        <w:instrText xml:space="preserve"> REF _Ref412102784 \r \h  \* MERGEFORMAT </w:instrText>
      </w:r>
      <w:r w:rsidR="0011373C">
        <w:fldChar w:fldCharType="separate"/>
      </w:r>
      <w:r w:rsidR="00692E23">
        <w:t>10.5.3</w:t>
      </w:r>
      <w:r w:rsidR="0011373C">
        <w:fldChar w:fldCharType="end"/>
      </w:r>
      <w:r w:rsidRPr="0060515B">
        <w:t xml:space="preserve"> ermittelten Mehr-/Mindermengen werden vom NB gegenüber dem MGV </w:t>
      </w:r>
      <w:r>
        <w:t xml:space="preserve">(über alle LF aggregiert) </w:t>
      </w:r>
      <w:r w:rsidRPr="0060515B">
        <w:t>verrechnet und zur Führung des Netzkontos übermittelt.</w:t>
      </w:r>
    </w:p>
    <w:p w14:paraId="2BDBF00D" w14:textId="5EDF82A0" w:rsidR="00166735" w:rsidRPr="0060515B" w:rsidRDefault="00166735" w:rsidP="003C2438">
      <w:r w:rsidRPr="0060515B">
        <w:lastRenderedPageBreak/>
        <w:t>Der NB erstellt für jeden Monat</w:t>
      </w:r>
      <w:r>
        <w:t>,</w:t>
      </w:r>
      <w:r w:rsidRPr="0060515B">
        <w:t xml:space="preserve"> unabhängig vom Ableseverfahren</w:t>
      </w:r>
      <w:r>
        <w:t>,</w:t>
      </w:r>
      <w:r w:rsidRPr="0060515B">
        <w:t xml:space="preserve"> je Netzkonto eine Mehr-/</w:t>
      </w:r>
      <w:r>
        <w:t xml:space="preserve"> </w:t>
      </w:r>
      <w:r w:rsidRPr="0060515B">
        <w:t>Mindermengenmeldung und übermittelt diese an den MGV. Hierzu aggregiert der NB alle gegenüber den LF in Rechnung gestellten Mehr-/Mindermengen, deren Mehr-/Mindermengenzeitraum im selben Anwendungsmonat endet</w:t>
      </w:r>
      <w:r>
        <w:t>.</w:t>
      </w:r>
      <w:r w:rsidRPr="0060515B">
        <w:t xml:space="preserve"> Die übermittelten Werte sind immer positive Werte.</w:t>
      </w:r>
    </w:p>
    <w:p w14:paraId="2F94F43F" w14:textId="77777777" w:rsidR="00166735" w:rsidRDefault="00166735" w:rsidP="003C2438">
      <w:r w:rsidRPr="0060515B">
        <w:t>Sollte in einem Monat keine Mehr-/Mindermengenabrechnung zwischen NB und LF durchge</w:t>
      </w:r>
      <w:r>
        <w:t>führt worden sein, so übermittelt der NB an den MGV eine Mehr-/Mindermengenmeldung mit dem Wert Null.</w:t>
      </w:r>
    </w:p>
    <w:p w14:paraId="006AE058" w14:textId="77777777" w:rsidR="00166735" w:rsidRDefault="00166735" w:rsidP="003C2438">
      <w:r>
        <w:t>Die Mehr-/Mindermengenmeldung des NB an den MGV erfolgt im dritten Monat nach Ende des Monats in dem der Mehr-/Mindermengenzeitraum endet. Der früheste Termin für die Mehr-/Mindermengenmeldung liegt nach Ablauf des zweiten Monats nach Ende des Monats in dem der Mehr-/Mindermengenzeitraum endet (M+2M). Der späteste Termin liegt am Ende des dritten Monats nach Ende des Monats in dem der Mehr-/Mindermengenzeitraum endet (M+3M).</w:t>
      </w:r>
    </w:p>
    <w:p w14:paraId="1F2D4013" w14:textId="77777777" w:rsidR="00166735" w:rsidRPr="00ED6D4C" w:rsidRDefault="00166735" w:rsidP="003C2438">
      <w:pPr>
        <w:spacing w:after="0"/>
        <w:rPr>
          <w:szCs w:val="24"/>
        </w:rPr>
      </w:pPr>
      <w:r w:rsidRPr="00ED6D4C">
        <w:rPr>
          <w:szCs w:val="24"/>
        </w:rPr>
        <w:t>Beispiel:</w:t>
      </w:r>
    </w:p>
    <w:p w14:paraId="25FFE3E9" w14:textId="77777777" w:rsidR="00166735" w:rsidRPr="00ED6D4C" w:rsidRDefault="00166735" w:rsidP="003C2438">
      <w:pPr>
        <w:spacing w:after="0"/>
        <w:rPr>
          <w:szCs w:val="24"/>
        </w:rPr>
      </w:pPr>
    </w:p>
    <w:tbl>
      <w:tblPr>
        <w:tblW w:w="0" w:type="auto"/>
        <w:tblCellMar>
          <w:left w:w="0" w:type="dxa"/>
          <w:right w:w="0" w:type="dxa"/>
        </w:tblCellMar>
        <w:tblLook w:val="04A0" w:firstRow="1" w:lastRow="0" w:firstColumn="1" w:lastColumn="0" w:noHBand="0" w:noVBand="1"/>
      </w:tblPr>
      <w:tblGrid>
        <w:gridCol w:w="4519"/>
        <w:gridCol w:w="4531"/>
      </w:tblGrid>
      <w:tr w:rsidR="00166735" w:rsidRPr="00ED6D4C" w14:paraId="169DDF6C" w14:textId="77777777" w:rsidTr="00937930">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D719CD" w14:textId="77777777" w:rsidR="00166735" w:rsidRPr="00ED6D4C" w:rsidRDefault="00166735" w:rsidP="003C2438">
            <w:pPr>
              <w:spacing w:after="0"/>
              <w:rPr>
                <w:szCs w:val="24"/>
              </w:rPr>
            </w:pPr>
            <w:r w:rsidRPr="00ED6D4C">
              <w:rPr>
                <w:szCs w:val="24"/>
              </w:rPr>
              <w:t>Ende des Mehr-/Mindermengenzeitraums</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05BFDA" w14:textId="4827B272" w:rsidR="00166735" w:rsidRPr="00ED6D4C" w:rsidRDefault="00166735" w:rsidP="003C2438">
            <w:pPr>
              <w:spacing w:after="0"/>
              <w:rPr>
                <w:szCs w:val="24"/>
              </w:rPr>
            </w:pPr>
            <w:r w:rsidRPr="00ED6D4C">
              <w:rPr>
                <w:szCs w:val="24"/>
              </w:rPr>
              <w:t>April 20</w:t>
            </w:r>
            <w:r w:rsidR="00055400">
              <w:rPr>
                <w:szCs w:val="24"/>
              </w:rPr>
              <w:t xml:space="preserve">22 </w:t>
            </w:r>
          </w:p>
        </w:tc>
      </w:tr>
      <w:tr w:rsidR="00166735" w:rsidRPr="00ED6D4C" w14:paraId="54ACC475" w14:textId="77777777" w:rsidTr="009379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0E1D0" w14:textId="77777777" w:rsidR="00166735" w:rsidRPr="00ED6D4C" w:rsidRDefault="00166735" w:rsidP="003C2438">
            <w:pPr>
              <w:spacing w:after="0"/>
              <w:rPr>
                <w:szCs w:val="24"/>
              </w:rPr>
            </w:pPr>
            <w:r w:rsidRPr="00ED6D4C">
              <w:rPr>
                <w:szCs w:val="24"/>
              </w:rPr>
              <w:t>Mehr-/Mindermengenmeldung (frühester Termin)</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6E33CF83" w14:textId="35F5A0AC" w:rsidR="00166735" w:rsidRDefault="00166735" w:rsidP="003C2438">
            <w:pPr>
              <w:spacing w:after="0"/>
              <w:rPr>
                <w:szCs w:val="24"/>
              </w:rPr>
            </w:pPr>
            <w:r w:rsidRPr="00ED6D4C">
              <w:rPr>
                <w:szCs w:val="24"/>
              </w:rPr>
              <w:t>01.07.20</w:t>
            </w:r>
            <w:r w:rsidR="00055400">
              <w:rPr>
                <w:szCs w:val="24"/>
              </w:rPr>
              <w:t xml:space="preserve">22 </w:t>
            </w:r>
          </w:p>
        </w:tc>
      </w:tr>
      <w:tr w:rsidR="00166735" w:rsidRPr="00ED6D4C" w14:paraId="0A671942" w14:textId="77777777" w:rsidTr="009379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99DB1" w14:textId="77777777" w:rsidR="00166735" w:rsidRPr="00ED6D4C" w:rsidRDefault="00166735" w:rsidP="003C2438">
            <w:pPr>
              <w:spacing w:after="0"/>
              <w:rPr>
                <w:szCs w:val="24"/>
              </w:rPr>
            </w:pPr>
            <w:r w:rsidRPr="00ED6D4C">
              <w:rPr>
                <w:szCs w:val="24"/>
              </w:rPr>
              <w:t>Mehr-/Mindermengenmeldung (spätester Termin)</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3D2332F8" w14:textId="2B21B77C" w:rsidR="00166735" w:rsidRPr="00ED6D4C" w:rsidRDefault="00166735" w:rsidP="003C2438">
            <w:pPr>
              <w:spacing w:after="0"/>
              <w:rPr>
                <w:szCs w:val="24"/>
              </w:rPr>
            </w:pPr>
            <w:r w:rsidRPr="00ED6D4C">
              <w:rPr>
                <w:szCs w:val="24"/>
              </w:rPr>
              <w:t>31.07.20</w:t>
            </w:r>
            <w:r w:rsidR="00055400">
              <w:rPr>
                <w:szCs w:val="24"/>
              </w:rPr>
              <w:t xml:space="preserve">22 </w:t>
            </w:r>
          </w:p>
        </w:tc>
      </w:tr>
    </w:tbl>
    <w:p w14:paraId="3040B632" w14:textId="77777777" w:rsidR="00166735" w:rsidRPr="00ED6D4C" w:rsidRDefault="00166735" w:rsidP="003C2438">
      <w:pPr>
        <w:rPr>
          <w:szCs w:val="24"/>
        </w:rPr>
      </w:pPr>
    </w:p>
    <w:p w14:paraId="3D9A5F00" w14:textId="77777777" w:rsidR="00166735" w:rsidRPr="0060515B" w:rsidRDefault="00166735" w:rsidP="003C2438">
      <w:r w:rsidRPr="0060515B">
        <w:t xml:space="preserve">Die Mehr-/Mindermengenmeldung erfolgt im Format SSQNOT. Die Datumsangabe auf der SSQNOT ist der erste und der letzte </w:t>
      </w:r>
      <w:proofErr w:type="spellStart"/>
      <w:r w:rsidRPr="0060515B">
        <w:t>Gastag</w:t>
      </w:r>
      <w:proofErr w:type="spellEnd"/>
      <w:r w:rsidRPr="0060515B">
        <w:t xml:space="preserve"> des Anwendungsmonats.</w:t>
      </w:r>
    </w:p>
    <w:p w14:paraId="663B5DBC" w14:textId="3FA30CC4" w:rsidR="00166735" w:rsidRDefault="00166735" w:rsidP="003C2438">
      <w:r w:rsidRPr="0060515B">
        <w:t xml:space="preserve">Der MGV bestätigt die eingegangene </w:t>
      </w:r>
      <w:r>
        <w:t>SSQNOT</w:t>
      </w:r>
      <w:r w:rsidRPr="0060515B">
        <w:t xml:space="preserve"> mit einer CONTRL oder lehnt die </w:t>
      </w:r>
      <w:r>
        <w:t>SSQNOT</w:t>
      </w:r>
      <w:r w:rsidRPr="0060515B">
        <w:t xml:space="preserve"> wegen syntaktischer Fehler mit einer CONTRL ab. Synta</w:t>
      </w:r>
      <w:r>
        <w:t>k</w:t>
      </w:r>
      <w:r w:rsidRPr="0060515B">
        <w:t xml:space="preserve">tisch richtige </w:t>
      </w:r>
      <w:r>
        <w:t>SSQNOT</w:t>
      </w:r>
      <w:r w:rsidRPr="0060515B">
        <w:t xml:space="preserve"> unterzieht der MGV anschließend einer Verarbeitbarkeitsprüfung und meldet gefundene Fehler per APERAK.</w:t>
      </w:r>
    </w:p>
    <w:p w14:paraId="0E87F43B" w14:textId="590071EB" w:rsidR="00166735" w:rsidRDefault="00166735" w:rsidP="003C2438">
      <w:r w:rsidRPr="0060515B">
        <w:t xml:space="preserve">Zusätzlich </w:t>
      </w:r>
      <w:r w:rsidR="00055400">
        <w:t>kann</w:t>
      </w:r>
      <w:r w:rsidRPr="0060515B">
        <w:t xml:space="preserve"> </w:t>
      </w:r>
      <w:r w:rsidR="00055400">
        <w:t xml:space="preserve">der </w:t>
      </w:r>
      <w:r w:rsidRPr="0060515B">
        <w:t>MGV eine Eingabemöglichkeit über ein Portal oder eine Excel Eingabemaske zur Verfügung stellen.</w:t>
      </w:r>
    </w:p>
    <w:p w14:paraId="4F596660" w14:textId="4162BD7E" w:rsidR="00055400" w:rsidRDefault="00055400" w:rsidP="003C2438">
      <w:r w:rsidRPr="00DE2960">
        <w:t>Ab dem 01.10.2021 gilt für die Übersendung der Mehr-/Mindermengenmeldung auch für Leistungszeiträume vor dem 01.10.2021, dass diejenigen Netzkonto</w:t>
      </w:r>
      <w:r>
        <w:t>nummern</w:t>
      </w:r>
      <w:r w:rsidRPr="00DE2960">
        <w:t xml:space="preserve"> anzugeben sind, die der MGV als gültige Netzkonten für den Leistungsmonat Oktober 2021 veröffentlicht hat. Für Netzbetreiber</w:t>
      </w:r>
      <w:r>
        <w:t>,</w:t>
      </w:r>
      <w:r w:rsidRPr="00DE2960">
        <w:t xml:space="preserve"> die vor dem 01.10.2021 zwei getrennte Netzkonten gleicher Gasqualität in beiden Marktgebieten hatten oder sich in der Marktgebietsüberlappung befanden</w:t>
      </w:r>
      <w:r>
        <w:t>,</w:t>
      </w:r>
      <w:r w:rsidRPr="00DE2960">
        <w:t xml:space="preserve"> muss nur eine aggregierte Mehr-Mindermengenmeldung</w:t>
      </w:r>
      <w:r w:rsidR="00E544CB">
        <w:t xml:space="preserve"> versandt werden</w:t>
      </w:r>
      <w:r>
        <w:t>.</w:t>
      </w:r>
    </w:p>
    <w:p w14:paraId="10B12360" w14:textId="77777777" w:rsidR="00166735" w:rsidRDefault="00166735" w:rsidP="00372A70">
      <w:pPr>
        <w:pStyle w:val="berschrift3"/>
        <w:tabs>
          <w:tab w:val="num" w:pos="1134"/>
        </w:tabs>
        <w:spacing w:before="480"/>
        <w:ind w:left="1146" w:hanging="1106"/>
      </w:pPr>
      <w:bookmarkStart w:id="2159" w:name="_Toc410395201"/>
      <w:bookmarkStart w:id="2160" w:name="_Toc411597985"/>
      <w:bookmarkStart w:id="2161" w:name="_Toc412661437"/>
      <w:bookmarkStart w:id="2162" w:name="_Toc111118564"/>
      <w:r w:rsidRPr="00B166C7">
        <w:lastRenderedPageBreak/>
        <w:t>Abrechnung der Mehr-/Mindermengen</w:t>
      </w:r>
      <w:bookmarkEnd w:id="2159"/>
      <w:bookmarkEnd w:id="2160"/>
      <w:bookmarkEnd w:id="2161"/>
      <w:bookmarkEnd w:id="2162"/>
    </w:p>
    <w:p w14:paraId="76A6C63B" w14:textId="21F624D4" w:rsidR="00166735" w:rsidRDefault="00166735" w:rsidP="003C2438">
      <w:r w:rsidRPr="0060515B">
        <w:t>Der NB rechnet die Mehr-/Mindermengen, entsprechend der Mehr-/Mindermengen</w:t>
      </w:r>
      <w:r>
        <w:softHyphen/>
      </w:r>
      <w:r w:rsidRPr="0060515B">
        <w:t>meldungen, mit dem MGV ab.</w:t>
      </w:r>
    </w:p>
    <w:p w14:paraId="53214D1E" w14:textId="3B7C54E5" w:rsidR="00CE6298" w:rsidRPr="0060515B" w:rsidRDefault="00CE6298" w:rsidP="00CE6298">
      <w:r w:rsidRPr="00DB75AA">
        <w:t>Ab dem 01.10.2021 gilt für die Übersendung der Mehr-Mindermengenabrechnung, für Leistungszeiträume vor dem 01.10.2021, dass diejenigen Netzkontonummern anzugeben sind, die der MGV als gültige Netzkonten für den Leistungsmonat Oktober 2021 veröffentlicht hat. Für Netzbetreiber, die vor dem 01.10.2021 zwei getrennte Netzkonten gleicher Gasqualität in beiden Marktgebieten hatten oder sich in der Marktgebietsüberlappung befanden, muss nur eine aggregierte Mehr-Mindermengenabrechnung versandt werden.</w:t>
      </w:r>
    </w:p>
    <w:p w14:paraId="7AEF8DD6" w14:textId="77777777" w:rsidR="00CE6298" w:rsidRPr="0060515B" w:rsidRDefault="00CE6298" w:rsidP="003C2438"/>
    <w:p w14:paraId="770FB3A6" w14:textId="77777777" w:rsidR="00166735" w:rsidRPr="0060515B" w:rsidRDefault="00166735" w:rsidP="003C2438">
      <w:r w:rsidRPr="0060515B">
        <w:t xml:space="preserve">Je Mehr-/Mindermengenmeldung ist vom NB genau eine Rechnung bzw. Gutschrift an den MGV zu stellen. </w:t>
      </w:r>
      <w:r w:rsidR="00B41B2F">
        <w:t>Auch b</w:t>
      </w:r>
      <w:r w:rsidR="00B41B2F" w:rsidRPr="0060515B">
        <w:t xml:space="preserve">ei einer Mehr-/Mindermengenmeldung mit dem Wert Null </w:t>
      </w:r>
      <w:r w:rsidR="00B41B2F">
        <w:t>erstellt der</w:t>
      </w:r>
      <w:r w:rsidR="00B41B2F" w:rsidRPr="0060515B">
        <w:t xml:space="preserve"> NB eine </w:t>
      </w:r>
      <w:r w:rsidR="00724839">
        <w:t>A</w:t>
      </w:r>
      <w:r w:rsidR="00B41B2F">
        <w:t xml:space="preserve">brechnung </w:t>
      </w:r>
      <w:r w:rsidR="00724839" w:rsidRPr="00B1010E">
        <w:rPr>
          <w:rFonts w:cs="Arial"/>
        </w:rPr>
        <w:t>in elektronischer Form mit dem EDIFACT-Nachrichtentyp</w:t>
      </w:r>
      <w:r w:rsidR="00724839">
        <w:rPr>
          <w:rFonts w:cs="Arial"/>
        </w:rPr>
        <w:t xml:space="preserve"> </w:t>
      </w:r>
      <w:r w:rsidR="00724839" w:rsidRPr="00B1010E">
        <w:rPr>
          <w:rFonts w:cs="Arial"/>
        </w:rPr>
        <w:t>INVOIC</w:t>
      </w:r>
      <w:r w:rsidR="00B41B2F" w:rsidRPr="0060515B">
        <w:t>.</w:t>
      </w:r>
    </w:p>
    <w:p w14:paraId="306BEF00" w14:textId="77777777" w:rsidR="00166735" w:rsidRDefault="00166735" w:rsidP="003C2438">
      <w:r w:rsidRPr="0060515B">
        <w:t xml:space="preserve">Im Falle einer Mehrmenge übermittelt der NB eine Mehrmengenrechnung </w:t>
      </w:r>
      <w:r w:rsidR="00EA2BCA" w:rsidRPr="00B1010E">
        <w:rPr>
          <w:rFonts w:cs="Arial"/>
        </w:rPr>
        <w:t>in elektronischer Form mit dem EDIFACT-Nachrichtentyp INVOIC</w:t>
      </w:r>
      <w:r w:rsidR="00EA2BCA" w:rsidDel="00724839">
        <w:t xml:space="preserve"> </w:t>
      </w:r>
      <w:r w:rsidRPr="0060515B">
        <w:t>an den MGV.</w:t>
      </w:r>
      <w:r>
        <w:t xml:space="preserve"> </w:t>
      </w:r>
      <w:r w:rsidRPr="0060515B">
        <w:t>U.a. werden folgende Daten vom NB an den MGV übermittelt:</w:t>
      </w:r>
    </w:p>
    <w:p w14:paraId="37BCAB0B" w14:textId="77777777" w:rsidR="00166735" w:rsidRPr="0060515B" w:rsidRDefault="00166735" w:rsidP="003C2438">
      <w:pPr>
        <w:rPr>
          <w:b/>
          <w:u w:val="single"/>
        </w:rPr>
      </w:pPr>
      <w:r w:rsidRPr="0060515B">
        <w:rPr>
          <w:b/>
          <w:u w:val="single"/>
        </w:rPr>
        <w:t>Rechnung für SLP Mehrmengen (NB an MGV)</w:t>
      </w:r>
    </w:p>
    <w:p w14:paraId="5BFA88E1" w14:textId="77777777" w:rsidR="00166735" w:rsidRPr="0060515B" w:rsidRDefault="00166735" w:rsidP="003C2438">
      <w:pPr>
        <w:rPr>
          <w:rFonts w:cs="Arial"/>
          <w:bCs/>
        </w:rPr>
      </w:pPr>
      <w:r w:rsidRPr="0060515B">
        <w:rPr>
          <w:rFonts w:cs="Arial"/>
          <w:b/>
        </w:rPr>
        <w:t>Absender</w:t>
      </w:r>
      <w:r w:rsidRPr="0060515B">
        <w:rPr>
          <w:rFonts w:cs="Arial"/>
          <w:bCs/>
        </w:rPr>
        <w:tab/>
        <w:t xml:space="preserve">NB, identifiziert über </w:t>
      </w:r>
      <w:r w:rsidRPr="0060515B">
        <w:rPr>
          <w:rFonts w:cs="Arial"/>
        </w:rPr>
        <w:t>Marktpartner-ID</w:t>
      </w:r>
    </w:p>
    <w:p w14:paraId="35620F4F" w14:textId="6D2D9078" w:rsidR="00166735" w:rsidRPr="0060515B" w:rsidRDefault="00166735" w:rsidP="003C2438">
      <w:pPr>
        <w:rPr>
          <w:rFonts w:cs="Arial"/>
          <w:bCs/>
        </w:rPr>
      </w:pPr>
      <w:r w:rsidRPr="0060515B">
        <w:rPr>
          <w:rFonts w:cs="Arial"/>
          <w:b/>
        </w:rPr>
        <w:t>Empfänger</w:t>
      </w:r>
      <w:r w:rsidRPr="0060515B">
        <w:rPr>
          <w:rFonts w:cs="Arial"/>
          <w:bCs/>
        </w:rPr>
        <w:tab/>
        <w:t xml:space="preserve">MGV, identifiziert über </w:t>
      </w:r>
      <w:r w:rsidRPr="0060515B">
        <w:rPr>
          <w:rFonts w:cs="Arial"/>
        </w:rPr>
        <w:t>Marktpartner-ID</w:t>
      </w:r>
    </w:p>
    <w:p w14:paraId="0DF20EF0" w14:textId="080C4090" w:rsidR="00166735" w:rsidRPr="0060515B" w:rsidRDefault="00166735" w:rsidP="003C2438">
      <w:pPr>
        <w:rPr>
          <w:rFonts w:cs="Arial"/>
          <w:bCs/>
        </w:rPr>
      </w:pPr>
      <w:r w:rsidRPr="0060515B">
        <w:rPr>
          <w:rFonts w:cs="Arial"/>
          <w:b/>
        </w:rPr>
        <w:t>Bezugsobjekt</w:t>
      </w:r>
      <w:r w:rsidRPr="0060515B">
        <w:rPr>
          <w:rFonts w:cs="Arial"/>
          <w:bCs/>
        </w:rPr>
        <w:tab/>
        <w:t>Netzkontonummer des NB</w:t>
      </w:r>
    </w:p>
    <w:p w14:paraId="1A33BA5F" w14:textId="77777777" w:rsidR="00166735" w:rsidRPr="0060515B" w:rsidRDefault="00166735" w:rsidP="003C2438">
      <w:pPr>
        <w:rPr>
          <w:rFonts w:cs="Arial"/>
          <w:bCs/>
        </w:rPr>
      </w:pPr>
      <w:r w:rsidRPr="0060515B">
        <w:rPr>
          <w:rFonts w:cs="Arial"/>
          <w:b/>
        </w:rPr>
        <w:t>Bezugszeitraum</w:t>
      </w:r>
      <w:r w:rsidRPr="0060515B">
        <w:rPr>
          <w:b/>
        </w:rPr>
        <w:tab/>
      </w:r>
      <w:r w:rsidRPr="0060515B">
        <w:rPr>
          <w:rFonts w:cs="Arial"/>
          <w:bCs/>
        </w:rPr>
        <w:t>von Datum des Anwendungsmonats (XX.XX.XXXX)</w:t>
      </w:r>
      <w:r w:rsidRPr="0060515B">
        <w:rPr>
          <w:rFonts w:cs="Arial"/>
          <w:bCs/>
        </w:rPr>
        <w:br/>
        <w:t>bis Datum des Anwendungsmonats (XX.XX.XXXX)</w:t>
      </w:r>
    </w:p>
    <w:p w14:paraId="4D81964B" w14:textId="77777777" w:rsidR="00166735" w:rsidRPr="0060515B" w:rsidRDefault="00166735" w:rsidP="003C2438">
      <w:pPr>
        <w:rPr>
          <w:rFonts w:cs="Arial"/>
          <w:bCs/>
        </w:rPr>
      </w:pPr>
      <w:r w:rsidRPr="0060515B">
        <w:rPr>
          <w:rFonts w:cs="Arial"/>
          <w:b/>
        </w:rPr>
        <w:t>Mehrmenge</w:t>
      </w:r>
      <w:r w:rsidRPr="0060515B">
        <w:rPr>
          <w:rFonts w:cs="Arial"/>
          <w:bCs/>
        </w:rPr>
        <w:t xml:space="preserve"> </w:t>
      </w:r>
      <w:r w:rsidRPr="0060515B">
        <w:rPr>
          <w:rFonts w:cs="Arial"/>
          <w:bCs/>
        </w:rPr>
        <w:tab/>
        <w:t>Menge in kWh</w:t>
      </w:r>
    </w:p>
    <w:p w14:paraId="7F6F9588" w14:textId="59157641" w:rsidR="00166735" w:rsidRPr="0060515B" w:rsidRDefault="00166735" w:rsidP="003C2438">
      <w:pPr>
        <w:rPr>
          <w:rFonts w:cs="Arial"/>
          <w:bCs/>
        </w:rPr>
      </w:pPr>
      <w:r w:rsidRPr="0060515B">
        <w:rPr>
          <w:rFonts w:cs="Arial"/>
          <w:b/>
        </w:rPr>
        <w:t>Mehrmengenbetrag</w:t>
      </w:r>
      <w:r w:rsidRPr="0060515B">
        <w:rPr>
          <w:rFonts w:cs="Arial"/>
          <w:bCs/>
        </w:rPr>
        <w:tab/>
        <w:t>Betrag in Euro</w:t>
      </w:r>
    </w:p>
    <w:p w14:paraId="76C87DE3" w14:textId="27668052" w:rsidR="00166735" w:rsidRDefault="00166735" w:rsidP="003C2438">
      <w:pPr>
        <w:rPr>
          <w:rFonts w:cs="Arial"/>
          <w:bCs/>
        </w:rPr>
      </w:pPr>
      <w:r w:rsidRPr="0060515B">
        <w:rPr>
          <w:rFonts w:cs="Arial"/>
          <w:b/>
        </w:rPr>
        <w:t>Mehrmengenpreis</w:t>
      </w:r>
      <w:r w:rsidRPr="0060515B">
        <w:rPr>
          <w:rFonts w:cs="Arial"/>
          <w:b/>
        </w:rPr>
        <w:tab/>
      </w:r>
      <w:r w:rsidRPr="0060515B">
        <w:rPr>
          <w:rFonts w:cs="Arial"/>
          <w:bCs/>
        </w:rPr>
        <w:t>in €/kWh</w:t>
      </w:r>
    </w:p>
    <w:p w14:paraId="0492547F" w14:textId="77777777" w:rsidR="00166735" w:rsidRDefault="00166735" w:rsidP="003C2438"/>
    <w:p w14:paraId="7CC03651" w14:textId="77777777" w:rsidR="00166735" w:rsidRDefault="00166735" w:rsidP="003C2438">
      <w:r w:rsidRPr="0060515B">
        <w:t xml:space="preserve">Im Falle einer Mindermenge übermittelt der NB eine Mindermengengutschrift </w:t>
      </w:r>
      <w:r w:rsidR="00724839" w:rsidRPr="00B1010E">
        <w:rPr>
          <w:rFonts w:cs="Arial"/>
        </w:rPr>
        <w:t>in elektronischer Form mit dem EDIFACT-Nachrichtentyp INVOIC</w:t>
      </w:r>
      <w:r w:rsidR="00724839" w:rsidDel="00724839">
        <w:t xml:space="preserve"> </w:t>
      </w:r>
      <w:r w:rsidRPr="0060515B">
        <w:t>an den MGV. U. a. werden folgende Daten vom NB an den MGV übermittelt:</w:t>
      </w:r>
    </w:p>
    <w:p w14:paraId="74F0CBBE" w14:textId="77777777" w:rsidR="00166735" w:rsidRPr="0060515B" w:rsidRDefault="00166735" w:rsidP="003C2438">
      <w:pPr>
        <w:rPr>
          <w:rFonts w:cs="Arial"/>
          <w:b/>
          <w:u w:val="single"/>
        </w:rPr>
      </w:pPr>
      <w:r w:rsidRPr="0060515B">
        <w:rPr>
          <w:rFonts w:cs="Arial"/>
          <w:b/>
          <w:u w:val="single"/>
        </w:rPr>
        <w:t>Gutschrift für SLP Mindermengen (NB an MGV)</w:t>
      </w:r>
    </w:p>
    <w:p w14:paraId="54C51DDA" w14:textId="77777777" w:rsidR="00166735" w:rsidRPr="0060515B" w:rsidRDefault="00166735" w:rsidP="003C2438">
      <w:pPr>
        <w:rPr>
          <w:rFonts w:cs="Arial"/>
          <w:bCs/>
        </w:rPr>
      </w:pPr>
      <w:r w:rsidRPr="0060515B">
        <w:rPr>
          <w:rFonts w:cs="Arial"/>
          <w:b/>
        </w:rPr>
        <w:t>Absender</w:t>
      </w:r>
      <w:r w:rsidRPr="0060515B">
        <w:rPr>
          <w:rFonts w:cs="Arial"/>
          <w:bCs/>
        </w:rPr>
        <w:tab/>
        <w:t xml:space="preserve">NB, identifiziert über </w:t>
      </w:r>
      <w:r w:rsidRPr="0060515B">
        <w:rPr>
          <w:rFonts w:cs="Arial"/>
        </w:rPr>
        <w:t>Marktpartner-ID</w:t>
      </w:r>
    </w:p>
    <w:p w14:paraId="29170857" w14:textId="77777777" w:rsidR="00166735" w:rsidRPr="0060515B" w:rsidRDefault="00166735" w:rsidP="003C2438">
      <w:pPr>
        <w:rPr>
          <w:rFonts w:cs="Arial"/>
          <w:bCs/>
        </w:rPr>
      </w:pPr>
      <w:r w:rsidRPr="0060515B">
        <w:rPr>
          <w:rFonts w:cs="Arial"/>
          <w:b/>
        </w:rPr>
        <w:t>Empfänger</w:t>
      </w:r>
      <w:r w:rsidRPr="0060515B">
        <w:rPr>
          <w:rFonts w:cs="Arial"/>
          <w:bCs/>
        </w:rPr>
        <w:tab/>
        <w:t xml:space="preserve">MGV, identifiziert über </w:t>
      </w:r>
      <w:r w:rsidRPr="0060515B">
        <w:rPr>
          <w:rFonts w:cs="Arial"/>
        </w:rPr>
        <w:t>Marktpartner-ID</w:t>
      </w:r>
      <w:r w:rsidRPr="0060515B">
        <w:rPr>
          <w:rFonts w:cs="Arial"/>
          <w:bCs/>
        </w:rPr>
        <w:t xml:space="preserve"> </w:t>
      </w:r>
    </w:p>
    <w:p w14:paraId="73A7CAC4" w14:textId="22558210" w:rsidR="00166735" w:rsidRPr="0060515B" w:rsidRDefault="00166735" w:rsidP="003C2438">
      <w:pPr>
        <w:rPr>
          <w:rFonts w:cs="Arial"/>
          <w:bCs/>
        </w:rPr>
      </w:pPr>
      <w:r w:rsidRPr="0060515B">
        <w:rPr>
          <w:rFonts w:cs="Arial"/>
          <w:b/>
        </w:rPr>
        <w:t>Bezugsobjekt</w:t>
      </w:r>
      <w:r w:rsidRPr="0060515B">
        <w:rPr>
          <w:rFonts w:cs="Arial"/>
          <w:bCs/>
        </w:rPr>
        <w:tab/>
        <w:t>Netzkontonummer des NB</w:t>
      </w:r>
    </w:p>
    <w:p w14:paraId="071AC741" w14:textId="77777777" w:rsidR="00166735" w:rsidRPr="0060515B" w:rsidRDefault="00166735" w:rsidP="003C2438">
      <w:pPr>
        <w:rPr>
          <w:rFonts w:cs="Arial"/>
          <w:bCs/>
        </w:rPr>
      </w:pPr>
      <w:r w:rsidRPr="0060515B">
        <w:rPr>
          <w:rFonts w:cs="Arial"/>
          <w:b/>
        </w:rPr>
        <w:lastRenderedPageBreak/>
        <w:t>Bezugszeitraum</w:t>
      </w:r>
      <w:r w:rsidRPr="0060515B">
        <w:rPr>
          <w:b/>
        </w:rPr>
        <w:tab/>
      </w:r>
      <w:r w:rsidRPr="0060515B">
        <w:rPr>
          <w:rFonts w:cs="Arial"/>
          <w:bCs/>
        </w:rPr>
        <w:t>von Datum des Anwendungsmonats (XX.XX.XXXX)</w:t>
      </w:r>
      <w:r w:rsidRPr="0060515B">
        <w:rPr>
          <w:rFonts w:cs="Arial"/>
          <w:bCs/>
        </w:rPr>
        <w:br/>
        <w:t>bis Datum des Anwendungsmonats (XX.XX.XXXX)</w:t>
      </w:r>
    </w:p>
    <w:p w14:paraId="295ABA71" w14:textId="77777777" w:rsidR="00166735" w:rsidRPr="0060515B" w:rsidRDefault="00166735" w:rsidP="003C2438">
      <w:pPr>
        <w:rPr>
          <w:rFonts w:cs="Arial"/>
          <w:bCs/>
        </w:rPr>
      </w:pPr>
      <w:r w:rsidRPr="0060515B">
        <w:rPr>
          <w:rFonts w:cs="Arial"/>
          <w:b/>
        </w:rPr>
        <w:t>Mindermenge</w:t>
      </w:r>
      <w:r w:rsidRPr="0060515B">
        <w:rPr>
          <w:rFonts w:cs="Arial"/>
          <w:bCs/>
        </w:rPr>
        <w:t xml:space="preserve"> </w:t>
      </w:r>
      <w:r w:rsidRPr="0060515B">
        <w:rPr>
          <w:rFonts w:cs="Arial"/>
          <w:bCs/>
        </w:rPr>
        <w:tab/>
        <w:t>Menge in kWh</w:t>
      </w:r>
    </w:p>
    <w:p w14:paraId="18AF52E0" w14:textId="456B6319" w:rsidR="00166735" w:rsidRPr="0060515B" w:rsidRDefault="00166735" w:rsidP="003C2438">
      <w:pPr>
        <w:rPr>
          <w:rFonts w:cs="Arial"/>
          <w:bCs/>
        </w:rPr>
      </w:pPr>
      <w:r w:rsidRPr="0060515B">
        <w:rPr>
          <w:rFonts w:cs="Arial"/>
          <w:b/>
        </w:rPr>
        <w:t>Mindermengenbetrag</w:t>
      </w:r>
      <w:r w:rsidRPr="0060515B">
        <w:rPr>
          <w:rFonts w:cs="Arial"/>
          <w:bCs/>
        </w:rPr>
        <w:tab/>
        <w:t>Betrag in Euro</w:t>
      </w:r>
    </w:p>
    <w:p w14:paraId="190B1C57" w14:textId="21F38DFF" w:rsidR="00166735" w:rsidRPr="0060515B" w:rsidRDefault="00166735" w:rsidP="003C2438">
      <w:pPr>
        <w:rPr>
          <w:rFonts w:cs="Arial"/>
          <w:bCs/>
        </w:rPr>
      </w:pPr>
      <w:r w:rsidRPr="0060515B">
        <w:rPr>
          <w:rFonts w:cs="Arial"/>
          <w:b/>
        </w:rPr>
        <w:t>Mindermengenpreis</w:t>
      </w:r>
      <w:r w:rsidRPr="0060515B">
        <w:rPr>
          <w:rFonts w:cs="Arial"/>
          <w:b/>
        </w:rPr>
        <w:tab/>
      </w:r>
      <w:r w:rsidRPr="0060515B">
        <w:rPr>
          <w:rFonts w:cs="Arial"/>
          <w:bCs/>
        </w:rPr>
        <w:t>in €/kWh</w:t>
      </w:r>
    </w:p>
    <w:p w14:paraId="5A4AFB96" w14:textId="77777777" w:rsidR="00166735" w:rsidRPr="0060515B" w:rsidRDefault="00166735" w:rsidP="003C2438">
      <w:r w:rsidRPr="0060515B">
        <w:t>Der für den Anwendungsmonat vom MGV veröffentlichte Mehr-/Mindermengenpreis ist</w:t>
      </w:r>
      <w:r>
        <w:t xml:space="preserve"> vom NB</w:t>
      </w:r>
      <w:r w:rsidRPr="0060515B">
        <w:t xml:space="preserve"> für Mehrmengenrechnungen und Mindermengengutschriften zu verwenden.</w:t>
      </w:r>
    </w:p>
    <w:p w14:paraId="09A29C5C" w14:textId="77777777" w:rsidR="00166735" w:rsidRPr="0060515B" w:rsidRDefault="00166735" w:rsidP="003C2438">
      <w:r w:rsidRPr="0060515B">
        <w:t>Der NB übermittelt die Mehrmengenrechnung bzw. die Mindermengengutschrift spätestens am 10. Werktag nach Übermittlung der Mehr-/Mindermengenmeldung an den MGV. Das Zahlungsziel für NB bzw. MGV beträgt 10 Werktage bezogen auf den Rechnungseingang. Vom MGV wird entweder das Zahlungsavis versandt oder eine bilaterale Klärung mit dem NB durchgeführt.</w:t>
      </w:r>
    </w:p>
    <w:p w14:paraId="3E553A5B" w14:textId="3642D905" w:rsidR="00AB72B0" w:rsidRDefault="00166735" w:rsidP="003C2438">
      <w:r w:rsidRPr="0060515B">
        <w:t xml:space="preserve">Im Falle von fehlenden bzw. falschen Angaben auf der Mehrmengenrechnung bzw. der Mindermengengutschrift kann die Mehrmengenrechnung oder Mindermengengutschrift durch den MGV abgelehnt werden (siehe auch </w:t>
      </w:r>
      <w:r>
        <w:t xml:space="preserve">Kap. </w:t>
      </w:r>
      <w:r w:rsidR="0011373C">
        <w:fldChar w:fldCharType="begin"/>
      </w:r>
      <w:r w:rsidR="0011373C">
        <w:instrText xml:space="preserve"> REF _Ref412103245 \r \h  \* MERGEFORMAT </w:instrText>
      </w:r>
      <w:r w:rsidR="0011373C">
        <w:fldChar w:fldCharType="separate"/>
      </w:r>
      <w:r w:rsidR="00692E23">
        <w:t>10.8.5</w:t>
      </w:r>
      <w:r w:rsidR="0011373C">
        <w:fldChar w:fldCharType="end"/>
      </w:r>
      <w:r w:rsidRPr="0060515B">
        <w:t>). Hierbei sind die Gründe der Ablehnung mitzuteilen.</w:t>
      </w:r>
    </w:p>
    <w:p w14:paraId="66AC9317" w14:textId="7345B050" w:rsidR="00AB72B0" w:rsidRPr="006751E7" w:rsidRDefault="00AB72B0" w:rsidP="003C2438">
      <w:r w:rsidRPr="006751E7">
        <w:t xml:space="preserve">Bei Überweisung ist die </w:t>
      </w:r>
      <w:proofErr w:type="spellStart"/>
      <w:r w:rsidR="00055400">
        <w:t>Avisnummer</w:t>
      </w:r>
      <w:proofErr w:type="spellEnd"/>
      <w:r w:rsidRPr="006751E7">
        <w:t>, die mit der REMADV generiert wird, als Verwendungszweck anzugeben. Pro Mehr-/Mindermengenabrechnung erfolgt ein</w:t>
      </w:r>
      <w:r w:rsidR="009B35B3">
        <w:t>e Banküberweisung</w:t>
      </w:r>
      <w:r w:rsidRPr="006751E7">
        <w:t>, Sammelüberweisungen erfolgen nicht.</w:t>
      </w:r>
    </w:p>
    <w:p w14:paraId="0593D7FD" w14:textId="77777777" w:rsidR="00166735" w:rsidRPr="0060515B" w:rsidRDefault="00166735" w:rsidP="003C2438">
      <w:pPr>
        <w:spacing w:before="120"/>
        <w:rPr>
          <w:rFonts w:cs="Arial"/>
        </w:rPr>
      </w:pPr>
      <w:r w:rsidRPr="0060515B">
        <w:t xml:space="preserve">Die Beträge der abgerechneten Mehr-/Mindermengen werden vom MGV </w:t>
      </w:r>
      <w:r w:rsidRPr="00803D07">
        <w:t>für Leistungszeiträume vor dem 1.</w:t>
      </w:r>
      <w:r>
        <w:t xml:space="preserve"> Oktober </w:t>
      </w:r>
      <w:r w:rsidRPr="00803D07">
        <w:t>2015 im Verhältnis 40:60 auf das SLP- und RLM-Bilanzierungs</w:t>
      </w:r>
      <w:r>
        <w:t>-</w:t>
      </w:r>
      <w:proofErr w:type="spellStart"/>
      <w:r w:rsidRPr="00803D07">
        <w:t>umlagekonto</w:t>
      </w:r>
      <w:proofErr w:type="spellEnd"/>
      <w:r w:rsidRPr="00803D07">
        <w:t xml:space="preserve"> gebucht. SLP Mehr- und Mindermengenabrechnungen für Leistungszeiträume ab dem 1.</w:t>
      </w:r>
      <w:r>
        <w:t xml:space="preserve"> Oktober </w:t>
      </w:r>
      <w:r w:rsidRPr="00803D07">
        <w:t>2015 werden auf das SLP-Bilanzierungsumlagekonto gebucht</w:t>
      </w:r>
      <w:r w:rsidRPr="0060515B">
        <w:t>.</w:t>
      </w:r>
    </w:p>
    <w:p w14:paraId="13D1B757" w14:textId="603BC6D4" w:rsidR="00166735" w:rsidRDefault="00166735" w:rsidP="003C2438">
      <w:pPr>
        <w:rPr>
          <w:rFonts w:cs="Arial"/>
        </w:rPr>
      </w:pPr>
      <w:r w:rsidRPr="0060515B">
        <w:rPr>
          <w:rFonts w:cs="Arial"/>
        </w:rPr>
        <w:t>Die Rechnung</w:t>
      </w:r>
      <w:r>
        <w:rPr>
          <w:rFonts w:cs="Arial"/>
        </w:rPr>
        <w:t xml:space="preserve">slegung erfolgt </w:t>
      </w:r>
      <w:r w:rsidR="00724839" w:rsidRPr="00B1010E">
        <w:rPr>
          <w:rFonts w:cs="Arial"/>
        </w:rPr>
        <w:t>in elektronischer Form mit dem EDIFACT-Nachrichtentyp INVOIC</w:t>
      </w:r>
      <w:r>
        <w:rPr>
          <w:rFonts w:cs="Arial"/>
        </w:rPr>
        <w:t>.</w:t>
      </w:r>
    </w:p>
    <w:p w14:paraId="6F734172" w14:textId="77777777" w:rsidR="00166735" w:rsidRDefault="00166735" w:rsidP="00372A70">
      <w:pPr>
        <w:pStyle w:val="berschrift3"/>
        <w:tabs>
          <w:tab w:val="num" w:pos="1134"/>
        </w:tabs>
        <w:spacing w:before="480"/>
        <w:ind w:left="1146" w:hanging="1106"/>
      </w:pPr>
      <w:bookmarkStart w:id="2163" w:name="_Toc410395202"/>
      <w:bookmarkStart w:id="2164" w:name="_Toc411597986"/>
      <w:bookmarkStart w:id="2165" w:name="_Toc412661438"/>
      <w:bookmarkStart w:id="2166" w:name="_Toc111118565"/>
      <w:r w:rsidRPr="001C2325">
        <w:t>Nachvollziehbarkeit der Mehr-/Mindermengenabrechnung</w:t>
      </w:r>
      <w:bookmarkEnd w:id="2163"/>
      <w:bookmarkEnd w:id="2164"/>
      <w:bookmarkEnd w:id="2165"/>
      <w:bookmarkEnd w:id="2166"/>
    </w:p>
    <w:p w14:paraId="33A29F23" w14:textId="77777777" w:rsidR="00166735" w:rsidRDefault="00166735" w:rsidP="003C2438">
      <w:r>
        <w:t>Analog zum LF</w:t>
      </w:r>
      <w:r w:rsidRPr="00854D08">
        <w:t xml:space="preserve"> benötigt der </w:t>
      </w:r>
      <w:r>
        <w:t>MGV</w:t>
      </w:r>
      <w:r w:rsidRPr="00854D08">
        <w:t xml:space="preserve"> ebenfalls die Möglichkeit </w:t>
      </w:r>
      <w:r>
        <w:t>die Mehr-/Mindermengen nachzuvollziehen und ist</w:t>
      </w:r>
      <w:r w:rsidRPr="001B1E82">
        <w:t xml:space="preserve"> verpflichtet</w:t>
      </w:r>
      <w:r>
        <w:t xml:space="preserve"> die</w:t>
      </w:r>
      <w:r w:rsidRPr="001B1E82">
        <w:t xml:space="preserve"> </w:t>
      </w:r>
      <w:r>
        <w:t>Mehr-/Mindermengen</w:t>
      </w:r>
      <w:r w:rsidRPr="001B1E82">
        <w:t xml:space="preserve"> der </w:t>
      </w:r>
      <w:r>
        <w:t>NB</w:t>
      </w:r>
      <w:r w:rsidRPr="001B1E82">
        <w:t xml:space="preserve"> anhand der Netzkontodaten zu plausibilisieren. Ergibt eine Plausibilitätsprüfung, dass d</w:t>
      </w:r>
      <w:r>
        <w:t xml:space="preserve">ie </w:t>
      </w:r>
      <w:r w:rsidRPr="00B60FCF">
        <w:t xml:space="preserve">Menge </w:t>
      </w:r>
      <w:r w:rsidRPr="00B422D5">
        <w:t>nicht oder nur teilweise nachvollzogen werden kann</w:t>
      </w:r>
      <w:r>
        <w:t xml:space="preserve"> oder ein falscher Preis verwendet worden ist</w:t>
      </w:r>
      <w:r w:rsidRPr="00B422D5">
        <w:t>, so ist der MGV verpflich</w:t>
      </w:r>
      <w:r w:rsidRPr="00A82498">
        <w:t>tet mit dem jeweiligen NB in einen Klärungsprozess einzutreten.</w:t>
      </w:r>
      <w:r>
        <w:t xml:space="preserve"> Für den Zeitraum der Klärung erfolgt keine Abrechnung dieser Mehr-/Mindermengen oder, falls die Rech-</w:t>
      </w:r>
      <w:proofErr w:type="spellStart"/>
      <w:r>
        <w:t>nung</w:t>
      </w:r>
      <w:proofErr w:type="spellEnd"/>
      <w:r>
        <w:t xml:space="preserve"> bereits gestellt sein sollte, wird die Zahlungsfrist dieser Rechnung für alle Beteiligten ausgesetzt.</w:t>
      </w:r>
    </w:p>
    <w:p w14:paraId="28E51DDC" w14:textId="7DD8DECC" w:rsidR="00166735" w:rsidRDefault="00166735" w:rsidP="003C2438">
      <w:r>
        <w:lastRenderedPageBreak/>
        <w:t>Eine Plausibilisierung der Mehr-/Mindermenge durch den MGV erfolgt unverzüglich nach Erhalt der Mehr-/Mindermengenmeldung</w:t>
      </w:r>
      <w:r w:rsidR="00DC094D">
        <w:t xml:space="preserve"> und</w:t>
      </w:r>
      <w:r w:rsidR="00650186">
        <w:t xml:space="preserve"> </w:t>
      </w:r>
      <w:r w:rsidRPr="00854D08">
        <w:t>erfolgt auf Basis des Netzkon</w:t>
      </w:r>
      <w:r>
        <w:t>tosaldos 2.</w:t>
      </w:r>
    </w:p>
    <w:p w14:paraId="78B7536A" w14:textId="03E833BF" w:rsidR="00166735" w:rsidRDefault="00166735" w:rsidP="003C2438">
      <w:r>
        <w:t xml:space="preserve">Folgende Prüfroutine wird durch </w:t>
      </w:r>
      <w:r w:rsidR="00DC094D">
        <w:t xml:space="preserve">den </w:t>
      </w:r>
      <w:r>
        <w:t>MGV zur Plausibilisierung der Mehr-/Mindermengen verwendet:</w:t>
      </w:r>
    </w:p>
    <w:p w14:paraId="2C080930" w14:textId="77777777" w:rsidR="00166735" w:rsidRDefault="00166735" w:rsidP="007F76BC">
      <w:pPr>
        <w:pStyle w:val="Listenabsatz"/>
        <w:numPr>
          <w:ilvl w:val="0"/>
          <w:numId w:val="56"/>
        </w:numPr>
        <w:ind w:left="426" w:hanging="426"/>
      </w:pPr>
      <w:r>
        <w:t>Überprüfung des vollständigen Vorliegens der SLP Mehr-/Mindermengenmeldungen für vorangegangene Zeiträume;</w:t>
      </w:r>
    </w:p>
    <w:p w14:paraId="4B553DB2" w14:textId="77777777" w:rsidR="00166735" w:rsidRDefault="00166735" w:rsidP="007F76BC">
      <w:pPr>
        <w:pStyle w:val="Listenabsatz"/>
        <w:numPr>
          <w:ilvl w:val="0"/>
          <w:numId w:val="56"/>
        </w:numPr>
        <w:ind w:left="426" w:hanging="426"/>
      </w:pPr>
      <w:r>
        <w:t>Überprüfung der vollständigen Datenlage (NKP Meldungen etc.);</w:t>
      </w:r>
    </w:p>
    <w:p w14:paraId="202CA58A" w14:textId="77777777" w:rsidR="00166735" w:rsidRDefault="00166735" w:rsidP="007F76BC">
      <w:pPr>
        <w:pStyle w:val="Listenabsatz"/>
        <w:numPr>
          <w:ilvl w:val="0"/>
          <w:numId w:val="56"/>
        </w:numPr>
        <w:ind w:left="426" w:hanging="426"/>
      </w:pPr>
      <w:r>
        <w:t>Überprüfung des beendeten Clearingfensters.</w:t>
      </w:r>
    </w:p>
    <w:p w14:paraId="6BD76ABC" w14:textId="77777777" w:rsidR="00166735" w:rsidRDefault="00166735" w:rsidP="003C2438">
      <w:r>
        <w:t>Anschließend berechnet der MGV folgende Prüfgröße:</w:t>
      </w:r>
    </w:p>
    <w:p w14:paraId="422692B3" w14:textId="77777777" w:rsidR="00166735" w:rsidRDefault="00166735" w:rsidP="003C2438"/>
    <w:p w14:paraId="5CD6C626" w14:textId="77777777" w:rsidR="00166735" w:rsidRPr="00166735" w:rsidRDefault="00166735" w:rsidP="003C2438">
      <w:pPr>
        <w:spacing w:after="240"/>
      </w:pPr>
      <m:oMathPara>
        <m:oMath>
          <m:r>
            <m:rPr>
              <m:nor/>
            </m:rPr>
            <w:rPr>
              <w:rFonts w:ascii="Cambria Math" w:hAnsi="Cambria Math"/>
            </w:rPr>
            <m:t>Pr</m:t>
          </m:r>
          <m:r>
            <m:rPr>
              <m:nor/>
            </m:rPr>
            <w:rPr>
              <w:rFonts w:ascii="Cambria Math" w:hAnsi="Cambria Math" w:hint="eastAsia"/>
            </w:rPr>
            <m:t>ü</m:t>
          </m:r>
          <m:r>
            <m:rPr>
              <m:nor/>
            </m:rPr>
            <w:rPr>
              <w:rFonts w:ascii="Cambria Math" w:hAnsi="Cambria Math"/>
            </w:rPr>
            <m:t>fgr</m:t>
          </m:r>
          <m:r>
            <m:rPr>
              <m:nor/>
            </m:rPr>
            <w:rPr>
              <w:rFonts w:ascii="Cambria Math" w:hAnsi="Cambria Math" w:hint="eastAsia"/>
            </w:rPr>
            <m:t>öß</m:t>
          </m:r>
          <m:r>
            <m:rPr>
              <m:nor/>
            </m:rPr>
            <w:rPr>
              <w:rFonts w:ascii="Cambria Math" w:hAnsi="Cambria Math"/>
            </w:rPr>
            <m:t>e</m:t>
          </m:r>
          <m:r>
            <w:rPr>
              <w:rFonts w:ascii="Cambria Math" w:hAnsi="Cambria Math"/>
            </w:rPr>
            <m:t>=</m:t>
          </m:r>
          <m:f>
            <m:fPr>
              <m:ctrlPr>
                <w:rPr>
                  <w:rFonts w:ascii="Cambria Math" w:hAnsi="Cambria Math"/>
                  <w:i/>
                </w:rPr>
              </m:ctrlPr>
            </m:fPr>
            <m:num>
              <m:r>
                <m:rPr>
                  <m:nor/>
                </m:rPr>
                <w:rPr>
                  <w:rFonts w:ascii="Cambria Math" w:hAnsi="Cambria Math"/>
                </w:rPr>
                <m:t xml:space="preserve">Netzkontosaldo 2 </m:t>
              </m:r>
              <m:d>
                <m:dPr>
                  <m:ctrlPr>
                    <w:rPr>
                      <w:rFonts w:ascii="Cambria Math" w:hAnsi="Cambria Math"/>
                      <w:i/>
                    </w:rPr>
                  </m:ctrlPr>
                </m:dPr>
                <m:e>
                  <m:r>
                    <m:rPr>
                      <m:nor/>
                    </m:rPr>
                    <w:rPr>
                      <w:rFonts w:ascii="Cambria Math" w:hAnsi="Cambria Math"/>
                    </w:rPr>
                    <m:t>Kumuliert</m:t>
                  </m:r>
                </m:e>
              </m:d>
            </m:num>
            <m:den>
              <m:r>
                <m:rPr>
                  <m:nor/>
                </m:rPr>
                <w:rPr>
                  <w:rFonts w:ascii="Cambria Math" w:hAnsi="Cambria Math"/>
                </w:rPr>
                <m:t xml:space="preserve">Einspeiseallokation </m:t>
              </m:r>
              <m:d>
                <m:dPr>
                  <m:ctrlPr>
                    <w:rPr>
                      <w:rFonts w:ascii="Cambria Math" w:hAnsi="Cambria Math"/>
                      <w:i/>
                    </w:rPr>
                  </m:ctrlPr>
                </m:dPr>
                <m:e>
                  <m:r>
                    <m:rPr>
                      <m:nor/>
                    </m:rPr>
                    <w:rPr>
                      <w:rFonts w:ascii="Cambria Math" w:hAnsi="Cambria Math"/>
                    </w:rPr>
                    <m:t>kumuliert</m:t>
                  </m:r>
                </m:e>
              </m:d>
              <m:r>
                <w:rPr>
                  <w:rFonts w:ascii="Cambria Math" w:hAnsi="Cambria Math"/>
                </w:rPr>
                <m:t xml:space="preserve"> </m:t>
              </m:r>
              <m:r>
                <m:rPr>
                  <m:nor/>
                </m:rPr>
                <w:rPr>
                  <w:rFonts w:ascii="Cambria Math" w:hAnsi="Cambria Math"/>
                </w:rPr>
                <m:t>- NKPExit (kumuliert)</m:t>
              </m:r>
            </m:den>
          </m:f>
          <m:r>
            <w:rPr>
              <w:rFonts w:ascii="Cambria Math" w:hAnsi="Cambria Math"/>
            </w:rPr>
            <m:t>*100%</m:t>
          </m:r>
        </m:oMath>
      </m:oMathPara>
    </w:p>
    <w:p w14:paraId="367C99F0" w14:textId="77777777" w:rsidR="000A58FE" w:rsidRDefault="000A58FE" w:rsidP="003C2438">
      <w:r>
        <w:t xml:space="preserve">Die Prüfgröße ergibt sich aus dem kumulierten Netzkontosaldo 2 (bezogen auf die letzten 12 Monate) dividiert durch die kumulierte Einspeiseallokation abzüglich der kumulierten </w:t>
      </w:r>
      <w:proofErr w:type="spellStart"/>
      <w:r>
        <w:t>NKPExit</w:t>
      </w:r>
      <w:proofErr w:type="spellEnd"/>
      <w:r>
        <w:t xml:space="preserve">-Werte des gleichen Zeitraums. Sollte der ungerundete Betrag der Prüfgröße größer oder gleich 3 % sein, so erachtet der MGV die übermittelte SLP Mehr-/Mindermengenmeldung </w:t>
      </w:r>
      <w:r w:rsidRPr="003A70E5">
        <w:rPr>
          <w:u w:val="single"/>
        </w:rPr>
        <w:t>zunächst</w:t>
      </w:r>
      <w:r>
        <w:t xml:space="preserve"> als unplausibel und stößt einen Klärungsprozess an.</w:t>
      </w:r>
    </w:p>
    <w:p w14:paraId="652A68DF" w14:textId="77777777" w:rsidR="000A58FE" w:rsidRPr="005B23A5" w:rsidRDefault="000A58FE" w:rsidP="003C2438">
      <w:pPr>
        <w:ind w:left="708"/>
        <w:rPr>
          <w:i/>
        </w:rPr>
      </w:pPr>
      <w:r w:rsidRPr="005B23A5">
        <w:rPr>
          <w:i/>
        </w:rPr>
        <w:t xml:space="preserve">Bsp.: Sendet der NB dem MGV eine Mengenmeldung für den </w:t>
      </w:r>
      <w:r>
        <w:rPr>
          <w:i/>
        </w:rPr>
        <w:t xml:space="preserve">Januar </w:t>
      </w:r>
      <w:r w:rsidRPr="005B23A5">
        <w:rPr>
          <w:i/>
        </w:rPr>
        <w:t>2017</w:t>
      </w:r>
      <w:r>
        <w:rPr>
          <w:i/>
        </w:rPr>
        <w:t>,</w:t>
      </w:r>
      <w:r w:rsidRPr="005B23A5">
        <w:rPr>
          <w:i/>
        </w:rPr>
        <w:t xml:space="preserve"> bezieht sich der kumulierte Netzkontosaldo 2 auf den Zeitraum Februar 2016 bis einschließlich Januar 2017. Der gleiche Zeitraum wird zur Berechnung der </w:t>
      </w:r>
      <w:r>
        <w:rPr>
          <w:i/>
        </w:rPr>
        <w:t xml:space="preserve">kumulierten Einspeiseallokation sowie der kumulierten </w:t>
      </w:r>
      <w:proofErr w:type="spellStart"/>
      <w:r>
        <w:rPr>
          <w:i/>
        </w:rPr>
        <w:t>NKPExit</w:t>
      </w:r>
      <w:proofErr w:type="spellEnd"/>
      <w:r>
        <w:rPr>
          <w:i/>
        </w:rPr>
        <w:t>-Werte</w:t>
      </w:r>
      <w:r w:rsidRPr="005B23A5">
        <w:rPr>
          <w:i/>
        </w:rPr>
        <w:t xml:space="preserve"> verwendet.</w:t>
      </w:r>
    </w:p>
    <w:p w14:paraId="2706274D" w14:textId="28015541" w:rsidR="000A58FE" w:rsidRDefault="000A58FE" w:rsidP="003C2438">
      <w:pPr>
        <w:rPr>
          <w:spacing w:val="-2"/>
        </w:rPr>
      </w:pPr>
      <w:r w:rsidRPr="00C736F1">
        <w:rPr>
          <w:spacing w:val="-2"/>
        </w:rPr>
        <w:t xml:space="preserve">Auf Nachfrage erhält der </w:t>
      </w:r>
      <w:r>
        <w:rPr>
          <w:spacing w:val="-2"/>
        </w:rPr>
        <w:t xml:space="preserve">MGV </w:t>
      </w:r>
      <w:r>
        <w:t>eine Gegenüberstellung der der jeweiligen Mehrmengenrechnung oder Mindermengengutschrift zugrunde</w:t>
      </w:r>
      <w:r w:rsidR="00246726">
        <w:t xml:space="preserve"> </w:t>
      </w:r>
      <w:r>
        <w:t>liegenden Allokations- und Verbrauchsdaten,</w:t>
      </w:r>
      <w:r w:rsidRPr="00C736F1">
        <w:rPr>
          <w:spacing w:val="-2"/>
        </w:rPr>
        <w:t xml:space="preserve"> bei Bedarf auch </w:t>
      </w:r>
      <w:r>
        <w:rPr>
          <w:spacing w:val="-2"/>
        </w:rPr>
        <w:t>lieferanten- oder</w:t>
      </w:r>
      <w:r w:rsidR="000241B7">
        <w:rPr>
          <w:spacing w:val="-2"/>
        </w:rPr>
        <w:t xml:space="preserve"> marktlokationsscharf</w:t>
      </w:r>
      <w:r>
        <w:rPr>
          <w:spacing w:val="-2"/>
        </w:rPr>
        <w:t>.</w:t>
      </w:r>
    </w:p>
    <w:p w14:paraId="321E8B37" w14:textId="77777777" w:rsidR="00E157A6" w:rsidRDefault="000A58FE" w:rsidP="003C2438">
      <w:r w:rsidRPr="008E5881">
        <w:t>Hinweis:</w:t>
      </w:r>
      <w:r>
        <w:t xml:space="preserve"> </w:t>
      </w:r>
      <w:r w:rsidRPr="00B422D5">
        <w:t>Aus gasfachlicher Sicht kann der Netzkontosal</w:t>
      </w:r>
      <w:r w:rsidRPr="00A82498">
        <w:t xml:space="preserve">do 2 nach </w:t>
      </w:r>
      <w:r>
        <w:t>plausibilisierter</w:t>
      </w:r>
      <w:r w:rsidRPr="00B422D5">
        <w:t xml:space="preserve"> </w:t>
      </w:r>
      <w:r>
        <w:t>Mehr-/Min</w:t>
      </w:r>
      <w:r w:rsidR="007F358A">
        <w:t>-</w:t>
      </w:r>
      <w:proofErr w:type="spellStart"/>
      <w:r>
        <w:t>dermengenmeldung</w:t>
      </w:r>
      <w:proofErr w:type="spellEnd"/>
      <w:r>
        <w:t xml:space="preserve"> </w:t>
      </w:r>
      <w:r w:rsidRPr="00B422D5">
        <w:t>wegen Netzverlusten, Brennwertdifferenzen</w:t>
      </w:r>
      <w:r w:rsidR="009D3ABC">
        <w:t xml:space="preserve"> etc. nicht auf n</w:t>
      </w:r>
      <w:r w:rsidRPr="001B1E82">
        <w:t>ull ausgeglichen sein</w:t>
      </w:r>
      <w:r>
        <w:t>.</w:t>
      </w:r>
    </w:p>
    <w:p w14:paraId="58CF9971" w14:textId="77777777" w:rsidR="00E157A6" w:rsidRDefault="000A58FE" w:rsidP="00372A70">
      <w:pPr>
        <w:pStyle w:val="berschrift3"/>
        <w:tabs>
          <w:tab w:val="num" w:pos="1134"/>
        </w:tabs>
        <w:spacing w:before="480"/>
        <w:ind w:left="1146" w:hanging="1106"/>
      </w:pPr>
      <w:bookmarkStart w:id="2167" w:name="_Toc410395203"/>
      <w:bookmarkStart w:id="2168" w:name="_Toc411597987"/>
      <w:bookmarkStart w:id="2169" w:name="_Ref412103245"/>
      <w:bookmarkStart w:id="2170" w:name="_Toc412661439"/>
      <w:bookmarkStart w:id="2171" w:name="_Toc111118566"/>
      <w:r w:rsidRPr="008E5881">
        <w:t>Korrektur einer Mehr-/Mindermengenabrechnung</w:t>
      </w:r>
      <w:bookmarkEnd w:id="2167"/>
      <w:bookmarkEnd w:id="2168"/>
      <w:bookmarkEnd w:id="2169"/>
      <w:bookmarkEnd w:id="2170"/>
      <w:bookmarkEnd w:id="2171"/>
    </w:p>
    <w:p w14:paraId="2F3E6370" w14:textId="77777777" w:rsidR="000A58FE" w:rsidRPr="0060515B" w:rsidRDefault="000A58FE" w:rsidP="003C2438">
      <w:r w:rsidRPr="0060515B">
        <w:t xml:space="preserve">Die Korrektur einer Mehr-/Mindermengenabrechnung erfolgt bei fehlerhafter Ermittlung bzw. Verwendung von Mengen </w:t>
      </w:r>
      <w:r>
        <w:t>oder</w:t>
      </w:r>
      <w:r w:rsidRPr="0060515B">
        <w:t xml:space="preserve"> Preisen oder bei nachträglichen Änderungen von Mengen. </w:t>
      </w:r>
    </w:p>
    <w:p w14:paraId="07797BEF" w14:textId="77777777" w:rsidR="000A58FE" w:rsidRPr="0060515B" w:rsidRDefault="000A58FE" w:rsidP="003C2438">
      <w:r w:rsidRPr="0060515B">
        <w:t xml:space="preserve">Sofern durch den NB Korrekturen der Mehr-/Mindermengen gegenüber den LF erforderlich sind, die eine Korrektur der Mehr-/Mindermengen </w:t>
      </w:r>
      <w:proofErr w:type="spellStart"/>
      <w:r w:rsidRPr="0060515B">
        <w:t>ggü</w:t>
      </w:r>
      <w:proofErr w:type="spellEnd"/>
      <w:r w:rsidRPr="0060515B">
        <w:t>. dem MGV notwendig machen, übermittelt der NB eine neue Mehr-/Mindermengenmeldung (jeweils eine für jeden betroffenen Anwendungsmonat) an den MGV. Diese ersetzt die bisherigen Mehr-/Mindermengenmel</w:t>
      </w:r>
      <w:r w:rsidRPr="0060515B">
        <w:softHyphen/>
        <w:t>dungen für diese Monate.</w:t>
      </w:r>
    </w:p>
    <w:p w14:paraId="5A9434CC" w14:textId="704796F8" w:rsidR="000A58FE" w:rsidRPr="0060515B" w:rsidRDefault="000A58FE" w:rsidP="003C2438">
      <w:r w:rsidRPr="0060515B">
        <w:lastRenderedPageBreak/>
        <w:t>Die ggf. bereits erfolgten Rechnungen bzw. Gutschriften, für die sich Änderungen ergeben haben, werden storniert</w:t>
      </w:r>
      <w:r>
        <w:t>, korrigiert</w:t>
      </w:r>
      <w:r w:rsidRPr="0060515B">
        <w:t>, neu erstellt und die neuen Mehr-/Mindermengen werden abgerechnet.</w:t>
      </w:r>
    </w:p>
    <w:p w14:paraId="02BA6010" w14:textId="05778DC6" w:rsidR="00E157A6" w:rsidRDefault="000A58FE" w:rsidP="003C2438">
      <w:pPr>
        <w:spacing w:before="120"/>
      </w:pPr>
      <w:r w:rsidRPr="0060515B">
        <w:t>Die Korrektur der Mehr-/Mindermengen gegenüber dem MGV kann entweder zeitnah und kontinuierlich im Nachgang zur Mehr-/Mindermengenkorrektur gegenüber dem LF erfolgen oder die Korrekturen werden gesammelt und dann aggregiert abgerechnet.</w:t>
      </w:r>
    </w:p>
    <w:p w14:paraId="4303F325" w14:textId="77777777" w:rsidR="000A58FE" w:rsidRPr="006E59D8" w:rsidRDefault="000A58FE" w:rsidP="003C2438">
      <w:pPr>
        <w:spacing w:before="240"/>
        <w:rPr>
          <w:u w:val="single"/>
        </w:rPr>
      </w:pPr>
      <w:r w:rsidRPr="00026760">
        <w:rPr>
          <w:u w:val="single"/>
        </w:rPr>
        <w:t>Beispiel aggregierte Abrechnung von Korrekturen:</w:t>
      </w:r>
    </w:p>
    <w:p w14:paraId="0993A82A" w14:textId="25AA5819" w:rsidR="000A58FE" w:rsidRDefault="000A58FE" w:rsidP="003C2438">
      <w:pPr>
        <w:spacing w:before="120"/>
      </w:pPr>
      <w:r>
        <w:t>Ursprüngliche Mehr-/Mindermengenmeldung April 20</w:t>
      </w:r>
      <w:r w:rsidR="00DC094D">
        <w:t xml:space="preserve">21 </w:t>
      </w:r>
      <w:r>
        <w:t>an MGV= 100 kWh (Mindermenge)</w:t>
      </w:r>
    </w:p>
    <w:p w14:paraId="00A715F3" w14:textId="2497D52E" w:rsidR="00D51374" w:rsidRDefault="003308C4" w:rsidP="007F76BC">
      <w:pPr>
        <w:pStyle w:val="Listenabsatz"/>
        <w:numPr>
          <w:ilvl w:val="0"/>
          <w:numId w:val="54"/>
        </w:numPr>
        <w:spacing w:before="120"/>
        <w:ind w:left="357" w:hanging="357"/>
        <w:contextualSpacing w:val="0"/>
      </w:pPr>
      <w:r>
        <w:t xml:space="preserve">Mengenkorrektur </w:t>
      </w:r>
      <w:proofErr w:type="spellStart"/>
      <w:r>
        <w:t>ggü</w:t>
      </w:r>
      <w:proofErr w:type="spellEnd"/>
      <w:r>
        <w:t xml:space="preserve">. LF A am 1. Oktober </w:t>
      </w:r>
      <w:r w:rsidR="000A58FE">
        <w:t>20</w:t>
      </w:r>
      <w:r w:rsidR="00DC094D">
        <w:t xml:space="preserve">21 </w:t>
      </w:r>
      <w:r w:rsidR="000A58FE">
        <w:t>für den Monat April 20</w:t>
      </w:r>
      <w:r w:rsidR="00DC094D">
        <w:t xml:space="preserve">21 </w:t>
      </w:r>
      <w:r w:rsidR="000A58FE">
        <w:rPr>
          <w:rFonts w:ascii="Wingdings" w:eastAsia="Wingdings" w:hAnsi="Wingdings" w:cs="Wingdings"/>
        </w:rPr>
        <w:sym w:font="Wingdings" w:char="F0E0"/>
      </w:r>
      <w:r w:rsidR="000A58FE">
        <w:t xml:space="preserve"> </w:t>
      </w:r>
      <w:r w:rsidR="00FD413C">
        <w:t>v</w:t>
      </w:r>
      <w:r w:rsidR="000A58FE">
        <w:t xml:space="preserve">erändert Mehr-/Mindermenge an MGV auf 90 kWh (Mindermenge). Da noch weitere Korrekturen </w:t>
      </w:r>
      <w:proofErr w:type="spellStart"/>
      <w:r w:rsidR="000A58FE">
        <w:t>ggü</w:t>
      </w:r>
      <w:proofErr w:type="spellEnd"/>
      <w:r w:rsidR="000A58FE">
        <w:t xml:space="preserve">. LF erforderlich sein könnten, erfolgt zu diesem Zeitpunkt noch keine Korrektur </w:t>
      </w:r>
      <w:proofErr w:type="spellStart"/>
      <w:r w:rsidR="000A58FE">
        <w:t>ggü</w:t>
      </w:r>
      <w:proofErr w:type="spellEnd"/>
      <w:r w:rsidR="000A58FE">
        <w:t>. dem MGV</w:t>
      </w:r>
    </w:p>
    <w:p w14:paraId="2501B1B8" w14:textId="6FDA021A" w:rsidR="00D51374" w:rsidRDefault="000A58FE" w:rsidP="007F76BC">
      <w:pPr>
        <w:pStyle w:val="Listenabsatz"/>
        <w:numPr>
          <w:ilvl w:val="0"/>
          <w:numId w:val="54"/>
        </w:numPr>
        <w:spacing w:before="120"/>
        <w:ind w:left="357" w:hanging="357"/>
        <w:contextualSpacing w:val="0"/>
      </w:pPr>
      <w:r>
        <w:t>Men</w:t>
      </w:r>
      <w:r w:rsidR="003308C4">
        <w:t xml:space="preserve">genkorrektur </w:t>
      </w:r>
      <w:proofErr w:type="spellStart"/>
      <w:r w:rsidR="003308C4">
        <w:t>ggü</w:t>
      </w:r>
      <w:proofErr w:type="spellEnd"/>
      <w:r w:rsidR="003308C4">
        <w:t xml:space="preserve">. LF B am 16. Oktober </w:t>
      </w:r>
      <w:r>
        <w:t>20</w:t>
      </w:r>
      <w:r w:rsidR="00DC094D">
        <w:t>21</w:t>
      </w:r>
      <w:r>
        <w:t xml:space="preserve"> für den Monat April 20</w:t>
      </w:r>
      <w:r w:rsidR="00DC094D">
        <w:t>21</w:t>
      </w:r>
      <w:r>
        <w:t xml:space="preserve"> </w:t>
      </w:r>
      <w:r>
        <w:rPr>
          <w:rFonts w:ascii="Wingdings" w:eastAsia="Wingdings" w:hAnsi="Wingdings" w:cs="Wingdings"/>
        </w:rPr>
        <w:sym w:font="Wingdings" w:char="F0E0"/>
      </w:r>
      <w:r>
        <w:t xml:space="preserve"> </w:t>
      </w:r>
      <w:r w:rsidR="00FD413C">
        <w:t>v</w:t>
      </w:r>
      <w:r>
        <w:t xml:space="preserve">erändert Mehr-/Mindermenge an MGV auf 85 kWh (Mindermenge). Da noch weitere Korrekturen </w:t>
      </w:r>
      <w:proofErr w:type="spellStart"/>
      <w:r>
        <w:t>ggü</w:t>
      </w:r>
      <w:proofErr w:type="spellEnd"/>
      <w:r>
        <w:t xml:space="preserve">. LF erforderlich sein könnten, erfolgt zu diesem Zeitpunkt noch keine Korrektur </w:t>
      </w:r>
      <w:proofErr w:type="spellStart"/>
      <w:r>
        <w:t>ggü</w:t>
      </w:r>
      <w:proofErr w:type="spellEnd"/>
      <w:r>
        <w:t>. dem MGV</w:t>
      </w:r>
    </w:p>
    <w:p w14:paraId="4D0B9A4A" w14:textId="198F88B9" w:rsidR="00D51374" w:rsidRDefault="000A58FE" w:rsidP="007F76BC">
      <w:pPr>
        <w:pStyle w:val="Listenabsatz"/>
        <w:numPr>
          <w:ilvl w:val="0"/>
          <w:numId w:val="54"/>
        </w:numPr>
        <w:spacing w:before="120"/>
        <w:ind w:left="357" w:hanging="357"/>
        <w:contextualSpacing w:val="0"/>
      </w:pPr>
      <w:r>
        <w:t>Men</w:t>
      </w:r>
      <w:r w:rsidR="003308C4">
        <w:t xml:space="preserve">genkorrektur </w:t>
      </w:r>
      <w:proofErr w:type="spellStart"/>
      <w:r w:rsidR="003308C4">
        <w:t>ggü</w:t>
      </w:r>
      <w:proofErr w:type="spellEnd"/>
      <w:r w:rsidR="003308C4">
        <w:t xml:space="preserve">. LF C am 15. Dezember </w:t>
      </w:r>
      <w:r>
        <w:t>20</w:t>
      </w:r>
      <w:r w:rsidR="00DC094D">
        <w:t xml:space="preserve">21 </w:t>
      </w:r>
      <w:r>
        <w:t>für den Monat April 20</w:t>
      </w:r>
      <w:r w:rsidR="00DC094D">
        <w:t>21</w:t>
      </w:r>
      <w:r>
        <w:t xml:space="preserve"> </w:t>
      </w:r>
      <w:r>
        <w:rPr>
          <w:rFonts w:ascii="Wingdings" w:eastAsia="Wingdings" w:hAnsi="Wingdings" w:cs="Wingdings"/>
        </w:rPr>
        <w:sym w:font="Wingdings" w:char="F0E0"/>
      </w:r>
      <w:r>
        <w:t xml:space="preserve"> </w:t>
      </w:r>
      <w:r w:rsidR="00FD413C">
        <w:t>v</w:t>
      </w:r>
      <w:r>
        <w:t xml:space="preserve">erändert Mehr-/Mindermenge an MGV auf 100 kWh (Mindermenge). Durch die Mengenkorrektur </w:t>
      </w:r>
      <w:proofErr w:type="spellStart"/>
      <w:r>
        <w:t>ggü</w:t>
      </w:r>
      <w:proofErr w:type="spellEnd"/>
      <w:r>
        <w:t>. LF C entfällt zum Zeitpunkt 15.</w:t>
      </w:r>
      <w:r w:rsidR="003308C4" w:rsidRPr="003308C4">
        <w:t xml:space="preserve"> </w:t>
      </w:r>
      <w:r w:rsidR="003308C4">
        <w:t xml:space="preserve">Dezember </w:t>
      </w:r>
      <w:r>
        <w:t>20</w:t>
      </w:r>
      <w:r w:rsidR="00DC094D">
        <w:t xml:space="preserve">21 </w:t>
      </w:r>
      <w:r>
        <w:t xml:space="preserve">das Erfordernis einer Korrektur der Mehr-/Mindermenge </w:t>
      </w:r>
      <w:proofErr w:type="spellStart"/>
      <w:r>
        <w:t>ggü</w:t>
      </w:r>
      <w:proofErr w:type="spellEnd"/>
      <w:r>
        <w:t>. dem MGV.</w:t>
      </w:r>
    </w:p>
    <w:p w14:paraId="512AE1EF" w14:textId="327CDCA0" w:rsidR="006E3950" w:rsidRDefault="000A58FE" w:rsidP="007F76BC">
      <w:pPr>
        <w:pStyle w:val="Listenabsatz"/>
        <w:numPr>
          <w:ilvl w:val="0"/>
          <w:numId w:val="54"/>
        </w:numPr>
        <w:spacing w:before="120"/>
        <w:ind w:left="357" w:hanging="357"/>
        <w:contextualSpacing w:val="0"/>
      </w:pPr>
      <w:r>
        <w:t>Men</w:t>
      </w:r>
      <w:r w:rsidR="003308C4">
        <w:t xml:space="preserve">genkorrektur </w:t>
      </w:r>
      <w:proofErr w:type="spellStart"/>
      <w:r w:rsidR="003308C4">
        <w:t>ggü</w:t>
      </w:r>
      <w:proofErr w:type="spellEnd"/>
      <w:r w:rsidR="003308C4">
        <w:t xml:space="preserve">. LF D am 22. Februar </w:t>
      </w:r>
      <w:r>
        <w:t>20</w:t>
      </w:r>
      <w:r w:rsidR="00DC094D">
        <w:t>22</w:t>
      </w:r>
      <w:r>
        <w:t xml:space="preserve"> für den Monat April 20</w:t>
      </w:r>
      <w:r w:rsidR="00DC094D">
        <w:t>21</w:t>
      </w:r>
      <w:r>
        <w:t xml:space="preserve"> </w:t>
      </w:r>
      <w:r>
        <w:rPr>
          <w:rFonts w:ascii="Wingdings" w:eastAsia="Wingdings" w:hAnsi="Wingdings" w:cs="Wingdings"/>
        </w:rPr>
        <w:sym w:font="Wingdings" w:char="F0E0"/>
      </w:r>
      <w:r w:rsidR="008F0645">
        <w:t xml:space="preserve"> </w:t>
      </w:r>
      <w:r w:rsidR="00FD413C">
        <w:t>v</w:t>
      </w:r>
      <w:r w:rsidR="008F0645">
        <w:t xml:space="preserve">erändert </w:t>
      </w:r>
      <w:r>
        <w:t>Mehr-/Mindermenge an MGV auf 110 kWh (Mindermenge). Der NB rechnet die neue Mindermenge mit dem MGV ab:</w:t>
      </w:r>
    </w:p>
    <w:p w14:paraId="752A7645" w14:textId="1AC2F43E" w:rsidR="006E3950" w:rsidRDefault="000A58FE" w:rsidP="007F76BC">
      <w:pPr>
        <w:pStyle w:val="Listenabsatz"/>
        <w:numPr>
          <w:ilvl w:val="1"/>
          <w:numId w:val="57"/>
        </w:numPr>
        <w:spacing w:before="120"/>
      </w:pPr>
      <w:r>
        <w:t>Übersendung der neuen Mehr-/Mindermengenmeldung April 20</w:t>
      </w:r>
      <w:r w:rsidR="00DC094D">
        <w:t>21</w:t>
      </w:r>
      <w:r>
        <w:t xml:space="preserve"> an MGV = 110 kWh (Mindermenge)</w:t>
      </w:r>
      <w:r w:rsidR="003308C4">
        <w:t>,</w:t>
      </w:r>
    </w:p>
    <w:p w14:paraId="79083D35" w14:textId="77777777" w:rsidR="006E3950" w:rsidRDefault="000A58FE" w:rsidP="007F76BC">
      <w:pPr>
        <w:pStyle w:val="Listenabsatz"/>
        <w:numPr>
          <w:ilvl w:val="1"/>
          <w:numId w:val="57"/>
        </w:numPr>
        <w:spacing w:before="120"/>
      </w:pPr>
      <w:r>
        <w:t>Stornierung der ursprünglichen Mindermengengutschrift</w:t>
      </w:r>
      <w:r w:rsidR="003308C4">
        <w:t>,</w:t>
      </w:r>
    </w:p>
    <w:p w14:paraId="4C211C1B" w14:textId="77777777" w:rsidR="006E3950" w:rsidRDefault="000A58FE" w:rsidP="007F76BC">
      <w:pPr>
        <w:pStyle w:val="Listenabsatz"/>
        <w:numPr>
          <w:ilvl w:val="1"/>
          <w:numId w:val="57"/>
        </w:numPr>
        <w:spacing w:before="120"/>
      </w:pPr>
      <w:r>
        <w:t>Erstellung der neuen Mindermengengutschrift</w:t>
      </w:r>
      <w:r w:rsidR="003308C4">
        <w:t>,</w:t>
      </w:r>
    </w:p>
    <w:p w14:paraId="2D400968" w14:textId="77777777" w:rsidR="006E3950" w:rsidRDefault="000A58FE" w:rsidP="007F76BC">
      <w:pPr>
        <w:pStyle w:val="Listenabsatz"/>
        <w:numPr>
          <w:ilvl w:val="1"/>
          <w:numId w:val="57"/>
        </w:numPr>
        <w:spacing w:before="120"/>
      </w:pPr>
      <w:r>
        <w:t>Abrechnung der neu entstandenen Mindermenge</w:t>
      </w:r>
      <w:r w:rsidR="003308C4">
        <w:t>.</w:t>
      </w:r>
    </w:p>
    <w:p w14:paraId="0CB5AD35" w14:textId="650646C8" w:rsidR="000A58FE" w:rsidRDefault="000A58FE" w:rsidP="003C2438">
      <w:pPr>
        <w:spacing w:before="120"/>
      </w:pPr>
      <w:r w:rsidRPr="0060515B">
        <w:t xml:space="preserve">Darüber hinaus können Stornierungen von Mehrmengenrechnungen bzw. Mindermengengutschriften aufgrund formaler Fehler im Zuge der Rechnungsstellung (z. B. Angabe falscher Rechnungsadresse) oder falscher Mengenangaben (durch Eingabefehler) erfolgen. In diesem Fall ist ein erneutes Versenden der Mehr-/Mindermengenmeldung nicht erforderlich. Hier </w:t>
      </w:r>
      <w:r w:rsidR="008D55D4">
        <w:t>sind</w:t>
      </w:r>
      <w:r w:rsidRPr="0060515B">
        <w:t xml:space="preserve"> die Stornierung und der Neuversand der Mehrmengenrechnung bzw. der Mindermengengutschrift ausreichend.</w:t>
      </w:r>
    </w:p>
    <w:p w14:paraId="05E7921C" w14:textId="77777777" w:rsidR="00DC094D" w:rsidRDefault="00DC094D" w:rsidP="00DC094D">
      <w:pPr>
        <w:spacing w:before="120"/>
      </w:pPr>
      <w:r>
        <w:t>Sollen Mehr-/Mindermengenabrechnungen zwischen NB und MGV nach dem 01.10.2021, für Leistungszeiträume vor dem 01.10.2021 korrigiert werden, ist Folgendes zu beachten:</w:t>
      </w:r>
    </w:p>
    <w:p w14:paraId="1DE515D3" w14:textId="62E4A69B" w:rsidR="00CF5C85" w:rsidRPr="00355558" w:rsidRDefault="00CF5C85" w:rsidP="00CF5C85">
      <w:pPr>
        <w:spacing w:before="120"/>
      </w:pPr>
      <w:r w:rsidRPr="00355558">
        <w:lastRenderedPageBreak/>
        <w:t>Die Mehr-/Mindermengenabrechnungen werden mit Referenz auf die ursprüngliche Rechnung storniert. Im Anschluss werden die Mengen für d</w:t>
      </w:r>
      <w:r w:rsidR="00E544CB" w:rsidRPr="00355558">
        <w:t>as</w:t>
      </w:r>
      <w:r w:rsidRPr="00355558">
        <w:t xml:space="preserve"> THE-Netzkont</w:t>
      </w:r>
      <w:r w:rsidR="00E544CB" w:rsidRPr="00355558">
        <w:t>o</w:t>
      </w:r>
      <w:r w:rsidRPr="00355558">
        <w:t xml:space="preserve"> neu aggregiert und mittels Mehr-/Mindermengenmeldung, welche die THE-Netzkontonummer beinhaltet sowie die Mehr-/Mindermengenabrechnung die auf die Mehr-Mindermengenmeldung referenziert an den MGV übermittelt.</w:t>
      </w:r>
    </w:p>
    <w:p w14:paraId="78830243" w14:textId="78D86D75" w:rsidR="00CF5C85" w:rsidRPr="00355558" w:rsidRDefault="00CF5C85" w:rsidP="00CF5C85">
      <w:pPr>
        <w:spacing w:before="120"/>
        <w:rPr>
          <w:u w:val="single"/>
        </w:rPr>
      </w:pPr>
      <w:r w:rsidRPr="00355558">
        <w:rPr>
          <w:u w:val="single"/>
        </w:rPr>
        <w:t>Beispiel:</w:t>
      </w:r>
    </w:p>
    <w:p w14:paraId="54FAB089" w14:textId="77777777" w:rsidR="00CF5C85" w:rsidRPr="00355558" w:rsidRDefault="00CF5C85" w:rsidP="00CF5C85">
      <w:pPr>
        <w:spacing w:before="120"/>
      </w:pPr>
      <w:r w:rsidRPr="00355558">
        <w:t>Bisher abgerechnete Mehr-/Mindermengen für den Anwendungsmonat Juni 2020:</w:t>
      </w:r>
    </w:p>
    <w:p w14:paraId="30535CB3" w14:textId="77777777" w:rsidR="00CF5C85" w:rsidRPr="00355558" w:rsidRDefault="00CF5C85" w:rsidP="00CF5C85">
      <w:pPr>
        <w:spacing w:before="120"/>
      </w:pPr>
      <w:r w:rsidRPr="00355558">
        <w:t xml:space="preserve">Ursprüngliche Rechnung NCG-H </w:t>
      </w:r>
      <w:r w:rsidRPr="00355558">
        <w:tab/>
      </w:r>
      <w:r w:rsidRPr="00355558">
        <w:tab/>
        <w:t xml:space="preserve">100 kWh Mindermenge </w:t>
      </w:r>
      <w:r w:rsidRPr="00355558">
        <w:br/>
        <w:t xml:space="preserve">Ursprüngliche Rechnung GASPOOL-H </w:t>
      </w:r>
      <w:r w:rsidRPr="00355558">
        <w:tab/>
        <w:t>200 kWh Mehrmenge</w:t>
      </w:r>
    </w:p>
    <w:p w14:paraId="09180C35" w14:textId="77777777" w:rsidR="00CF5C85" w:rsidRPr="00355558" w:rsidRDefault="00CF5C85" w:rsidP="00CF5C85">
      <w:pPr>
        <w:spacing w:before="120"/>
      </w:pPr>
      <w:r w:rsidRPr="00355558">
        <w:t>Storno beider Rechnungen mit Referenz auf die Ursprungsrechnungen.</w:t>
      </w:r>
    </w:p>
    <w:p w14:paraId="7A99042C" w14:textId="0EDCC9D8" w:rsidR="00CF5C85" w:rsidRPr="00355558" w:rsidRDefault="00CF5C85" w:rsidP="00CF5C85">
      <w:pPr>
        <w:spacing w:before="120"/>
      </w:pPr>
      <w:r w:rsidRPr="00355558">
        <w:t xml:space="preserve">Angefallene Korrekturen </w:t>
      </w:r>
      <w:proofErr w:type="spellStart"/>
      <w:r w:rsidRPr="00355558">
        <w:t>ggü</w:t>
      </w:r>
      <w:proofErr w:type="spellEnd"/>
      <w:r w:rsidRPr="00355558">
        <w:t xml:space="preserve"> LF:</w:t>
      </w:r>
      <w:r w:rsidRPr="00355558">
        <w:br/>
        <w:t xml:space="preserve">Korrekturbedarf NCG-H </w:t>
      </w:r>
      <w:r w:rsidRPr="00355558">
        <w:tab/>
      </w:r>
      <w:r w:rsidRPr="00355558">
        <w:tab/>
      </w:r>
      <w:r w:rsidRPr="00355558">
        <w:tab/>
        <w:t>20 kWh Mehrmenge</w:t>
      </w:r>
      <w:r w:rsidRPr="00355558">
        <w:br/>
        <w:t xml:space="preserve">Korrekturbedarf GASPOOL-H </w:t>
      </w:r>
      <w:r w:rsidRPr="00355558">
        <w:tab/>
      </w:r>
      <w:r w:rsidRPr="00355558">
        <w:tab/>
        <w:t>50 kWh Mindermenge</w:t>
      </w:r>
    </w:p>
    <w:p w14:paraId="5B4211A8" w14:textId="77777777" w:rsidR="00CF5C85" w:rsidRPr="00355558" w:rsidRDefault="00CF5C85" w:rsidP="00CF5C85">
      <w:pPr>
        <w:spacing w:before="120"/>
      </w:pPr>
      <w:r w:rsidRPr="00355558">
        <w:t>Aggregation und korrigierte Abrechnung für das THE-Netzkonto:</w:t>
      </w:r>
    </w:p>
    <w:p w14:paraId="10AC35AC" w14:textId="77777777" w:rsidR="00CF5C85" w:rsidRPr="009D69AD" w:rsidRDefault="00CF5C85" w:rsidP="00CF5C85">
      <w:pPr>
        <w:spacing w:before="120"/>
      </w:pPr>
      <w:r w:rsidRPr="00355558">
        <w:t>Neue Meldung und Rechnung THE-H</w:t>
      </w:r>
      <w:r w:rsidRPr="00355558">
        <w:tab/>
        <w:t>70 kWh Mehrmenge</w:t>
      </w:r>
    </w:p>
    <w:p w14:paraId="1FDCF006" w14:textId="780DBAF1" w:rsidR="00DC094D" w:rsidRPr="00CF5C85" w:rsidRDefault="00DC094D" w:rsidP="00DC094D">
      <w:pPr>
        <w:spacing w:before="120"/>
        <w:rPr>
          <w:strike/>
        </w:rPr>
      </w:pPr>
    </w:p>
    <w:p w14:paraId="3CD65780" w14:textId="7D8E7ED0" w:rsidR="00DC094D" w:rsidRPr="0060515B" w:rsidRDefault="00CD72AB" w:rsidP="003C2438">
      <w:pPr>
        <w:spacing w:before="120"/>
      </w:pPr>
      <w:r w:rsidRPr="0083612B">
        <w:rPr>
          <w:rFonts w:cs="Arial"/>
        </w:rPr>
        <w:t>Korrekturen von Mehrmengenrechnungen bzw. Mindermengengutschriften g</w:t>
      </w:r>
      <w:r>
        <w:rPr>
          <w:rFonts w:cs="Arial"/>
        </w:rPr>
        <w:t>egenüber</w:t>
      </w:r>
      <w:r w:rsidRPr="0083612B">
        <w:rPr>
          <w:rFonts w:cs="Arial"/>
        </w:rPr>
        <w:t xml:space="preserve"> dem Marktgebietsverantwortlichen sind nach dem Ablauf von drei Jahren mit Ablauf des Kalenderjahres nach Zugang nur im Falle von Korrekturen von Netznutzungsabrechnungen des Netzbetreibers gegenüber dem Transportkunden mit Auswirkungen auf die Mehrmengenrechnung bzw. Mindermengengutschriften zulässig.</w:t>
      </w:r>
    </w:p>
    <w:p w14:paraId="2F3ECD8A" w14:textId="7643F845" w:rsidR="00E157A6" w:rsidRDefault="000A58FE" w:rsidP="00372A70">
      <w:pPr>
        <w:pStyle w:val="berschrift3"/>
        <w:tabs>
          <w:tab w:val="num" w:pos="1134"/>
        </w:tabs>
        <w:spacing w:before="480"/>
        <w:ind w:left="1146" w:hanging="1106"/>
      </w:pPr>
      <w:bookmarkStart w:id="2172" w:name="_Toc410395204"/>
      <w:bookmarkStart w:id="2173" w:name="_Toc411597988"/>
      <w:bookmarkStart w:id="2174" w:name="_Toc412661440"/>
      <w:bookmarkStart w:id="2175" w:name="_Toc111118567"/>
      <w:r w:rsidRPr="0060515B">
        <w:t>Anreizsystem zur Durchführung der Mehr-/Mindermengenabrechnung</w:t>
      </w:r>
      <w:bookmarkEnd w:id="2172"/>
      <w:bookmarkEnd w:id="2173"/>
      <w:bookmarkEnd w:id="2174"/>
      <w:r w:rsidR="005021AD">
        <w:t xml:space="preserve"> für Leistungszeiträume</w:t>
      </w:r>
      <w:r w:rsidR="00DB30C7">
        <w:t xml:space="preserve"> bis </w:t>
      </w:r>
      <w:r w:rsidR="005021AD">
        <w:t>30. September</w:t>
      </w:r>
      <w:r w:rsidR="00DB30C7">
        <w:t xml:space="preserve"> 2020</w:t>
      </w:r>
      <w:bookmarkEnd w:id="2175"/>
    </w:p>
    <w:p w14:paraId="175FF6A2" w14:textId="289877F6" w:rsidR="000A58FE" w:rsidRPr="0060515B" w:rsidRDefault="000A58FE" w:rsidP="003C2438">
      <w:r w:rsidRPr="0060515B">
        <w:t xml:space="preserve">Im Falle von fehlenden SSQNOT-Meldungen </w:t>
      </w:r>
      <w:r w:rsidR="00DB30C7" w:rsidRPr="006751E7">
        <w:t xml:space="preserve">für Leistungszeiträume bis </w:t>
      </w:r>
      <w:r w:rsidR="005021AD">
        <w:t xml:space="preserve">30. September </w:t>
      </w:r>
      <w:r w:rsidR="00DB30C7" w:rsidRPr="006751E7">
        <w:t>2020</w:t>
      </w:r>
      <w:r w:rsidR="00DB30C7">
        <w:t xml:space="preserve"> </w:t>
      </w:r>
      <w:r w:rsidRPr="0060515B">
        <w:t>wird durch den MGV nach entsprechendem Fristablauf eine Abrechnung erstellt. Diese Abrechnung stellt eine Pönalzahlung dar und erfolgt unabhängig davon, ob es sich um eine Mehr- oder um eine Mindermenge handelt.</w:t>
      </w:r>
    </w:p>
    <w:p w14:paraId="578573FA" w14:textId="21EC29F3" w:rsidR="000A58FE" w:rsidRPr="0060515B" w:rsidRDefault="000A58FE" w:rsidP="003C2438">
      <w:r w:rsidRPr="0060515B">
        <w:t>Die Höhe der Pönalisierung ist abhängig von:</w:t>
      </w:r>
    </w:p>
    <w:p w14:paraId="35BF1078" w14:textId="77777777" w:rsidR="000A58FE" w:rsidRPr="0060515B" w:rsidRDefault="000A58FE" w:rsidP="007F76BC">
      <w:pPr>
        <w:pStyle w:val="Listenabsatz"/>
        <w:numPr>
          <w:ilvl w:val="0"/>
          <w:numId w:val="39"/>
        </w:numPr>
        <w:ind w:left="284" w:hanging="284"/>
        <w:contextualSpacing w:val="0"/>
      </w:pPr>
      <w:r w:rsidRPr="0060515B">
        <w:t>der Größe des NB (gemessen an der SLP</w:t>
      </w:r>
      <w:r w:rsidR="00FF6C5E">
        <w:t>-</w:t>
      </w:r>
      <w:r w:rsidRPr="0060515B">
        <w:t>Ausspeiseallokation),</w:t>
      </w:r>
    </w:p>
    <w:p w14:paraId="7DE78C7A" w14:textId="77777777" w:rsidR="000A58FE" w:rsidRPr="0060515B" w:rsidRDefault="00977A12" w:rsidP="007F76BC">
      <w:pPr>
        <w:pStyle w:val="Listenabsatz"/>
        <w:numPr>
          <w:ilvl w:val="0"/>
          <w:numId w:val="39"/>
        </w:numPr>
        <w:ind w:left="284" w:hanging="284"/>
        <w:contextualSpacing w:val="0"/>
      </w:pPr>
      <w:r>
        <w:t xml:space="preserve">und </w:t>
      </w:r>
      <w:r w:rsidR="000A58FE" w:rsidRPr="0060515B">
        <w:t>dem Zeitraum des Verzugs der Datenmeldung</w:t>
      </w:r>
      <w:r>
        <w:t>.</w:t>
      </w:r>
    </w:p>
    <w:p w14:paraId="37053010" w14:textId="77777777" w:rsidR="000A58FE" w:rsidRPr="0060515B" w:rsidRDefault="000A58FE" w:rsidP="003C2438">
      <w:r w:rsidRPr="0060515B">
        <w:t xml:space="preserve">Zur Berücksichtigung der Größe eines NB werden die NB anhand der </w:t>
      </w:r>
      <w:r w:rsidR="00977A12">
        <w:t>SLP-</w:t>
      </w:r>
      <w:r w:rsidRPr="0060515B">
        <w:t>Ausspeiseallokation des jeweils vorangegangenen Kalenderjahres in Größengruppen eingeteilt, so dass sich die folgenden Größengruppen ergeben:</w:t>
      </w:r>
    </w:p>
    <w:p w14:paraId="5D11A682" w14:textId="77777777" w:rsidR="000A58FE" w:rsidRPr="0060515B" w:rsidRDefault="000A58FE" w:rsidP="007F76BC">
      <w:pPr>
        <w:pStyle w:val="Listenabsatz"/>
        <w:numPr>
          <w:ilvl w:val="0"/>
          <w:numId w:val="39"/>
        </w:numPr>
        <w:ind w:left="284" w:hanging="284"/>
        <w:contextualSpacing w:val="0"/>
      </w:pPr>
      <w:r w:rsidRPr="0060515B">
        <w:lastRenderedPageBreak/>
        <w:t>Klein = Ausspeiseallokation &lt; 200 Mio. kWh</w:t>
      </w:r>
    </w:p>
    <w:p w14:paraId="092DBB1F" w14:textId="61013617" w:rsidR="000A58FE" w:rsidRPr="0060515B" w:rsidRDefault="000A58FE" w:rsidP="007F76BC">
      <w:pPr>
        <w:pStyle w:val="Listenabsatz"/>
        <w:numPr>
          <w:ilvl w:val="0"/>
          <w:numId w:val="39"/>
        </w:numPr>
        <w:ind w:left="284" w:hanging="284"/>
        <w:contextualSpacing w:val="0"/>
      </w:pPr>
      <w:r w:rsidRPr="0060515B">
        <w:t xml:space="preserve">Mittel = Ausspeiseallokation </w:t>
      </w:r>
      <w:r w:rsidR="005021AD" w:rsidRPr="006D1E37">
        <w:rPr>
          <w:rFonts w:cs="Arial"/>
        </w:rPr>
        <w:t>≥</w:t>
      </w:r>
      <w:r w:rsidR="005021AD" w:rsidRPr="005021AD">
        <w:rPr>
          <w:rFonts w:cs="Arial"/>
        </w:rPr>
        <w:t xml:space="preserve"> 2</w:t>
      </w:r>
      <w:r w:rsidR="00AD4CCA">
        <w:rPr>
          <w:rFonts w:cs="Arial"/>
        </w:rPr>
        <w:t>00</w:t>
      </w:r>
      <w:r w:rsidR="005021AD" w:rsidRPr="005021AD">
        <w:rPr>
          <w:rFonts w:cs="Arial"/>
        </w:rPr>
        <w:t xml:space="preserve"> Mio</w:t>
      </w:r>
      <w:r w:rsidR="00AD4CCA">
        <w:rPr>
          <w:rFonts w:cs="Arial"/>
        </w:rPr>
        <w:t>.</w:t>
      </w:r>
      <w:r w:rsidR="005021AD" w:rsidRPr="005021AD">
        <w:rPr>
          <w:rFonts w:cs="Arial"/>
        </w:rPr>
        <w:t xml:space="preserve"> kWh bis</w:t>
      </w:r>
      <w:r w:rsidR="005021AD" w:rsidRPr="002212DD">
        <w:rPr>
          <w:rFonts w:cs="Arial"/>
          <w:sz w:val="24"/>
        </w:rPr>
        <w:t xml:space="preserve"> </w:t>
      </w:r>
      <w:r w:rsidRPr="0060515B">
        <w:t>&lt; 5.000 Mio. kWh</w:t>
      </w:r>
    </w:p>
    <w:p w14:paraId="3A704B56" w14:textId="17AA43F1" w:rsidR="000A58FE" w:rsidRPr="0060515B" w:rsidRDefault="000A58FE" w:rsidP="007F76BC">
      <w:pPr>
        <w:pStyle w:val="Listenabsatz"/>
        <w:numPr>
          <w:ilvl w:val="0"/>
          <w:numId w:val="39"/>
        </w:numPr>
        <w:ind w:left="284" w:hanging="284"/>
        <w:contextualSpacing w:val="0"/>
      </w:pPr>
      <w:r w:rsidRPr="0060515B">
        <w:t xml:space="preserve">Groß = Ausspeiseallokation </w:t>
      </w:r>
      <w:r w:rsidR="005021AD" w:rsidRPr="006D1E37">
        <w:rPr>
          <w:rFonts w:cs="Arial"/>
        </w:rPr>
        <w:t>≥</w:t>
      </w:r>
      <w:r w:rsidR="005021AD" w:rsidRPr="006D1E37">
        <w:t xml:space="preserve"> </w:t>
      </w:r>
      <w:r w:rsidRPr="0060515B">
        <w:t>5.000 Mio. kWh</w:t>
      </w:r>
    </w:p>
    <w:p w14:paraId="0106E921" w14:textId="3F4EF30D" w:rsidR="000A58FE" w:rsidRPr="0060515B" w:rsidRDefault="000A58FE" w:rsidP="003C2438">
      <w:r w:rsidRPr="0060515B">
        <w:t>Sollten keine Vorjahres-Ausspeisewerte vorliegen (z.</w:t>
      </w:r>
      <w:r w:rsidR="00C22517">
        <w:t> </w:t>
      </w:r>
      <w:r w:rsidRPr="0060515B">
        <w:t>B. aufgrund von Neugründungen) wird durch den MGV eine Abschätzung bzw. eine Hochrechnung der jährlichen Ausspeiseallokation – auf Grundlage der bereits vorliegenden Werte – vorgenommen. Zur Ermittlung der je Größengruppe anfallenden Höhe der Pönale wurde die anzusetzende vorjährliche Ausspeiseallokation mit dem Faktor 0,000</w:t>
      </w:r>
      <w:r w:rsidR="00515269">
        <w:t>2 bewertet und ein Preis von 3 C</w:t>
      </w:r>
      <w:r w:rsidRPr="0060515B">
        <w:t>t/kWh angesetzt. Die Pönalzahlungsbeträge werden in</w:t>
      </w:r>
      <w:r w:rsidRPr="0060515B" w:rsidDel="00815124">
        <w:t xml:space="preserve"> </w:t>
      </w:r>
      <w:r w:rsidR="00815124">
        <w:t>§ </w:t>
      </w:r>
      <w:r w:rsidR="003B19EE">
        <w:t>49</w:t>
      </w:r>
      <w:r w:rsidRPr="0060515B">
        <w:t xml:space="preserve">, Ziffer </w:t>
      </w:r>
      <w:r w:rsidR="00156ED0">
        <w:t>9</w:t>
      </w:r>
      <w:r w:rsidRPr="0060515B">
        <w:t xml:space="preserve"> im Hauptteil der </w:t>
      </w:r>
      <w:proofErr w:type="spellStart"/>
      <w:r w:rsidRPr="0060515B">
        <w:t>KoV</w:t>
      </w:r>
      <w:proofErr w:type="spellEnd"/>
      <w:r w:rsidRPr="0060515B">
        <w:t xml:space="preserve"> genannt.</w:t>
      </w:r>
    </w:p>
    <w:p w14:paraId="012A4406" w14:textId="173F8541" w:rsidR="000A58FE" w:rsidRDefault="000A58FE" w:rsidP="003C2438">
      <w:r w:rsidRPr="0060515B">
        <w:t xml:space="preserve">Eine erste Pönalisierung wird durch den MGV zum Zeitpunkt M+5M+1WT in Rechnung gestellt. Anschließend erfolgen ggf. weitere Pönalrechnungen im Rhythmus von jeweils 6 Monaten, bis der Eingang der SSQNOT Meldung erfolgt. </w:t>
      </w:r>
      <w:r w:rsidR="00DC094D" w:rsidRPr="00FB7486">
        <w:t>Das Zahlungsziel bet</w:t>
      </w:r>
      <w:r w:rsidR="00DC094D">
        <w:t>rägt 10 Werktage bezogen auf den Rechnungseingang.</w:t>
      </w:r>
      <w:r w:rsidR="00DC094D" w:rsidRPr="00DC094D">
        <w:t xml:space="preserve"> </w:t>
      </w:r>
      <w:r w:rsidR="00DC094D">
        <w:t xml:space="preserve">Der Marktgebietsverantwortliche übermittelt die Abrechnung in Form von elektronischen Rechnungen gem. </w:t>
      </w:r>
      <w:r w:rsidR="00815124">
        <w:t>§ </w:t>
      </w:r>
      <w:r w:rsidR="00DC094D">
        <w:t>14 Abs. 1 Satz 8 UstG.</w:t>
      </w:r>
    </w:p>
    <w:p w14:paraId="4D805406" w14:textId="77777777" w:rsidR="00DB30C7" w:rsidRDefault="00DB30C7" w:rsidP="00DB30C7">
      <w:pPr>
        <w:pStyle w:val="berschrift3"/>
        <w:tabs>
          <w:tab w:val="num" w:pos="1134"/>
        </w:tabs>
        <w:spacing w:before="480"/>
        <w:ind w:left="1146" w:hanging="1106"/>
      </w:pPr>
      <w:bookmarkStart w:id="2176" w:name="_Toc111118568"/>
      <w:r w:rsidRPr="0060515B">
        <w:t>Anreizsystem zur Durchführung der Mehr-/Mindermengenabrechnung</w:t>
      </w:r>
      <w:r>
        <w:t xml:space="preserve"> für Leistungszeiträume ab Oktober 2020</w:t>
      </w:r>
      <w:bookmarkEnd w:id="2176"/>
    </w:p>
    <w:p w14:paraId="4F245835" w14:textId="51C9EBA7" w:rsidR="00DB30C7" w:rsidRPr="0060515B" w:rsidRDefault="00DB30C7" w:rsidP="00DB30C7">
      <w:r w:rsidRPr="00094661">
        <w:t>Im Falle von fehlenden Mehr-/Mindermengenabrechnungen (INVOIC</w:t>
      </w:r>
      <w:r>
        <w:t>)</w:t>
      </w:r>
      <w:r w:rsidR="00FF798D" w:rsidRPr="006E7863">
        <w:t xml:space="preserve"> </w:t>
      </w:r>
      <w:r>
        <w:t xml:space="preserve">für Leistungszeiträume ab Oktober 2020 </w:t>
      </w:r>
      <w:r w:rsidRPr="0060515B">
        <w:t>wird durch den MGV nach entsprechendem Fristablauf eine Abrechnung erstellt. Diese Abrechnung stellt eine Pönalzahlung dar und erfolgt unabhängig davon, ob es sich um eine Mehr- oder um eine Mindermenge handelt.</w:t>
      </w:r>
      <w:r w:rsidR="00043563">
        <w:t xml:space="preserve"> Eine INVOIC gilt auch dann als nicht versendet, wenn sie vom Marktgebietsverantwortlichen durch eine APERAK </w:t>
      </w:r>
      <w:r w:rsidR="003D5BA3">
        <w:t xml:space="preserve">mit einschlägigem Ablehnungsgrund </w:t>
      </w:r>
      <w:r w:rsidR="00043563">
        <w:t>abgelehnt wurde.</w:t>
      </w:r>
    </w:p>
    <w:p w14:paraId="4058DBAB" w14:textId="5E6D04D4" w:rsidR="00DB30C7" w:rsidRPr="0060515B" w:rsidRDefault="00DB30C7" w:rsidP="00DB30C7">
      <w:r w:rsidRPr="0060515B">
        <w:t>Die Höhe der Pönalisierung ist abhängig von:</w:t>
      </w:r>
    </w:p>
    <w:p w14:paraId="2BF016F9" w14:textId="77777777" w:rsidR="00DB30C7" w:rsidRPr="0060515B" w:rsidRDefault="00DB30C7" w:rsidP="007F76BC">
      <w:pPr>
        <w:pStyle w:val="Listenabsatz"/>
        <w:numPr>
          <w:ilvl w:val="0"/>
          <w:numId w:val="39"/>
        </w:numPr>
        <w:ind w:left="284" w:hanging="284"/>
        <w:contextualSpacing w:val="0"/>
      </w:pPr>
      <w:r w:rsidRPr="0060515B">
        <w:t>der Größe des NB (gemessen an der SLP</w:t>
      </w:r>
      <w:r>
        <w:t>-</w:t>
      </w:r>
      <w:r w:rsidRPr="0060515B">
        <w:t>Ausspeiseallokation),</w:t>
      </w:r>
    </w:p>
    <w:p w14:paraId="34AE1EDB" w14:textId="77777777" w:rsidR="00DB30C7" w:rsidRPr="0060515B" w:rsidRDefault="00DB30C7" w:rsidP="007F76BC">
      <w:pPr>
        <w:pStyle w:val="Listenabsatz"/>
        <w:numPr>
          <w:ilvl w:val="0"/>
          <w:numId w:val="39"/>
        </w:numPr>
        <w:ind w:left="284" w:hanging="284"/>
        <w:contextualSpacing w:val="0"/>
      </w:pPr>
      <w:r>
        <w:t xml:space="preserve">und </w:t>
      </w:r>
      <w:r w:rsidRPr="0060515B">
        <w:t>dem Zeitraum des Verzugs der Datenmeldung</w:t>
      </w:r>
      <w:r>
        <w:t>.</w:t>
      </w:r>
    </w:p>
    <w:p w14:paraId="16E28D94" w14:textId="77777777" w:rsidR="00DB30C7" w:rsidRPr="0060515B" w:rsidRDefault="00DB30C7" w:rsidP="00DB30C7">
      <w:r w:rsidRPr="0060515B">
        <w:t xml:space="preserve">Zur Berücksichtigung der Größe eines NB werden die NB anhand der </w:t>
      </w:r>
      <w:r>
        <w:t>SLP-</w:t>
      </w:r>
      <w:r w:rsidRPr="0060515B">
        <w:t>Ausspeiseallokation des jeweils vorangegangenen Kalenderjahres in Größengruppen eingeteilt, so dass sich die folgenden Größengruppen ergeben:</w:t>
      </w:r>
    </w:p>
    <w:p w14:paraId="0C5E2E53" w14:textId="77777777" w:rsidR="00DB30C7" w:rsidRPr="0060515B" w:rsidRDefault="00DB30C7" w:rsidP="007F76BC">
      <w:pPr>
        <w:pStyle w:val="Listenabsatz"/>
        <w:numPr>
          <w:ilvl w:val="0"/>
          <w:numId w:val="39"/>
        </w:numPr>
        <w:ind w:left="284" w:hanging="284"/>
        <w:contextualSpacing w:val="0"/>
      </w:pPr>
      <w:r w:rsidRPr="0060515B">
        <w:t>Klein = Ausspeiseallokation &lt; 200 Mio. kWh</w:t>
      </w:r>
    </w:p>
    <w:p w14:paraId="1423EB8A" w14:textId="3F89F386" w:rsidR="00DB30C7" w:rsidRPr="004C7697" w:rsidRDefault="00DB30C7" w:rsidP="007F76BC">
      <w:pPr>
        <w:pStyle w:val="Listenabsatz"/>
        <w:numPr>
          <w:ilvl w:val="0"/>
          <w:numId w:val="39"/>
        </w:numPr>
        <w:ind w:left="284" w:hanging="284"/>
        <w:contextualSpacing w:val="0"/>
      </w:pPr>
      <w:r w:rsidRPr="0060515B">
        <w:t xml:space="preserve">Mittel = </w:t>
      </w:r>
      <w:r w:rsidRPr="004C7697">
        <w:t xml:space="preserve">Ausspeiseallokation </w:t>
      </w:r>
      <w:r w:rsidR="005021AD" w:rsidRPr="004C7697">
        <w:rPr>
          <w:rFonts w:cs="Arial"/>
        </w:rPr>
        <w:t>≥ 200 Mio. kWh bis</w:t>
      </w:r>
      <w:r w:rsidR="005021AD" w:rsidRPr="004C7697">
        <w:rPr>
          <w:rFonts w:cs="Arial"/>
          <w:sz w:val="24"/>
        </w:rPr>
        <w:t xml:space="preserve"> </w:t>
      </w:r>
      <w:r w:rsidRPr="004C7697">
        <w:t>&lt; 5.000 Mio. kWh</w:t>
      </w:r>
    </w:p>
    <w:p w14:paraId="410FC840" w14:textId="6A586B5E" w:rsidR="00DB30C7" w:rsidRPr="0060515B" w:rsidRDefault="00DB30C7" w:rsidP="007F76BC">
      <w:pPr>
        <w:pStyle w:val="Listenabsatz"/>
        <w:numPr>
          <w:ilvl w:val="0"/>
          <w:numId w:val="39"/>
        </w:numPr>
        <w:ind w:left="284" w:hanging="284"/>
        <w:contextualSpacing w:val="0"/>
      </w:pPr>
      <w:r w:rsidRPr="004C7697">
        <w:t xml:space="preserve">Groß = Ausspeiseallokation </w:t>
      </w:r>
      <w:r w:rsidR="005F5D4E" w:rsidRPr="004C7697">
        <w:rPr>
          <w:rFonts w:cs="Arial"/>
        </w:rPr>
        <w:t>≥</w:t>
      </w:r>
      <w:r w:rsidR="005F5D4E" w:rsidRPr="004C7697">
        <w:rPr>
          <w:rFonts w:cs="Arial"/>
          <w:sz w:val="24"/>
        </w:rPr>
        <w:t xml:space="preserve"> </w:t>
      </w:r>
      <w:r w:rsidRPr="004C7697">
        <w:t xml:space="preserve">5.000 </w:t>
      </w:r>
      <w:r w:rsidRPr="0060515B">
        <w:t>Mio. kWh</w:t>
      </w:r>
    </w:p>
    <w:p w14:paraId="15822528" w14:textId="7CC2F585" w:rsidR="00DB30C7" w:rsidRPr="0060515B" w:rsidRDefault="00DB30C7" w:rsidP="00DB30C7">
      <w:r w:rsidRPr="0060515B">
        <w:t>Sollten keine Vorjahres-Ausspeisewerte vorliegen (z.</w:t>
      </w:r>
      <w:r>
        <w:t> </w:t>
      </w:r>
      <w:r w:rsidRPr="0060515B">
        <w:t xml:space="preserve">B. aufgrund von Neugründungen) wird durch den MGV eine Abschätzung bzw. eine Hochrechnung der jährlichen Ausspeiseallokation – auf Grundlage der bereits vorliegenden Werte – vorgenommen. Zur Ermittlung der je </w:t>
      </w:r>
      <w:r w:rsidRPr="0060515B">
        <w:lastRenderedPageBreak/>
        <w:t>Größengruppe anfallenden Höhe der Pönale wurde die anzusetzende vorjährliche Ausspeiseallokation mit dem Faktor 0,000</w:t>
      </w:r>
      <w:r>
        <w:t>2 bewertet und ein Preis von 3 C</w:t>
      </w:r>
      <w:r w:rsidRPr="0060515B">
        <w:t>t/kWh angesetzt. Die Pönalzahlungsbeträge werden in</w:t>
      </w:r>
      <w:r w:rsidRPr="0060515B" w:rsidDel="00815124">
        <w:t xml:space="preserve"> </w:t>
      </w:r>
      <w:r w:rsidR="00815124">
        <w:t>§ </w:t>
      </w:r>
      <w:r>
        <w:t>49</w:t>
      </w:r>
      <w:r w:rsidRPr="0060515B">
        <w:t>, Ziffer</w:t>
      </w:r>
      <w:r w:rsidR="00156ED0">
        <w:t xml:space="preserve"> 10</w:t>
      </w:r>
      <w:r w:rsidRPr="0060515B">
        <w:t xml:space="preserve"> im Hauptteil der </w:t>
      </w:r>
      <w:proofErr w:type="spellStart"/>
      <w:r w:rsidRPr="0060515B">
        <w:t>KoV</w:t>
      </w:r>
      <w:proofErr w:type="spellEnd"/>
      <w:r w:rsidRPr="0060515B">
        <w:t xml:space="preserve"> genannt.</w:t>
      </w:r>
    </w:p>
    <w:p w14:paraId="3A4521B2" w14:textId="41BFA5D8" w:rsidR="00BF2798" w:rsidRDefault="00DB30C7" w:rsidP="003C2438">
      <w:r w:rsidRPr="0060515B">
        <w:t xml:space="preserve">Eine erste Pönalisierung wird durch den MGV zum Zeitpunkt M+5M+1WT in Rechnung gestellt. Anschließend erfolgen ggf. weitere Pönalrechnungen im Rhythmus von jeweils 6 Monaten, bis der Eingang der </w:t>
      </w:r>
      <w:r>
        <w:t xml:space="preserve">Mehr-/Mindermengenabrechnungen (INVOIC) </w:t>
      </w:r>
      <w:r w:rsidRPr="0060515B">
        <w:t xml:space="preserve">erfolgt. </w:t>
      </w:r>
      <w:r w:rsidR="00DC094D" w:rsidRPr="00FB7486">
        <w:t>Das Zahlungsziel bet</w:t>
      </w:r>
      <w:r w:rsidR="00DC094D">
        <w:t>rägt 10 Werktage bezogen auf den Rechnungseingang.</w:t>
      </w:r>
      <w:r w:rsidR="00DC094D" w:rsidRPr="00DC094D">
        <w:t xml:space="preserve"> </w:t>
      </w:r>
      <w:r w:rsidR="00DC094D">
        <w:t xml:space="preserve">Der Marktgebietsverantwortliche übermittelt die Abrechnung in Form von elektronischen Rechnungen gem. </w:t>
      </w:r>
      <w:r w:rsidR="00815124">
        <w:t>§ </w:t>
      </w:r>
      <w:r w:rsidR="00DC094D">
        <w:t>14 Abs. 1 Satz 8 UstG.</w:t>
      </w:r>
    </w:p>
    <w:p w14:paraId="092A7DE3" w14:textId="77777777" w:rsidR="000F3299" w:rsidRDefault="000F3299" w:rsidP="003C2438">
      <w:pPr>
        <w:pStyle w:val="berschrift1"/>
        <w:tabs>
          <w:tab w:val="clear" w:pos="567"/>
        </w:tabs>
        <w:ind w:left="672" w:hanging="672"/>
      </w:pPr>
      <w:bookmarkStart w:id="2177" w:name="_Toc433973412"/>
      <w:bookmarkStart w:id="2178" w:name="_Toc433974410"/>
      <w:bookmarkStart w:id="2179" w:name="_Toc433975401"/>
      <w:bookmarkStart w:id="2180" w:name="_Toc433973413"/>
      <w:bookmarkStart w:id="2181" w:name="_Toc433974411"/>
      <w:bookmarkStart w:id="2182" w:name="_Toc433975402"/>
      <w:bookmarkStart w:id="2183" w:name="_Toc433973414"/>
      <w:bookmarkStart w:id="2184" w:name="_Toc433974412"/>
      <w:bookmarkStart w:id="2185" w:name="_Toc433975403"/>
      <w:bookmarkStart w:id="2186" w:name="_Toc433973415"/>
      <w:bookmarkStart w:id="2187" w:name="_Toc433974413"/>
      <w:bookmarkStart w:id="2188" w:name="_Toc433975404"/>
      <w:bookmarkStart w:id="2189" w:name="_Toc433973416"/>
      <w:bookmarkStart w:id="2190" w:name="_Toc433974414"/>
      <w:bookmarkStart w:id="2191" w:name="_Toc433975405"/>
      <w:bookmarkStart w:id="2192" w:name="_Toc433973417"/>
      <w:bookmarkStart w:id="2193" w:name="_Toc433974415"/>
      <w:bookmarkStart w:id="2194" w:name="_Toc433975406"/>
      <w:bookmarkStart w:id="2195" w:name="_Toc433973418"/>
      <w:bookmarkStart w:id="2196" w:name="_Toc433974416"/>
      <w:bookmarkStart w:id="2197" w:name="_Toc433975407"/>
      <w:bookmarkStart w:id="2198" w:name="_Toc433973419"/>
      <w:bookmarkStart w:id="2199" w:name="_Toc433974417"/>
      <w:bookmarkStart w:id="2200" w:name="_Toc433975408"/>
      <w:bookmarkStart w:id="2201" w:name="_Toc433973420"/>
      <w:bookmarkStart w:id="2202" w:name="_Toc433974418"/>
      <w:bookmarkStart w:id="2203" w:name="_Toc433975409"/>
      <w:bookmarkStart w:id="2204" w:name="_Toc433973421"/>
      <w:bookmarkStart w:id="2205" w:name="_Toc433974419"/>
      <w:bookmarkStart w:id="2206" w:name="_Toc433975410"/>
      <w:bookmarkStart w:id="2207" w:name="_Toc433973422"/>
      <w:bookmarkStart w:id="2208" w:name="_Toc433974420"/>
      <w:bookmarkStart w:id="2209" w:name="_Toc433975411"/>
      <w:bookmarkStart w:id="2210" w:name="_Toc433973423"/>
      <w:bookmarkStart w:id="2211" w:name="_Toc433974421"/>
      <w:bookmarkStart w:id="2212" w:name="_Toc433975412"/>
      <w:bookmarkStart w:id="2213" w:name="_Toc433973424"/>
      <w:bookmarkStart w:id="2214" w:name="_Toc433974422"/>
      <w:bookmarkStart w:id="2215" w:name="_Toc433975413"/>
      <w:bookmarkStart w:id="2216" w:name="_Toc433973425"/>
      <w:bookmarkStart w:id="2217" w:name="_Toc433974423"/>
      <w:bookmarkStart w:id="2218" w:name="_Toc433975414"/>
      <w:bookmarkStart w:id="2219" w:name="_Toc433973426"/>
      <w:bookmarkStart w:id="2220" w:name="_Toc433974424"/>
      <w:bookmarkStart w:id="2221" w:name="_Toc433975415"/>
      <w:bookmarkStart w:id="2222" w:name="_Toc433973427"/>
      <w:bookmarkStart w:id="2223" w:name="_Toc433974425"/>
      <w:bookmarkStart w:id="2224" w:name="_Toc433975416"/>
      <w:bookmarkStart w:id="2225" w:name="_Toc433973428"/>
      <w:bookmarkStart w:id="2226" w:name="_Toc433974426"/>
      <w:bookmarkStart w:id="2227" w:name="_Toc433975417"/>
      <w:bookmarkStart w:id="2228" w:name="_Toc433973429"/>
      <w:bookmarkStart w:id="2229" w:name="_Toc433974427"/>
      <w:bookmarkStart w:id="2230" w:name="_Toc433975418"/>
      <w:bookmarkStart w:id="2231" w:name="_Toc433973430"/>
      <w:bookmarkStart w:id="2232" w:name="_Toc433974428"/>
      <w:bookmarkStart w:id="2233" w:name="_Toc433975419"/>
      <w:bookmarkStart w:id="2234" w:name="_Toc433973431"/>
      <w:bookmarkStart w:id="2235" w:name="_Toc433974429"/>
      <w:bookmarkStart w:id="2236" w:name="_Toc433975420"/>
      <w:bookmarkStart w:id="2237" w:name="_Toc433973432"/>
      <w:bookmarkStart w:id="2238" w:name="_Toc433974430"/>
      <w:bookmarkStart w:id="2239" w:name="_Toc433975421"/>
      <w:bookmarkStart w:id="2240" w:name="_Toc433973433"/>
      <w:bookmarkStart w:id="2241" w:name="_Toc433974431"/>
      <w:bookmarkStart w:id="2242" w:name="_Toc433975422"/>
      <w:bookmarkStart w:id="2243" w:name="_Toc433973434"/>
      <w:bookmarkStart w:id="2244" w:name="_Toc433974432"/>
      <w:bookmarkStart w:id="2245" w:name="_Toc433975423"/>
      <w:bookmarkStart w:id="2246" w:name="_Toc433973435"/>
      <w:bookmarkStart w:id="2247" w:name="_Toc433974433"/>
      <w:bookmarkStart w:id="2248" w:name="_Toc433975424"/>
      <w:bookmarkStart w:id="2249" w:name="_Toc433973436"/>
      <w:bookmarkStart w:id="2250" w:name="_Toc433974434"/>
      <w:bookmarkStart w:id="2251" w:name="_Toc433975425"/>
      <w:bookmarkStart w:id="2252" w:name="_Toc433973437"/>
      <w:bookmarkStart w:id="2253" w:name="_Toc433974435"/>
      <w:bookmarkStart w:id="2254" w:name="_Toc433975426"/>
      <w:bookmarkStart w:id="2255" w:name="_Toc433973438"/>
      <w:bookmarkStart w:id="2256" w:name="_Toc433974436"/>
      <w:bookmarkStart w:id="2257" w:name="_Toc433975427"/>
      <w:bookmarkStart w:id="2258" w:name="_Toc433973439"/>
      <w:bookmarkStart w:id="2259" w:name="_Toc433974437"/>
      <w:bookmarkStart w:id="2260" w:name="_Toc433975428"/>
      <w:bookmarkStart w:id="2261" w:name="_Toc433973440"/>
      <w:bookmarkStart w:id="2262" w:name="_Toc433974438"/>
      <w:bookmarkStart w:id="2263" w:name="_Toc433975429"/>
      <w:bookmarkStart w:id="2264" w:name="_Toc433973441"/>
      <w:bookmarkStart w:id="2265" w:name="_Toc433974439"/>
      <w:bookmarkStart w:id="2266" w:name="_Toc433975430"/>
      <w:bookmarkStart w:id="2267" w:name="_Toc433973442"/>
      <w:bookmarkStart w:id="2268" w:name="_Toc433974440"/>
      <w:bookmarkStart w:id="2269" w:name="_Toc433975431"/>
      <w:bookmarkStart w:id="2270" w:name="_Toc433973443"/>
      <w:bookmarkStart w:id="2271" w:name="_Toc433974441"/>
      <w:bookmarkStart w:id="2272" w:name="_Toc433975432"/>
      <w:bookmarkStart w:id="2273" w:name="_Toc433973444"/>
      <w:bookmarkStart w:id="2274" w:name="_Toc433974442"/>
      <w:bookmarkStart w:id="2275" w:name="_Toc433975433"/>
      <w:bookmarkStart w:id="2276" w:name="_Toc433973445"/>
      <w:bookmarkStart w:id="2277" w:name="_Toc433974443"/>
      <w:bookmarkStart w:id="2278" w:name="_Toc433975434"/>
      <w:bookmarkStart w:id="2279" w:name="_Toc433973477"/>
      <w:bookmarkStart w:id="2280" w:name="_Toc433974475"/>
      <w:bookmarkStart w:id="2281" w:name="_Toc433975466"/>
      <w:bookmarkStart w:id="2282" w:name="_Toc433973478"/>
      <w:bookmarkStart w:id="2283" w:name="_Toc433974476"/>
      <w:bookmarkStart w:id="2284" w:name="_Toc433975467"/>
      <w:bookmarkStart w:id="2285" w:name="_Toc433973479"/>
      <w:bookmarkStart w:id="2286" w:name="_Toc433974477"/>
      <w:bookmarkStart w:id="2287" w:name="_Toc433975468"/>
      <w:bookmarkStart w:id="2288" w:name="_Toc433973480"/>
      <w:bookmarkStart w:id="2289" w:name="_Toc433974478"/>
      <w:bookmarkStart w:id="2290" w:name="_Toc433975469"/>
      <w:bookmarkStart w:id="2291" w:name="_Toc433973481"/>
      <w:bookmarkStart w:id="2292" w:name="_Toc433974479"/>
      <w:bookmarkStart w:id="2293" w:name="_Toc433975470"/>
      <w:bookmarkStart w:id="2294" w:name="_Toc433973482"/>
      <w:bookmarkStart w:id="2295" w:name="_Toc433974480"/>
      <w:bookmarkStart w:id="2296" w:name="_Toc433975471"/>
      <w:bookmarkStart w:id="2297" w:name="_Toc433973483"/>
      <w:bookmarkStart w:id="2298" w:name="_Toc433974481"/>
      <w:bookmarkStart w:id="2299" w:name="_Toc433975472"/>
      <w:bookmarkStart w:id="2300" w:name="_Toc433973484"/>
      <w:bookmarkStart w:id="2301" w:name="_Toc433974482"/>
      <w:bookmarkStart w:id="2302" w:name="_Toc433975473"/>
      <w:bookmarkStart w:id="2303" w:name="_Toc433973485"/>
      <w:bookmarkStart w:id="2304" w:name="_Toc433974483"/>
      <w:bookmarkStart w:id="2305" w:name="_Toc433975474"/>
      <w:bookmarkStart w:id="2306" w:name="_Toc433973486"/>
      <w:bookmarkStart w:id="2307" w:name="_Toc433974484"/>
      <w:bookmarkStart w:id="2308" w:name="_Toc433975475"/>
      <w:bookmarkStart w:id="2309" w:name="_Toc433973487"/>
      <w:bookmarkStart w:id="2310" w:name="_Toc433974485"/>
      <w:bookmarkStart w:id="2311" w:name="_Toc433975476"/>
      <w:bookmarkStart w:id="2312" w:name="_Toc433973488"/>
      <w:bookmarkStart w:id="2313" w:name="_Toc433974486"/>
      <w:bookmarkStart w:id="2314" w:name="_Toc433975477"/>
      <w:bookmarkStart w:id="2315" w:name="_Toc433973489"/>
      <w:bookmarkStart w:id="2316" w:name="_Toc433974487"/>
      <w:bookmarkStart w:id="2317" w:name="_Toc433975478"/>
      <w:bookmarkStart w:id="2318" w:name="_Toc433973490"/>
      <w:bookmarkStart w:id="2319" w:name="_Toc433974488"/>
      <w:bookmarkStart w:id="2320" w:name="_Toc433975479"/>
      <w:bookmarkStart w:id="2321" w:name="_Toc433973491"/>
      <w:bookmarkStart w:id="2322" w:name="_Toc433974489"/>
      <w:bookmarkStart w:id="2323" w:name="_Toc433975480"/>
      <w:bookmarkStart w:id="2324" w:name="_Toc433973492"/>
      <w:bookmarkStart w:id="2325" w:name="_Toc433974490"/>
      <w:bookmarkStart w:id="2326" w:name="_Toc433975481"/>
      <w:bookmarkStart w:id="2327" w:name="_Toc433973493"/>
      <w:bookmarkStart w:id="2328" w:name="_Toc433974491"/>
      <w:bookmarkStart w:id="2329" w:name="_Toc433975482"/>
      <w:bookmarkStart w:id="2330" w:name="_Toc433973494"/>
      <w:bookmarkStart w:id="2331" w:name="_Toc433974492"/>
      <w:bookmarkStart w:id="2332" w:name="_Toc433975483"/>
      <w:bookmarkStart w:id="2333" w:name="_Toc433973495"/>
      <w:bookmarkStart w:id="2334" w:name="_Toc433974493"/>
      <w:bookmarkStart w:id="2335" w:name="_Toc433975484"/>
      <w:bookmarkStart w:id="2336" w:name="_Toc433973496"/>
      <w:bookmarkStart w:id="2337" w:name="_Toc433974494"/>
      <w:bookmarkStart w:id="2338" w:name="_Toc433975485"/>
      <w:bookmarkStart w:id="2339" w:name="_Toc433973497"/>
      <w:bookmarkStart w:id="2340" w:name="_Toc433974495"/>
      <w:bookmarkStart w:id="2341" w:name="_Toc433975486"/>
      <w:bookmarkStart w:id="2342" w:name="_Toc433973498"/>
      <w:bookmarkStart w:id="2343" w:name="_Toc433974496"/>
      <w:bookmarkStart w:id="2344" w:name="_Toc433975487"/>
      <w:bookmarkStart w:id="2345" w:name="_Toc433973499"/>
      <w:bookmarkStart w:id="2346" w:name="_Toc433974497"/>
      <w:bookmarkStart w:id="2347" w:name="_Toc433975488"/>
      <w:bookmarkStart w:id="2348" w:name="_Toc433973500"/>
      <w:bookmarkStart w:id="2349" w:name="_Toc433974498"/>
      <w:bookmarkStart w:id="2350" w:name="_Toc433975489"/>
      <w:bookmarkStart w:id="2351" w:name="_Toc433973501"/>
      <w:bookmarkStart w:id="2352" w:name="_Toc433974499"/>
      <w:bookmarkStart w:id="2353" w:name="_Toc433975490"/>
      <w:bookmarkStart w:id="2354" w:name="_Toc433973502"/>
      <w:bookmarkStart w:id="2355" w:name="_Toc433974500"/>
      <w:bookmarkStart w:id="2356" w:name="_Toc433975491"/>
      <w:bookmarkStart w:id="2357" w:name="_Toc433973503"/>
      <w:bookmarkStart w:id="2358" w:name="_Toc433974501"/>
      <w:bookmarkStart w:id="2359" w:name="_Toc433975492"/>
      <w:bookmarkStart w:id="2360" w:name="_Toc433973504"/>
      <w:bookmarkStart w:id="2361" w:name="_Toc433974502"/>
      <w:bookmarkStart w:id="2362" w:name="_Toc433975493"/>
      <w:bookmarkStart w:id="2363" w:name="_Toc433973505"/>
      <w:bookmarkStart w:id="2364" w:name="_Toc433974503"/>
      <w:bookmarkStart w:id="2365" w:name="_Toc433975494"/>
      <w:bookmarkStart w:id="2366" w:name="_Toc433973506"/>
      <w:bookmarkStart w:id="2367" w:name="_Toc433974504"/>
      <w:bookmarkStart w:id="2368" w:name="_Toc433975495"/>
      <w:bookmarkStart w:id="2369" w:name="_Toc433973507"/>
      <w:bookmarkStart w:id="2370" w:name="_Toc433974505"/>
      <w:bookmarkStart w:id="2371" w:name="_Toc433975496"/>
      <w:bookmarkStart w:id="2372" w:name="_Toc433973508"/>
      <w:bookmarkStart w:id="2373" w:name="_Toc433974506"/>
      <w:bookmarkStart w:id="2374" w:name="_Toc433975497"/>
      <w:bookmarkStart w:id="2375" w:name="_Toc433973509"/>
      <w:bookmarkStart w:id="2376" w:name="_Toc433974507"/>
      <w:bookmarkStart w:id="2377" w:name="_Toc433975498"/>
      <w:bookmarkStart w:id="2378" w:name="_Toc433973510"/>
      <w:bookmarkStart w:id="2379" w:name="_Toc433974508"/>
      <w:bookmarkStart w:id="2380" w:name="_Toc433975499"/>
      <w:bookmarkStart w:id="2381" w:name="_Toc433973511"/>
      <w:bookmarkStart w:id="2382" w:name="_Toc433974509"/>
      <w:bookmarkStart w:id="2383" w:name="_Toc433975500"/>
      <w:bookmarkStart w:id="2384" w:name="_Toc433973512"/>
      <w:bookmarkStart w:id="2385" w:name="_Toc433974510"/>
      <w:bookmarkStart w:id="2386" w:name="_Toc433975501"/>
      <w:bookmarkStart w:id="2387" w:name="_Toc433973513"/>
      <w:bookmarkStart w:id="2388" w:name="_Toc433974511"/>
      <w:bookmarkStart w:id="2389" w:name="_Toc433975502"/>
      <w:bookmarkStart w:id="2390" w:name="_Toc433973514"/>
      <w:bookmarkStart w:id="2391" w:name="_Toc433974512"/>
      <w:bookmarkStart w:id="2392" w:name="_Toc433975503"/>
      <w:bookmarkStart w:id="2393" w:name="_Toc433973515"/>
      <w:bookmarkStart w:id="2394" w:name="_Toc433974513"/>
      <w:bookmarkStart w:id="2395" w:name="_Toc433975504"/>
      <w:bookmarkStart w:id="2396" w:name="_Toc433973516"/>
      <w:bookmarkStart w:id="2397" w:name="_Toc433974514"/>
      <w:bookmarkStart w:id="2398" w:name="_Toc433975505"/>
      <w:bookmarkStart w:id="2399" w:name="_Toc433973517"/>
      <w:bookmarkStart w:id="2400" w:name="_Toc433974515"/>
      <w:bookmarkStart w:id="2401" w:name="_Toc433975506"/>
      <w:bookmarkStart w:id="2402" w:name="_Toc433973518"/>
      <w:bookmarkStart w:id="2403" w:name="_Toc433974516"/>
      <w:bookmarkStart w:id="2404" w:name="_Toc433975507"/>
      <w:bookmarkStart w:id="2405" w:name="_Toc433973519"/>
      <w:bookmarkStart w:id="2406" w:name="_Toc433974517"/>
      <w:bookmarkStart w:id="2407" w:name="_Toc433975508"/>
      <w:bookmarkStart w:id="2408" w:name="_Toc433973520"/>
      <w:bookmarkStart w:id="2409" w:name="_Toc433974518"/>
      <w:bookmarkStart w:id="2410" w:name="_Toc433975509"/>
      <w:bookmarkStart w:id="2411" w:name="_Toc433973521"/>
      <w:bookmarkStart w:id="2412" w:name="_Toc433974519"/>
      <w:bookmarkStart w:id="2413" w:name="_Toc433975510"/>
      <w:bookmarkStart w:id="2414" w:name="_Toc433973522"/>
      <w:bookmarkStart w:id="2415" w:name="_Toc433974520"/>
      <w:bookmarkStart w:id="2416" w:name="_Toc433975511"/>
      <w:bookmarkStart w:id="2417" w:name="_Toc433973558"/>
      <w:bookmarkStart w:id="2418" w:name="_Toc433974556"/>
      <w:bookmarkStart w:id="2419" w:name="_Toc433975547"/>
      <w:bookmarkStart w:id="2420" w:name="_Toc433973559"/>
      <w:bookmarkStart w:id="2421" w:name="_Toc433974557"/>
      <w:bookmarkStart w:id="2422" w:name="_Toc433975548"/>
      <w:bookmarkStart w:id="2423" w:name="_Toc433973560"/>
      <w:bookmarkStart w:id="2424" w:name="_Toc433974558"/>
      <w:bookmarkStart w:id="2425" w:name="_Toc433975549"/>
      <w:bookmarkStart w:id="2426" w:name="_Toc433973561"/>
      <w:bookmarkStart w:id="2427" w:name="_Toc433974559"/>
      <w:bookmarkStart w:id="2428" w:name="_Toc433975550"/>
      <w:bookmarkStart w:id="2429" w:name="_Toc433973562"/>
      <w:bookmarkStart w:id="2430" w:name="_Toc433974560"/>
      <w:bookmarkStart w:id="2431" w:name="_Toc433975551"/>
      <w:bookmarkStart w:id="2432" w:name="_Toc433973563"/>
      <w:bookmarkStart w:id="2433" w:name="_Toc433974561"/>
      <w:bookmarkStart w:id="2434" w:name="_Toc433975552"/>
      <w:bookmarkStart w:id="2435" w:name="_Toc433973564"/>
      <w:bookmarkStart w:id="2436" w:name="_Toc433974562"/>
      <w:bookmarkStart w:id="2437" w:name="_Toc433975553"/>
      <w:bookmarkStart w:id="2438" w:name="_Toc433973565"/>
      <w:bookmarkStart w:id="2439" w:name="_Toc433974563"/>
      <w:bookmarkStart w:id="2440" w:name="_Toc433975554"/>
      <w:bookmarkStart w:id="2441" w:name="_Toc433973566"/>
      <w:bookmarkStart w:id="2442" w:name="_Toc433974564"/>
      <w:bookmarkStart w:id="2443" w:name="_Toc433975555"/>
      <w:bookmarkStart w:id="2444" w:name="_Toc433973567"/>
      <w:bookmarkStart w:id="2445" w:name="_Toc433974565"/>
      <w:bookmarkStart w:id="2446" w:name="_Toc433975556"/>
      <w:bookmarkStart w:id="2447" w:name="_Toc433973568"/>
      <w:bookmarkStart w:id="2448" w:name="_Toc433974566"/>
      <w:bookmarkStart w:id="2449" w:name="_Toc433975557"/>
      <w:bookmarkStart w:id="2450" w:name="_Toc433973569"/>
      <w:bookmarkStart w:id="2451" w:name="_Toc433974567"/>
      <w:bookmarkStart w:id="2452" w:name="_Toc433975558"/>
      <w:bookmarkStart w:id="2453" w:name="_Toc433973570"/>
      <w:bookmarkStart w:id="2454" w:name="_Toc433974568"/>
      <w:bookmarkStart w:id="2455" w:name="_Toc433975559"/>
      <w:bookmarkStart w:id="2456" w:name="_Toc433973571"/>
      <w:bookmarkStart w:id="2457" w:name="_Toc433974569"/>
      <w:bookmarkStart w:id="2458" w:name="_Toc433975560"/>
      <w:bookmarkStart w:id="2459" w:name="_Toc433973572"/>
      <w:bookmarkStart w:id="2460" w:name="_Toc433974570"/>
      <w:bookmarkStart w:id="2461" w:name="_Toc433975561"/>
      <w:bookmarkStart w:id="2462" w:name="_Toc433973573"/>
      <w:bookmarkStart w:id="2463" w:name="_Toc433974571"/>
      <w:bookmarkStart w:id="2464" w:name="_Toc433975562"/>
      <w:bookmarkStart w:id="2465" w:name="_Toc433973574"/>
      <w:bookmarkStart w:id="2466" w:name="_Toc433974572"/>
      <w:bookmarkStart w:id="2467" w:name="_Toc433975563"/>
      <w:bookmarkStart w:id="2468" w:name="_Toc433973575"/>
      <w:bookmarkStart w:id="2469" w:name="_Toc433974573"/>
      <w:bookmarkStart w:id="2470" w:name="_Toc433975564"/>
      <w:bookmarkStart w:id="2471" w:name="_Toc433973576"/>
      <w:bookmarkStart w:id="2472" w:name="_Toc433974574"/>
      <w:bookmarkStart w:id="2473" w:name="_Toc433975565"/>
      <w:bookmarkStart w:id="2474" w:name="_Toc433973577"/>
      <w:bookmarkStart w:id="2475" w:name="_Toc433974575"/>
      <w:bookmarkStart w:id="2476" w:name="_Toc433975566"/>
      <w:bookmarkStart w:id="2477" w:name="_Toc433973578"/>
      <w:bookmarkStart w:id="2478" w:name="_Toc433974576"/>
      <w:bookmarkStart w:id="2479" w:name="_Toc433975567"/>
      <w:bookmarkStart w:id="2480" w:name="_Toc433973579"/>
      <w:bookmarkStart w:id="2481" w:name="_Toc433974577"/>
      <w:bookmarkStart w:id="2482" w:name="_Toc433975568"/>
      <w:bookmarkStart w:id="2483" w:name="_Toc433973580"/>
      <w:bookmarkStart w:id="2484" w:name="_Toc433974578"/>
      <w:bookmarkStart w:id="2485" w:name="_Toc433975569"/>
      <w:bookmarkStart w:id="2486" w:name="_Toc433973581"/>
      <w:bookmarkStart w:id="2487" w:name="_Toc433974579"/>
      <w:bookmarkStart w:id="2488" w:name="_Toc433975570"/>
      <w:bookmarkStart w:id="2489" w:name="_Toc433973582"/>
      <w:bookmarkStart w:id="2490" w:name="_Toc433974580"/>
      <w:bookmarkStart w:id="2491" w:name="_Toc433975571"/>
      <w:bookmarkStart w:id="2492" w:name="_Toc433973583"/>
      <w:bookmarkStart w:id="2493" w:name="_Toc433974581"/>
      <w:bookmarkStart w:id="2494" w:name="_Toc433975572"/>
      <w:bookmarkStart w:id="2495" w:name="_Toc433973584"/>
      <w:bookmarkStart w:id="2496" w:name="_Toc433974582"/>
      <w:bookmarkStart w:id="2497" w:name="_Toc433975573"/>
      <w:bookmarkStart w:id="2498" w:name="_Toc433973585"/>
      <w:bookmarkStart w:id="2499" w:name="_Toc433974583"/>
      <w:bookmarkStart w:id="2500" w:name="_Toc433975574"/>
      <w:bookmarkStart w:id="2501" w:name="_Toc433973586"/>
      <w:bookmarkStart w:id="2502" w:name="_Toc433974584"/>
      <w:bookmarkStart w:id="2503" w:name="_Toc433975575"/>
      <w:bookmarkStart w:id="2504" w:name="_Toc433973587"/>
      <w:bookmarkStart w:id="2505" w:name="_Toc433974585"/>
      <w:bookmarkStart w:id="2506" w:name="_Toc433975576"/>
      <w:bookmarkStart w:id="2507" w:name="_Toc433973623"/>
      <w:bookmarkStart w:id="2508" w:name="_Toc433974621"/>
      <w:bookmarkStart w:id="2509" w:name="_Toc433975612"/>
      <w:bookmarkStart w:id="2510" w:name="_Toc433973624"/>
      <w:bookmarkStart w:id="2511" w:name="_Toc433974622"/>
      <w:bookmarkStart w:id="2512" w:name="_Toc433975613"/>
      <w:bookmarkStart w:id="2513" w:name="_Toc433973625"/>
      <w:bookmarkStart w:id="2514" w:name="_Toc433974623"/>
      <w:bookmarkStart w:id="2515" w:name="_Toc433975614"/>
      <w:bookmarkStart w:id="2516" w:name="_Toc433973626"/>
      <w:bookmarkStart w:id="2517" w:name="_Toc433974624"/>
      <w:bookmarkStart w:id="2518" w:name="_Toc433975615"/>
      <w:bookmarkStart w:id="2519" w:name="_Toc433973627"/>
      <w:bookmarkStart w:id="2520" w:name="_Toc433974625"/>
      <w:bookmarkStart w:id="2521" w:name="_Toc433975616"/>
      <w:bookmarkStart w:id="2522" w:name="_Toc433973628"/>
      <w:bookmarkStart w:id="2523" w:name="_Toc433974626"/>
      <w:bookmarkStart w:id="2524" w:name="_Toc433975617"/>
      <w:bookmarkStart w:id="2525" w:name="_Toc433973629"/>
      <w:bookmarkStart w:id="2526" w:name="_Toc433974627"/>
      <w:bookmarkStart w:id="2527" w:name="_Toc433975618"/>
      <w:bookmarkStart w:id="2528" w:name="_Toc433973630"/>
      <w:bookmarkStart w:id="2529" w:name="_Toc433974628"/>
      <w:bookmarkStart w:id="2530" w:name="_Toc433975619"/>
      <w:bookmarkStart w:id="2531" w:name="_Toc433973631"/>
      <w:bookmarkStart w:id="2532" w:name="_Toc433974629"/>
      <w:bookmarkStart w:id="2533" w:name="_Toc433975620"/>
      <w:bookmarkStart w:id="2534" w:name="_Toc433973632"/>
      <w:bookmarkStart w:id="2535" w:name="_Toc433974630"/>
      <w:bookmarkStart w:id="2536" w:name="_Toc433975621"/>
      <w:bookmarkStart w:id="2537" w:name="_Toc433973633"/>
      <w:bookmarkStart w:id="2538" w:name="_Toc433974631"/>
      <w:bookmarkStart w:id="2539" w:name="_Toc433975622"/>
      <w:bookmarkStart w:id="2540" w:name="_Toc433973634"/>
      <w:bookmarkStart w:id="2541" w:name="_Toc433974632"/>
      <w:bookmarkStart w:id="2542" w:name="_Toc433975623"/>
      <w:bookmarkStart w:id="2543" w:name="_Toc433973635"/>
      <w:bookmarkStart w:id="2544" w:name="_Toc433974633"/>
      <w:bookmarkStart w:id="2545" w:name="_Toc433975624"/>
      <w:bookmarkStart w:id="2546" w:name="_Toc433973636"/>
      <w:bookmarkStart w:id="2547" w:name="_Toc433974634"/>
      <w:bookmarkStart w:id="2548" w:name="_Toc433975625"/>
      <w:bookmarkStart w:id="2549" w:name="_Toc433973637"/>
      <w:bookmarkStart w:id="2550" w:name="_Toc433974635"/>
      <w:bookmarkStart w:id="2551" w:name="_Toc433975626"/>
      <w:bookmarkStart w:id="2552" w:name="_Toc433973638"/>
      <w:bookmarkStart w:id="2553" w:name="_Toc433974636"/>
      <w:bookmarkStart w:id="2554" w:name="_Toc433975627"/>
      <w:bookmarkStart w:id="2555" w:name="_Toc433973639"/>
      <w:bookmarkStart w:id="2556" w:name="_Toc433974637"/>
      <w:bookmarkStart w:id="2557" w:name="_Toc433975628"/>
      <w:bookmarkStart w:id="2558" w:name="_Toc433973640"/>
      <w:bookmarkStart w:id="2559" w:name="_Toc433974638"/>
      <w:bookmarkStart w:id="2560" w:name="_Toc433975629"/>
      <w:bookmarkStart w:id="2561" w:name="_Toc433973641"/>
      <w:bookmarkStart w:id="2562" w:name="_Toc433974639"/>
      <w:bookmarkStart w:id="2563" w:name="_Toc433975630"/>
      <w:bookmarkStart w:id="2564" w:name="_Toc433973642"/>
      <w:bookmarkStart w:id="2565" w:name="_Toc433974640"/>
      <w:bookmarkStart w:id="2566" w:name="_Toc433975631"/>
      <w:bookmarkStart w:id="2567" w:name="_Toc433973643"/>
      <w:bookmarkStart w:id="2568" w:name="_Toc433974641"/>
      <w:bookmarkStart w:id="2569" w:name="_Toc433975632"/>
      <w:bookmarkStart w:id="2570" w:name="_Toc433973644"/>
      <w:bookmarkStart w:id="2571" w:name="_Toc433974642"/>
      <w:bookmarkStart w:id="2572" w:name="_Toc433975633"/>
      <w:bookmarkStart w:id="2573" w:name="_Toc433973645"/>
      <w:bookmarkStart w:id="2574" w:name="_Toc433974643"/>
      <w:bookmarkStart w:id="2575" w:name="_Toc433975634"/>
      <w:bookmarkStart w:id="2576" w:name="_Toc433973646"/>
      <w:bookmarkStart w:id="2577" w:name="_Toc433974644"/>
      <w:bookmarkStart w:id="2578" w:name="_Toc433975635"/>
      <w:bookmarkStart w:id="2579" w:name="_Toc433973647"/>
      <w:bookmarkStart w:id="2580" w:name="_Toc433974645"/>
      <w:bookmarkStart w:id="2581" w:name="_Toc433975636"/>
      <w:bookmarkStart w:id="2582" w:name="_Toc433973648"/>
      <w:bookmarkStart w:id="2583" w:name="_Toc433974646"/>
      <w:bookmarkStart w:id="2584" w:name="_Toc433975637"/>
      <w:bookmarkStart w:id="2585" w:name="_Toc433973649"/>
      <w:bookmarkStart w:id="2586" w:name="_Toc433974647"/>
      <w:bookmarkStart w:id="2587" w:name="_Toc433975638"/>
      <w:bookmarkStart w:id="2588" w:name="_Toc433973650"/>
      <w:bookmarkStart w:id="2589" w:name="_Toc433974648"/>
      <w:bookmarkStart w:id="2590" w:name="_Toc433975639"/>
      <w:bookmarkStart w:id="2591" w:name="_Toc433973651"/>
      <w:bookmarkStart w:id="2592" w:name="_Toc433974649"/>
      <w:bookmarkStart w:id="2593" w:name="_Toc433975640"/>
      <w:bookmarkStart w:id="2594" w:name="_Toc433973676"/>
      <w:bookmarkStart w:id="2595" w:name="_Toc433974674"/>
      <w:bookmarkStart w:id="2596" w:name="_Toc433975665"/>
      <w:bookmarkStart w:id="2597" w:name="_Toc433973677"/>
      <w:bookmarkStart w:id="2598" w:name="_Toc433974675"/>
      <w:bookmarkStart w:id="2599" w:name="_Toc433975666"/>
      <w:bookmarkStart w:id="2600" w:name="_Toc433973678"/>
      <w:bookmarkStart w:id="2601" w:name="_Toc433974676"/>
      <w:bookmarkStart w:id="2602" w:name="_Toc433975667"/>
      <w:bookmarkStart w:id="2603" w:name="_Toc433973679"/>
      <w:bookmarkStart w:id="2604" w:name="_Toc433974677"/>
      <w:bookmarkStart w:id="2605" w:name="_Toc433975668"/>
      <w:bookmarkStart w:id="2606" w:name="_Toc433973680"/>
      <w:bookmarkStart w:id="2607" w:name="_Toc433974678"/>
      <w:bookmarkStart w:id="2608" w:name="_Toc433975669"/>
      <w:bookmarkStart w:id="2609" w:name="_Toc433973681"/>
      <w:bookmarkStart w:id="2610" w:name="_Toc433974679"/>
      <w:bookmarkStart w:id="2611" w:name="_Toc433975670"/>
      <w:bookmarkStart w:id="2612" w:name="_Toc433973682"/>
      <w:bookmarkStart w:id="2613" w:name="_Toc433974680"/>
      <w:bookmarkStart w:id="2614" w:name="_Toc433975671"/>
      <w:bookmarkStart w:id="2615" w:name="_Toc433973683"/>
      <w:bookmarkStart w:id="2616" w:name="_Toc433974681"/>
      <w:bookmarkStart w:id="2617" w:name="_Toc433975672"/>
      <w:bookmarkStart w:id="2618" w:name="_Toc433973684"/>
      <w:bookmarkStart w:id="2619" w:name="_Toc433974682"/>
      <w:bookmarkStart w:id="2620" w:name="_Toc433975673"/>
      <w:bookmarkStart w:id="2621" w:name="_Toc433973685"/>
      <w:bookmarkStart w:id="2622" w:name="_Toc433974683"/>
      <w:bookmarkStart w:id="2623" w:name="_Toc433975674"/>
      <w:bookmarkStart w:id="2624" w:name="_Toc433973686"/>
      <w:bookmarkStart w:id="2625" w:name="_Toc433974684"/>
      <w:bookmarkStart w:id="2626" w:name="_Toc433975675"/>
      <w:bookmarkStart w:id="2627" w:name="_Toc433973687"/>
      <w:bookmarkStart w:id="2628" w:name="_Toc433974685"/>
      <w:bookmarkStart w:id="2629" w:name="_Toc433975676"/>
      <w:bookmarkStart w:id="2630" w:name="_Toc433973688"/>
      <w:bookmarkStart w:id="2631" w:name="_Toc433974686"/>
      <w:bookmarkStart w:id="2632" w:name="_Toc433975677"/>
      <w:bookmarkStart w:id="2633" w:name="_Toc433973689"/>
      <w:bookmarkStart w:id="2634" w:name="_Toc433974687"/>
      <w:bookmarkStart w:id="2635" w:name="_Toc433975678"/>
      <w:bookmarkStart w:id="2636" w:name="_Toc433973690"/>
      <w:bookmarkStart w:id="2637" w:name="_Toc433974688"/>
      <w:bookmarkStart w:id="2638" w:name="_Toc433975679"/>
      <w:bookmarkStart w:id="2639" w:name="_Toc433973691"/>
      <w:bookmarkStart w:id="2640" w:name="_Toc433974689"/>
      <w:bookmarkStart w:id="2641" w:name="_Toc433975680"/>
      <w:bookmarkStart w:id="2642" w:name="_Toc433973692"/>
      <w:bookmarkStart w:id="2643" w:name="_Toc433974690"/>
      <w:bookmarkStart w:id="2644" w:name="_Toc433975681"/>
      <w:bookmarkStart w:id="2645" w:name="_Toc433973693"/>
      <w:bookmarkStart w:id="2646" w:name="_Toc433974691"/>
      <w:bookmarkStart w:id="2647" w:name="_Toc433975682"/>
      <w:bookmarkStart w:id="2648" w:name="_Toc433973694"/>
      <w:bookmarkStart w:id="2649" w:name="_Toc433974692"/>
      <w:bookmarkStart w:id="2650" w:name="_Toc433975683"/>
      <w:bookmarkStart w:id="2651" w:name="_Toc433973719"/>
      <w:bookmarkStart w:id="2652" w:name="_Toc433974717"/>
      <w:bookmarkStart w:id="2653" w:name="_Toc433975708"/>
      <w:bookmarkStart w:id="2654" w:name="_Toc433973720"/>
      <w:bookmarkStart w:id="2655" w:name="_Toc433974718"/>
      <w:bookmarkStart w:id="2656" w:name="_Toc433975709"/>
      <w:bookmarkStart w:id="2657" w:name="_Toc433973721"/>
      <w:bookmarkStart w:id="2658" w:name="_Toc433974719"/>
      <w:bookmarkStart w:id="2659" w:name="_Toc433975710"/>
      <w:bookmarkStart w:id="2660" w:name="_Toc433973722"/>
      <w:bookmarkStart w:id="2661" w:name="_Toc433974720"/>
      <w:bookmarkStart w:id="2662" w:name="_Toc433975711"/>
      <w:bookmarkStart w:id="2663" w:name="_Toc433973723"/>
      <w:bookmarkStart w:id="2664" w:name="_Toc433974721"/>
      <w:bookmarkStart w:id="2665" w:name="_Toc433975712"/>
      <w:bookmarkStart w:id="2666" w:name="_Toc433973724"/>
      <w:bookmarkStart w:id="2667" w:name="_Toc433974722"/>
      <w:bookmarkStart w:id="2668" w:name="_Toc433975713"/>
      <w:bookmarkStart w:id="2669" w:name="_Toc433973725"/>
      <w:bookmarkStart w:id="2670" w:name="_Toc433974723"/>
      <w:bookmarkStart w:id="2671" w:name="_Toc433975714"/>
      <w:bookmarkStart w:id="2672" w:name="_Toc433973726"/>
      <w:bookmarkStart w:id="2673" w:name="_Toc433974724"/>
      <w:bookmarkStart w:id="2674" w:name="_Toc433975715"/>
      <w:bookmarkStart w:id="2675" w:name="_Toc433973727"/>
      <w:bookmarkStart w:id="2676" w:name="_Toc433974725"/>
      <w:bookmarkStart w:id="2677" w:name="_Toc433975716"/>
      <w:bookmarkStart w:id="2678" w:name="_Toc433973728"/>
      <w:bookmarkStart w:id="2679" w:name="_Toc433974726"/>
      <w:bookmarkStart w:id="2680" w:name="_Toc433975717"/>
      <w:bookmarkStart w:id="2681" w:name="_Toc433973729"/>
      <w:bookmarkStart w:id="2682" w:name="_Toc433974727"/>
      <w:bookmarkStart w:id="2683" w:name="_Toc433975718"/>
      <w:bookmarkStart w:id="2684" w:name="_Toc433973730"/>
      <w:bookmarkStart w:id="2685" w:name="_Toc433974728"/>
      <w:bookmarkStart w:id="2686" w:name="_Toc433975719"/>
      <w:bookmarkStart w:id="2687" w:name="_Toc433973731"/>
      <w:bookmarkStart w:id="2688" w:name="_Toc433974729"/>
      <w:bookmarkStart w:id="2689" w:name="_Toc433975720"/>
      <w:bookmarkStart w:id="2690" w:name="_Toc433973732"/>
      <w:bookmarkStart w:id="2691" w:name="_Toc433974730"/>
      <w:bookmarkStart w:id="2692" w:name="_Toc433975721"/>
      <w:bookmarkStart w:id="2693" w:name="_Toc433973733"/>
      <w:bookmarkStart w:id="2694" w:name="_Toc433974731"/>
      <w:bookmarkStart w:id="2695" w:name="_Toc433975722"/>
      <w:bookmarkStart w:id="2696" w:name="_Toc433973734"/>
      <w:bookmarkStart w:id="2697" w:name="_Toc433974732"/>
      <w:bookmarkStart w:id="2698" w:name="_Toc433975723"/>
      <w:bookmarkStart w:id="2699" w:name="_Toc433973735"/>
      <w:bookmarkStart w:id="2700" w:name="_Toc433974733"/>
      <w:bookmarkStart w:id="2701" w:name="_Toc433975724"/>
      <w:bookmarkStart w:id="2702" w:name="_Toc433973736"/>
      <w:bookmarkStart w:id="2703" w:name="_Toc433974734"/>
      <w:bookmarkStart w:id="2704" w:name="_Toc433975725"/>
      <w:bookmarkStart w:id="2705" w:name="_Toc433973737"/>
      <w:bookmarkStart w:id="2706" w:name="_Toc433974735"/>
      <w:bookmarkStart w:id="2707" w:name="_Toc433975726"/>
      <w:bookmarkStart w:id="2708" w:name="_Toc433973738"/>
      <w:bookmarkStart w:id="2709" w:name="_Toc433974736"/>
      <w:bookmarkStart w:id="2710" w:name="_Toc433975727"/>
      <w:bookmarkStart w:id="2711" w:name="_Toc433973739"/>
      <w:bookmarkStart w:id="2712" w:name="_Toc433974737"/>
      <w:bookmarkStart w:id="2713" w:name="_Toc433975728"/>
      <w:bookmarkStart w:id="2714" w:name="_Toc433973740"/>
      <w:bookmarkStart w:id="2715" w:name="_Toc433974738"/>
      <w:bookmarkStart w:id="2716" w:name="_Toc433975729"/>
      <w:bookmarkStart w:id="2717" w:name="_Toc433973741"/>
      <w:bookmarkStart w:id="2718" w:name="_Toc433974739"/>
      <w:bookmarkStart w:id="2719" w:name="_Toc433975730"/>
      <w:bookmarkStart w:id="2720" w:name="_Toc433973742"/>
      <w:bookmarkStart w:id="2721" w:name="_Toc433974740"/>
      <w:bookmarkStart w:id="2722" w:name="_Toc433975731"/>
      <w:bookmarkStart w:id="2723" w:name="_Toc433973777"/>
      <w:bookmarkStart w:id="2724" w:name="_Toc433974775"/>
      <w:bookmarkStart w:id="2725" w:name="_Toc433975766"/>
      <w:bookmarkStart w:id="2726" w:name="_Toc433973778"/>
      <w:bookmarkStart w:id="2727" w:name="_Toc433974776"/>
      <w:bookmarkStart w:id="2728" w:name="_Toc433975767"/>
      <w:bookmarkStart w:id="2729" w:name="_Toc433973779"/>
      <w:bookmarkStart w:id="2730" w:name="_Toc433974777"/>
      <w:bookmarkStart w:id="2731" w:name="_Toc433975768"/>
      <w:bookmarkStart w:id="2732" w:name="_Toc433973780"/>
      <w:bookmarkStart w:id="2733" w:name="_Toc433974778"/>
      <w:bookmarkStart w:id="2734" w:name="_Toc433975769"/>
      <w:bookmarkStart w:id="2735" w:name="_Toc288001404"/>
      <w:bookmarkStart w:id="2736" w:name="_Toc284323718"/>
      <w:bookmarkStart w:id="2737" w:name="_Toc284334395"/>
      <w:bookmarkStart w:id="2738" w:name="_Toc285005369"/>
      <w:bookmarkStart w:id="2739" w:name="_Ref292982584"/>
      <w:bookmarkStart w:id="2740" w:name="_Toc318089047"/>
      <w:bookmarkStart w:id="2741" w:name="_Toc318089221"/>
      <w:bookmarkStart w:id="2742" w:name="_Toc296694187"/>
      <w:bookmarkStart w:id="2743" w:name="_Toc391540256"/>
      <w:bookmarkStart w:id="2744" w:name="_Ref412060366"/>
      <w:bookmarkStart w:id="2745" w:name="_Toc111118569"/>
      <w:bookmarkStart w:id="2746" w:name="_Toc205102222"/>
      <w:bookmarkStart w:id="2747" w:name="_Ref168906532"/>
      <w:bookmarkStart w:id="2748" w:name="_Toc284323731"/>
      <w:bookmarkStart w:id="2749" w:name="_Toc284334408"/>
      <w:bookmarkStart w:id="2750" w:name="_Toc285005382"/>
      <w:bookmarkStart w:id="2751" w:name="_Toc296694197"/>
      <w:bookmarkStart w:id="2752" w:name="_Toc391540270"/>
      <w:bookmarkEnd w:id="1139"/>
      <w:bookmarkEnd w:id="1140"/>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r>
        <w:lastRenderedPageBreak/>
        <w:t>Netzkontensystematik</w:t>
      </w:r>
      <w:bookmarkEnd w:id="2736"/>
      <w:bookmarkEnd w:id="2737"/>
      <w:bookmarkEnd w:id="2738"/>
      <w:bookmarkEnd w:id="2739"/>
      <w:bookmarkEnd w:id="2740"/>
      <w:bookmarkEnd w:id="2741"/>
      <w:bookmarkEnd w:id="2742"/>
      <w:bookmarkEnd w:id="2743"/>
      <w:bookmarkEnd w:id="2744"/>
      <w:bookmarkEnd w:id="2745"/>
    </w:p>
    <w:p w14:paraId="3E2C273C" w14:textId="77777777" w:rsidR="000F3299" w:rsidRDefault="000F3299" w:rsidP="003C2438">
      <w:pPr>
        <w:pStyle w:val="berschrift2"/>
        <w:ind w:left="851" w:hanging="851"/>
      </w:pPr>
      <w:bookmarkStart w:id="2753" w:name="_Toc111118570"/>
      <w:r>
        <w:t>Grundlagen der Netzkontensystematik</w:t>
      </w:r>
      <w:bookmarkEnd w:id="2753"/>
      <w:r>
        <w:t xml:space="preserve"> </w:t>
      </w:r>
    </w:p>
    <w:p w14:paraId="3EEA045C" w14:textId="6E23EF59" w:rsidR="000F3299" w:rsidRPr="00F65C32" w:rsidRDefault="000F3299" w:rsidP="003C2438">
      <w:r>
        <w:t xml:space="preserve">Die Einrichtung von Netzkonten und </w:t>
      </w:r>
      <w:r w:rsidR="00DC50EA">
        <w:t>NKBO</w:t>
      </w:r>
      <w:r>
        <w:t xml:space="preserve"> sowie deren jeweiligen Bezeichnungen durch den MGV </w:t>
      </w:r>
      <w:r w:rsidR="007460AB">
        <w:t>sind</w:t>
      </w:r>
      <w:r>
        <w:t xml:space="preserve"> in Kap. </w:t>
      </w:r>
      <w:r w:rsidR="00561FFA">
        <w:fldChar w:fldCharType="begin"/>
      </w:r>
      <w:r w:rsidR="001421D3">
        <w:instrText xml:space="preserve"> REF _Ref437334687 \w \h </w:instrText>
      </w:r>
      <w:r w:rsidR="00561FFA">
        <w:fldChar w:fldCharType="separate"/>
      </w:r>
      <w:r w:rsidR="00692E23">
        <w:t>2.3</w:t>
      </w:r>
      <w:r w:rsidR="00561FFA">
        <w:fldChar w:fldCharType="end"/>
      </w:r>
      <w:r w:rsidR="001F74EB">
        <w:t xml:space="preserve"> </w:t>
      </w:r>
      <w:r w:rsidR="007460AB">
        <w:t xml:space="preserve">und </w:t>
      </w:r>
      <w:r w:rsidR="00561FFA">
        <w:fldChar w:fldCharType="begin"/>
      </w:r>
      <w:r w:rsidR="007460AB">
        <w:instrText xml:space="preserve"> REF _Ref436725947 \r \h </w:instrText>
      </w:r>
      <w:r w:rsidR="00561FFA">
        <w:fldChar w:fldCharType="separate"/>
      </w:r>
      <w:r w:rsidR="00692E23">
        <w:t>2.4</w:t>
      </w:r>
      <w:r w:rsidR="00561FFA">
        <w:fldChar w:fldCharType="end"/>
      </w:r>
      <w:r w:rsidR="007460AB">
        <w:t xml:space="preserve"> </w:t>
      </w:r>
      <w:r>
        <w:t xml:space="preserve">beschrieben. </w:t>
      </w:r>
      <w:r w:rsidRPr="00F65C32">
        <w:t>Die Führung des Netzkontos obliegt dem MGV.</w:t>
      </w:r>
      <w:r w:rsidR="007460AB">
        <w:t xml:space="preserve"> </w:t>
      </w:r>
      <w:r>
        <w:t>Grundlage sind die von den jeweiligen NB mitgeteilten Allokationen</w:t>
      </w:r>
      <w:r w:rsidR="00F255DE">
        <w:t xml:space="preserve"> </w:t>
      </w:r>
      <w:r w:rsidR="00263B74">
        <w:t xml:space="preserve">und </w:t>
      </w:r>
      <w:r w:rsidR="00074E7D">
        <w:t>soweit</w:t>
      </w:r>
      <w:r w:rsidR="00F255DE">
        <w:t xml:space="preserve"> </w:t>
      </w:r>
      <w:r w:rsidR="00074E7D">
        <w:t xml:space="preserve">erforderlich die </w:t>
      </w:r>
      <w:r w:rsidR="00F255DE">
        <w:t>vom MGV gebildete</w:t>
      </w:r>
      <w:r w:rsidR="004E75C2">
        <w:t>n</w:t>
      </w:r>
      <w:r w:rsidR="00F255DE">
        <w:t xml:space="preserve"> Ersatzwerte</w:t>
      </w:r>
      <w:r>
        <w:t>.</w:t>
      </w:r>
    </w:p>
    <w:p w14:paraId="32B615EA" w14:textId="0B786C4E" w:rsidR="000F3299" w:rsidRDefault="000F3299" w:rsidP="003C2438">
      <w:r w:rsidRPr="00706A28">
        <w:t>In dem Netzkonto werden die Einspeisungen in das Netz des jeweiligen NB den auf BK</w:t>
      </w:r>
      <w:r w:rsidR="00DE10AD">
        <w:t>/SBK</w:t>
      </w:r>
      <w:r w:rsidRPr="00706A28">
        <w:t xml:space="preserve"> allokierten Ausspeisungen sowie den Ausspeisungen zu n</w:t>
      </w:r>
      <w:r>
        <w:t>achgelagerten Netzen, Speichern</w:t>
      </w:r>
      <w:r w:rsidRPr="00706A28">
        <w:t xml:space="preserve"> etc. aus diesem Netz gegenübergestellt.</w:t>
      </w:r>
    </w:p>
    <w:p w14:paraId="0E737958" w14:textId="7EBA0F3F" w:rsidR="000F3299" w:rsidRDefault="000F3299" w:rsidP="003C2438">
      <w:r>
        <w:t xml:space="preserve">Zur </w:t>
      </w:r>
      <w:r w:rsidR="00B11D47">
        <w:t xml:space="preserve">Berücksichtigung und </w:t>
      </w:r>
      <w:r>
        <w:t xml:space="preserve">Allokation von Netzpufferveränderungen und OBAs an Speichern siehe auch </w:t>
      </w:r>
      <w:r w:rsidR="00B11D47">
        <w:t xml:space="preserve">Kap. </w:t>
      </w:r>
      <w:r w:rsidR="00561FFA">
        <w:fldChar w:fldCharType="begin"/>
      </w:r>
      <w:r w:rsidR="001421D3">
        <w:instrText xml:space="preserve"> REF _Ref436725947 \w \h </w:instrText>
      </w:r>
      <w:r w:rsidR="00561FFA">
        <w:fldChar w:fldCharType="separate"/>
      </w:r>
      <w:r w:rsidR="00692E23">
        <w:t>2.4</w:t>
      </w:r>
      <w:r w:rsidR="00561FFA">
        <w:fldChar w:fldCharType="end"/>
      </w:r>
      <w:r w:rsidR="00B11D47">
        <w:t xml:space="preserve"> und </w:t>
      </w:r>
      <w:r>
        <w:t xml:space="preserve">Kap. </w:t>
      </w:r>
      <w:r w:rsidR="00561FFA">
        <w:fldChar w:fldCharType="begin"/>
      </w:r>
      <w:r>
        <w:instrText xml:space="preserve"> REF _Ref436135427 \r \h </w:instrText>
      </w:r>
      <w:r w:rsidR="00561FFA">
        <w:fldChar w:fldCharType="separate"/>
      </w:r>
      <w:r w:rsidR="00692E23">
        <w:t>5.5.7</w:t>
      </w:r>
      <w:r w:rsidR="00561FFA">
        <w:fldChar w:fldCharType="end"/>
      </w:r>
      <w:r>
        <w:t>.</w:t>
      </w:r>
    </w:p>
    <w:p w14:paraId="7F02D572" w14:textId="77777777" w:rsidR="000F3299" w:rsidRDefault="000F3299" w:rsidP="003C2438"/>
    <w:p w14:paraId="2AC36443" w14:textId="77777777" w:rsidR="000F3299" w:rsidRDefault="000F3299" w:rsidP="003C2438">
      <w:r w:rsidRPr="00FC4D7C">
        <w:rPr>
          <w:noProof/>
        </w:rPr>
        <w:drawing>
          <wp:inline distT="0" distB="0" distL="0" distR="0" wp14:anchorId="158B454C" wp14:editId="1AEE2385">
            <wp:extent cx="5759450" cy="3139992"/>
            <wp:effectExtent l="19050" t="0" r="0" b="0"/>
            <wp:docPr id="28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2" cstate="print"/>
                    <a:srcRect/>
                    <a:stretch>
                      <a:fillRect/>
                    </a:stretch>
                  </pic:blipFill>
                  <pic:spPr bwMode="auto">
                    <a:xfrm>
                      <a:off x="0" y="0"/>
                      <a:ext cx="5759450" cy="3139992"/>
                    </a:xfrm>
                    <a:prstGeom prst="rect">
                      <a:avLst/>
                    </a:prstGeom>
                    <a:noFill/>
                    <a:ln w="9525">
                      <a:noFill/>
                      <a:miter lim="800000"/>
                      <a:headEnd/>
                      <a:tailEnd/>
                    </a:ln>
                  </pic:spPr>
                </pic:pic>
              </a:graphicData>
            </a:graphic>
          </wp:inline>
        </w:drawing>
      </w:r>
    </w:p>
    <w:p w14:paraId="24EA1CE8" w14:textId="6DA3B893" w:rsidR="000F3299" w:rsidRPr="00996036" w:rsidRDefault="000F3299" w:rsidP="003C2438">
      <w:pPr>
        <w:pStyle w:val="Abbildung"/>
        <w:rPr>
          <w:b/>
        </w:rPr>
      </w:pPr>
      <w:bookmarkStart w:id="2754" w:name="_Toc317858366"/>
      <w:bookmarkStart w:id="2755" w:name="_Toc292899251"/>
      <w:bookmarkStart w:id="2756" w:name="_Toc296694375"/>
      <w:bookmarkStart w:id="2757" w:name="_Toc357092090"/>
      <w:bookmarkStart w:id="2758" w:name="_Toc390346605"/>
      <w:bookmarkStart w:id="2759" w:name="_Toc412562697"/>
      <w:bookmarkStart w:id="2760" w:name="_Toc437530359"/>
      <w:bookmarkStart w:id="2761" w:name="_Toc111118628"/>
      <w:bookmarkStart w:id="2762" w:name="_Toc111196174"/>
      <w:r w:rsidRPr="00996036">
        <w:rPr>
          <w:b/>
        </w:rPr>
        <w:t xml:space="preserve">Abbildung </w:t>
      </w:r>
      <w:r w:rsidR="00561FFA" w:rsidRPr="00996036">
        <w:rPr>
          <w:b/>
        </w:rPr>
        <w:fldChar w:fldCharType="begin"/>
      </w:r>
      <w:r w:rsidRPr="00996036">
        <w:rPr>
          <w:b/>
        </w:rPr>
        <w:instrText xml:space="preserve"> SEQ Abbildung \* ARABIC </w:instrText>
      </w:r>
      <w:r w:rsidR="00561FFA" w:rsidRPr="00996036">
        <w:rPr>
          <w:b/>
        </w:rPr>
        <w:fldChar w:fldCharType="separate"/>
      </w:r>
      <w:r w:rsidR="007A098D">
        <w:rPr>
          <w:b/>
        </w:rPr>
        <w:t>45</w:t>
      </w:r>
      <w:r w:rsidR="00561FFA" w:rsidRPr="00996036">
        <w:rPr>
          <w:b/>
        </w:rPr>
        <w:fldChar w:fldCharType="end"/>
      </w:r>
      <w:r w:rsidRPr="00996036">
        <w:rPr>
          <w:b/>
        </w:rPr>
        <w:t>: Grenzen eines Netzkontos</w:t>
      </w:r>
      <w:bookmarkEnd w:id="2754"/>
      <w:bookmarkEnd w:id="2755"/>
      <w:bookmarkEnd w:id="2756"/>
      <w:bookmarkEnd w:id="2757"/>
      <w:bookmarkEnd w:id="2758"/>
      <w:bookmarkEnd w:id="2759"/>
      <w:bookmarkEnd w:id="2760"/>
      <w:bookmarkEnd w:id="2761"/>
      <w:bookmarkEnd w:id="2762"/>
    </w:p>
    <w:p w14:paraId="4463BD75" w14:textId="77777777" w:rsidR="000F3299" w:rsidRDefault="000F3299" w:rsidP="003C2438"/>
    <w:p w14:paraId="41680ECA" w14:textId="41440E55" w:rsidR="00C62399" w:rsidRDefault="000F3299" w:rsidP="003C2438">
      <w:pPr>
        <w:keepNext/>
      </w:pPr>
      <w:r>
        <w:t xml:space="preserve">Folgende Zeitreihen (siehe auch Kap. </w:t>
      </w:r>
      <w:r w:rsidR="00561FFA">
        <w:fldChar w:fldCharType="begin"/>
      </w:r>
      <w:r>
        <w:instrText xml:space="preserve"> REF _Ref287299732 \r \h </w:instrText>
      </w:r>
      <w:r w:rsidR="00561FFA">
        <w:fldChar w:fldCharType="separate"/>
      </w:r>
      <w:r w:rsidR="00692E23">
        <w:t>2.10</w:t>
      </w:r>
      <w:r w:rsidR="00561FFA">
        <w:fldChar w:fldCharType="end"/>
      </w:r>
      <w:r>
        <w:t>) werden im Netzkonto geführt:</w:t>
      </w:r>
    </w:p>
    <w:p w14:paraId="500C3AB1" w14:textId="0B92C7CA" w:rsidR="00B41B2F" w:rsidRDefault="00B41B2F" w:rsidP="007F76BC">
      <w:pPr>
        <w:pStyle w:val="NummerierteListeohneEinzug"/>
        <w:numPr>
          <w:ilvl w:val="0"/>
          <w:numId w:val="24"/>
        </w:numPr>
      </w:pPr>
      <w:proofErr w:type="gramStart"/>
      <w:r w:rsidRPr="00F23001">
        <w:t>Vom vorgelagerten NB übernommene Gasmengen</w:t>
      </w:r>
      <w:proofErr w:type="gramEnd"/>
      <w:r w:rsidRPr="00F23001">
        <w:t xml:space="preserve"> (Entry NKP) aggregiert über alle Netzkopplungspunkte</w:t>
      </w:r>
    </w:p>
    <w:p w14:paraId="003473F1" w14:textId="77777777" w:rsidR="000F3299" w:rsidRDefault="000F3299" w:rsidP="007F76BC">
      <w:pPr>
        <w:pStyle w:val="NummerierteListeohneEinzug"/>
        <w:numPr>
          <w:ilvl w:val="0"/>
          <w:numId w:val="24"/>
        </w:numPr>
      </w:pPr>
      <w:r>
        <w:lastRenderedPageBreak/>
        <w:t>A</w:t>
      </w:r>
      <w:r w:rsidRPr="00F23001">
        <w:t>n Biogasanlagen eingespeisten Flüssiggasmengen</w:t>
      </w:r>
      <w:r>
        <w:t xml:space="preserve"> (Entry Flüssiggas)</w:t>
      </w:r>
    </w:p>
    <w:p w14:paraId="77509DA5" w14:textId="77777777" w:rsidR="000F3299" w:rsidRDefault="000F3299" w:rsidP="007F76BC">
      <w:pPr>
        <w:pStyle w:val="NummerierteListeohneEinzug"/>
        <w:numPr>
          <w:ilvl w:val="0"/>
          <w:numId w:val="24"/>
        </w:numPr>
      </w:pPr>
      <w:r w:rsidRPr="00F23001">
        <w:t>Rückspeisungen zum vorgelagerten NB (Entry NKP), aggregiert über die Netzkopplungspunkte je nachgelagerten NB</w:t>
      </w:r>
    </w:p>
    <w:p w14:paraId="6ABCAC84" w14:textId="77777777" w:rsidR="000F3299" w:rsidRDefault="000F3299" w:rsidP="007F76BC">
      <w:pPr>
        <w:pStyle w:val="NummerierteListeohneEinzug"/>
        <w:numPr>
          <w:ilvl w:val="0"/>
          <w:numId w:val="24"/>
        </w:numPr>
      </w:pPr>
      <w:r w:rsidRPr="00F23001">
        <w:t>An Netzkopplungspunkten zu nachgelagerte</w:t>
      </w:r>
      <w:r>
        <w:t>n</w:t>
      </w:r>
      <w:r w:rsidRPr="00F23001">
        <w:t xml:space="preserve"> NB übergebene</w:t>
      </w:r>
      <w:r>
        <w:t>n</w:t>
      </w:r>
      <w:r w:rsidRPr="00F23001">
        <w:t xml:space="preserve"> Gasmengen (Entry NKP), aggregiert über die Netzkopplungspunkte je nachgelagerten NB</w:t>
      </w:r>
    </w:p>
    <w:p w14:paraId="633329A1" w14:textId="659595AF" w:rsidR="000F3299" w:rsidRDefault="000F3299" w:rsidP="007F76BC">
      <w:pPr>
        <w:pStyle w:val="NummerierteListeohneEinzug"/>
        <w:numPr>
          <w:ilvl w:val="0"/>
          <w:numId w:val="24"/>
        </w:numPr>
      </w:pPr>
      <w:r w:rsidRPr="00F23001">
        <w:t>Alle durch</w:t>
      </w:r>
      <w:r w:rsidR="006E7863">
        <w:t xml:space="preserve"> </w:t>
      </w:r>
      <w:r w:rsidRPr="00F23001">
        <w:t>den jeweiligen NB durchgeführte</w:t>
      </w:r>
      <w:r w:rsidR="00EF1A5F">
        <w:t>,</w:t>
      </w:r>
      <w:r w:rsidRPr="00F23001">
        <w:t xml:space="preserve"> bilanzkreisrelevante Allokationen der verschiedenen Zeitreihentypen.</w:t>
      </w:r>
    </w:p>
    <w:p w14:paraId="3CD0F1FC" w14:textId="77777777" w:rsidR="000F3299" w:rsidRPr="00BE5E75" w:rsidRDefault="000F3299" w:rsidP="007F76BC">
      <w:pPr>
        <w:pStyle w:val="NummerierteListeohneEinzug"/>
        <w:numPr>
          <w:ilvl w:val="0"/>
          <w:numId w:val="24"/>
        </w:numPr>
      </w:pPr>
      <w:r w:rsidRPr="00F23001">
        <w:t xml:space="preserve">Lastgänge </w:t>
      </w:r>
      <w:r>
        <w:t xml:space="preserve">von </w:t>
      </w:r>
      <w:r w:rsidRPr="00F23001">
        <w:t>Netzpuffer</w:t>
      </w:r>
      <w:r>
        <w:t>n</w:t>
      </w:r>
      <w:r w:rsidRPr="00F23001">
        <w:t xml:space="preserve"> (</w:t>
      </w:r>
      <w:proofErr w:type="spellStart"/>
      <w:r w:rsidRPr="00F23001">
        <w:t>Entryso</w:t>
      </w:r>
      <w:proofErr w:type="spellEnd"/>
      <w:r w:rsidRPr="00F23001">
        <w:t xml:space="preserve"> bzw. </w:t>
      </w:r>
      <w:proofErr w:type="spellStart"/>
      <w:r w:rsidRPr="00F23001">
        <w:t>Exitso</w:t>
      </w:r>
      <w:proofErr w:type="spellEnd"/>
      <w:r w:rsidRPr="00F23001">
        <w:t xml:space="preserve">) </w:t>
      </w:r>
      <w:r w:rsidR="00B11D47">
        <w:t xml:space="preserve">und </w:t>
      </w:r>
      <w:r>
        <w:t>ggf</w:t>
      </w:r>
      <w:r w:rsidRPr="00F23001">
        <w:t>.</w:t>
      </w:r>
      <w:r>
        <w:t xml:space="preserve"> OBA</w:t>
      </w:r>
      <w:bookmarkStart w:id="2763" w:name="_MON_1367052637"/>
      <w:bookmarkStart w:id="2764" w:name="_Toc296694474"/>
      <w:bookmarkStart w:id="2765" w:name="_Toc317858373"/>
      <w:bookmarkStart w:id="2766" w:name="_Toc357092091"/>
      <w:bookmarkStart w:id="2767" w:name="_Toc390346606"/>
      <w:bookmarkStart w:id="2768" w:name="_Toc412562698"/>
      <w:bookmarkEnd w:id="2763"/>
    </w:p>
    <w:bookmarkEnd w:id="2764"/>
    <w:bookmarkEnd w:id="2765"/>
    <w:bookmarkEnd w:id="2766"/>
    <w:bookmarkEnd w:id="2767"/>
    <w:p w14:paraId="36E02AFC" w14:textId="19074728" w:rsidR="000F3299" w:rsidRDefault="000F3299" w:rsidP="003C2438"/>
    <w:p w14:paraId="1E616BEA" w14:textId="415DBB41" w:rsidR="00187AE4" w:rsidRDefault="00187AE4" w:rsidP="003C2438">
      <w:r w:rsidRPr="002C72CF">
        <w:rPr>
          <w:noProof/>
        </w:rPr>
        <w:lastRenderedPageBreak/>
        <w:drawing>
          <wp:inline distT="0" distB="0" distL="0" distR="0" wp14:anchorId="43E57B10" wp14:editId="006D521A">
            <wp:extent cx="5759450" cy="741235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9450" cy="7412355"/>
                    </a:xfrm>
                    <a:prstGeom prst="rect">
                      <a:avLst/>
                    </a:prstGeom>
                    <a:noFill/>
                    <a:ln>
                      <a:noFill/>
                    </a:ln>
                  </pic:spPr>
                </pic:pic>
              </a:graphicData>
            </a:graphic>
          </wp:inline>
        </w:drawing>
      </w:r>
    </w:p>
    <w:p w14:paraId="6C313ABA" w14:textId="4BF7370F" w:rsidR="000F3299" w:rsidRPr="00BC3F08" w:rsidRDefault="000241B7" w:rsidP="00BC3F08">
      <w:pPr>
        <w:pStyle w:val="Abbildung"/>
        <w:spacing w:before="360"/>
        <w:rPr>
          <w:b/>
        </w:rPr>
      </w:pPr>
      <w:bookmarkStart w:id="2769" w:name="_Toc437530360"/>
      <w:bookmarkStart w:id="2770" w:name="_Toc111118629"/>
      <w:bookmarkStart w:id="2771" w:name="_Toc111196175"/>
      <w:r w:rsidRPr="00BE5E75">
        <w:rPr>
          <w:b/>
        </w:rPr>
        <w:lastRenderedPageBreak/>
        <w:t>Abbildung</w:t>
      </w:r>
      <w:r w:rsidR="000F3299" w:rsidRPr="00BE5E75">
        <w:rPr>
          <w:b/>
        </w:rPr>
        <w:t xml:space="preserve"> </w:t>
      </w:r>
      <w:r w:rsidR="00561FFA" w:rsidRPr="00BE5E75">
        <w:rPr>
          <w:b/>
        </w:rPr>
        <w:fldChar w:fldCharType="begin"/>
      </w:r>
      <w:r w:rsidR="000F3299" w:rsidRPr="00BE5E75">
        <w:rPr>
          <w:b/>
        </w:rPr>
        <w:instrText xml:space="preserve"> SEQ Abbildung \* ARABIC </w:instrText>
      </w:r>
      <w:r w:rsidR="00561FFA" w:rsidRPr="00BE5E75">
        <w:rPr>
          <w:b/>
        </w:rPr>
        <w:fldChar w:fldCharType="separate"/>
      </w:r>
      <w:r w:rsidR="007A098D">
        <w:rPr>
          <w:b/>
        </w:rPr>
        <w:t>46</w:t>
      </w:r>
      <w:r w:rsidR="00561FFA" w:rsidRPr="00BE5E75">
        <w:rPr>
          <w:b/>
        </w:rPr>
        <w:fldChar w:fldCharType="end"/>
      </w:r>
      <w:r w:rsidR="000F3299" w:rsidRPr="00BE5E75">
        <w:rPr>
          <w:b/>
        </w:rPr>
        <w:t xml:space="preserve">: Berechnung </w:t>
      </w:r>
      <w:bookmarkEnd w:id="2768"/>
      <w:r w:rsidR="000F3299" w:rsidRPr="00BE5E75">
        <w:rPr>
          <w:b/>
        </w:rPr>
        <w:t>der Netzkontosalden</w:t>
      </w:r>
      <w:bookmarkEnd w:id="2769"/>
      <w:bookmarkEnd w:id="2770"/>
      <w:bookmarkEnd w:id="2771"/>
    </w:p>
    <w:p w14:paraId="37A6E928" w14:textId="1406D9F4" w:rsidR="00FF3030" w:rsidRDefault="00FD24EB" w:rsidP="003C2438">
      <w:pPr>
        <w:pStyle w:val="berschrift2"/>
        <w:ind w:left="851" w:hanging="851"/>
      </w:pPr>
      <w:bookmarkStart w:id="2772" w:name="_Toc111118571"/>
      <w:r w:rsidRPr="00FD24EB">
        <w:t>Definition der Netzkontosalden</w:t>
      </w:r>
      <w:bookmarkEnd w:id="2772"/>
    </w:p>
    <w:p w14:paraId="194B797A" w14:textId="28B53D8B" w:rsidR="000F3299" w:rsidRPr="00F23001" w:rsidRDefault="000F3299" w:rsidP="003C2438">
      <w:pPr>
        <w:pStyle w:val="Aufzhlungszeichen2"/>
      </w:pPr>
      <w:r>
        <w:t xml:space="preserve">Positiver </w:t>
      </w:r>
      <w:r w:rsidRPr="00F23001">
        <w:t>Netzkontosaldo</w:t>
      </w:r>
      <w:r>
        <w:t xml:space="preserve"> (Unterallokation)</w:t>
      </w:r>
      <w:r w:rsidRPr="00F23001">
        <w:t xml:space="preserve">: </w:t>
      </w:r>
      <w:r w:rsidRPr="00F23001">
        <w:br/>
      </w:r>
      <w:r w:rsidR="00292EDF">
        <w:t>Ist für ein NK die Einspeisemenge größer als die Ausspeisemenge (Allokation) kommt es zu einem positiven Netzkontosaldo</w:t>
      </w:r>
      <w:r w:rsidRPr="00F23001">
        <w:t>.</w:t>
      </w:r>
    </w:p>
    <w:p w14:paraId="7F7FFDE8" w14:textId="3D886F87" w:rsidR="000F3299" w:rsidRPr="00F23001" w:rsidRDefault="000F3299" w:rsidP="003C2438">
      <w:pPr>
        <w:pStyle w:val="Aufzhlungszeichen2"/>
      </w:pPr>
      <w:r w:rsidRPr="00F23001">
        <w:t>Negativer Netzkontosaldo</w:t>
      </w:r>
      <w:r>
        <w:t xml:space="preserve"> (Überallokation)</w:t>
      </w:r>
      <w:r w:rsidRPr="00F23001">
        <w:t xml:space="preserve">: </w:t>
      </w:r>
      <w:r w:rsidRPr="00F23001">
        <w:br/>
      </w:r>
      <w:r w:rsidR="00292EDF">
        <w:t xml:space="preserve">Ist für ein NK die </w:t>
      </w:r>
      <w:r w:rsidRPr="00F23001">
        <w:t>Einspeisemenge geringer als die Ausspeisemenge</w:t>
      </w:r>
      <w:r w:rsidR="00D0076B">
        <w:t xml:space="preserve"> </w:t>
      </w:r>
      <w:r w:rsidR="00292EDF">
        <w:t>(Allokation) kommt es zu einem negativen Netzkontosaldo.</w:t>
      </w:r>
    </w:p>
    <w:p w14:paraId="6C3C9D26" w14:textId="25DF9613" w:rsidR="000F3299" w:rsidRPr="00F23001" w:rsidRDefault="000F3299" w:rsidP="003C2438">
      <w:pPr>
        <w:pStyle w:val="Aufzhlungszeichen2"/>
      </w:pPr>
      <w:r w:rsidRPr="00F23001">
        <w:t>Der Netzkontosaldo „0“ wird täglich</w:t>
      </w:r>
      <w:r>
        <w:t xml:space="preserve"> auf Basis des </w:t>
      </w:r>
      <w:proofErr w:type="spellStart"/>
      <w:r>
        <w:t>Gastages</w:t>
      </w:r>
      <w:proofErr w:type="spellEnd"/>
      <w:r>
        <w:t xml:space="preserve"> ermittelt und jeweils an D+1 (bis 20:00</w:t>
      </w:r>
      <w:r w:rsidR="00D40AF0">
        <w:t xml:space="preserve"> </w:t>
      </w:r>
      <w:r>
        <w:t>Uhr)</w:t>
      </w:r>
      <w:r w:rsidRPr="00F23001">
        <w:t xml:space="preserve">, </w:t>
      </w:r>
      <w:r>
        <w:t xml:space="preserve">sowie </w:t>
      </w:r>
      <w:r w:rsidRPr="00F23001">
        <w:t xml:space="preserve">monatlich </w:t>
      </w:r>
      <w:r w:rsidRPr="00783A40">
        <w:t>M+2M-</w:t>
      </w:r>
      <w:r w:rsidR="00AE2F16">
        <w:t>8WT</w:t>
      </w:r>
      <w:r>
        <w:t xml:space="preserve"> und M+2M+1</w:t>
      </w:r>
      <w:r w:rsidRPr="00783A40">
        <w:t>5WT</w:t>
      </w:r>
      <w:r>
        <w:t xml:space="preserve"> vom MGV an den NB übermittelt.</w:t>
      </w:r>
    </w:p>
    <w:p w14:paraId="6C659BFC" w14:textId="77D3D166" w:rsidR="000F3299" w:rsidRPr="00F23001" w:rsidRDefault="000F3299" w:rsidP="003C2438">
      <w:pPr>
        <w:pStyle w:val="Aufzhlungszeichen2"/>
      </w:pPr>
      <w:r w:rsidRPr="00F23001">
        <w:t>Der Netzkontosaldo „1“ ergibt sich aus dem Netzkontosaldo „0“ unter Berücksichtigung der RLM-</w:t>
      </w:r>
      <w:r>
        <w:t>Differenzmengen</w:t>
      </w:r>
      <w:r w:rsidRPr="00F23001">
        <w:t>.</w:t>
      </w:r>
      <w:r>
        <w:t xml:space="preserve"> </w:t>
      </w:r>
      <w:r w:rsidRPr="00F23001">
        <w:t>Der Netzkontosaldo „</w:t>
      </w:r>
      <w:r>
        <w:t>1</w:t>
      </w:r>
      <w:r w:rsidRPr="00F23001">
        <w:t>“ wird täglich</w:t>
      </w:r>
      <w:r>
        <w:t xml:space="preserve"> ermittelt und </w:t>
      </w:r>
      <w:r w:rsidRPr="00783A40">
        <w:t>M+2M-</w:t>
      </w:r>
      <w:r w:rsidR="00AE2F16">
        <w:t>8WT</w:t>
      </w:r>
      <w:r w:rsidR="00916AAD">
        <w:t xml:space="preserve"> </w:t>
      </w:r>
      <w:r>
        <w:t>und M+2M+1</w:t>
      </w:r>
      <w:r w:rsidRPr="00783A40">
        <w:t>5WT</w:t>
      </w:r>
      <w:r>
        <w:t>) vom MGV an den NB übermittelt.</w:t>
      </w:r>
    </w:p>
    <w:p w14:paraId="111E0304" w14:textId="77777777" w:rsidR="003A5C09" w:rsidRDefault="000F3299" w:rsidP="003C2438">
      <w:r w:rsidRPr="00F23001">
        <w:t>Der Netzkontosaldo „2“ ergibt sich aus dem Netzkontosaldo „1“ unter Berücksichtigung der SLP-Mehr-/Mindermengen.</w:t>
      </w:r>
      <w:r>
        <w:t xml:space="preserve"> Der Netzkontosaldo „2“ wird </w:t>
      </w:r>
      <w:r w:rsidR="00A50C15">
        <w:t xml:space="preserve">auf Monatsbasis </w:t>
      </w:r>
      <w:r>
        <w:t>nach Verarbeitung einer SSQNOT beim MGV ermittelt und dem NB im Portal angezeigt.</w:t>
      </w:r>
    </w:p>
    <w:p w14:paraId="47667CA8" w14:textId="47429B6B" w:rsidR="00C62399" w:rsidRDefault="000F3299" w:rsidP="003C2438">
      <w:pPr>
        <w:pStyle w:val="berschrift2"/>
        <w:ind w:left="851" w:hanging="851"/>
      </w:pPr>
      <w:bookmarkStart w:id="2773" w:name="_Ref436140665"/>
      <w:bookmarkStart w:id="2774" w:name="_Ref436730513"/>
      <w:bookmarkStart w:id="2775" w:name="_Toc111118572"/>
      <w:bookmarkStart w:id="2776" w:name="_Toc285005371"/>
      <w:bookmarkStart w:id="2777" w:name="_Toc284334397"/>
      <w:bookmarkStart w:id="2778" w:name="_Toc284323720"/>
      <w:r w:rsidRPr="008F0716">
        <w:t xml:space="preserve">Berechnung der </w:t>
      </w:r>
      <w:r w:rsidR="008B2B4F">
        <w:t xml:space="preserve">täglichen prozentualen </w:t>
      </w:r>
      <w:r w:rsidRPr="008F0716">
        <w:t>Netzkontoabweichung</w:t>
      </w:r>
      <w:bookmarkEnd w:id="2773"/>
      <w:bookmarkEnd w:id="2774"/>
      <w:bookmarkEnd w:id="2775"/>
    </w:p>
    <w:p w14:paraId="41C90875" w14:textId="77777777" w:rsidR="000F3299" w:rsidRPr="00F65C32" w:rsidRDefault="000F3299" w:rsidP="003C2438">
      <w:r w:rsidRPr="00F65C32">
        <w:t xml:space="preserve">Grundlage für die Überprüfung von Netzkonten ist der auf Basis der Tagesmengen berechnete </w:t>
      </w:r>
      <w:r>
        <w:t xml:space="preserve">tägliche </w:t>
      </w:r>
      <w:r w:rsidRPr="00F65C32">
        <w:t xml:space="preserve">Netzkontosaldo </w:t>
      </w:r>
      <w:r>
        <w:t>1.</w:t>
      </w:r>
    </w:p>
    <w:p w14:paraId="7EC88228" w14:textId="2AFAA87E" w:rsidR="000F3299" w:rsidRDefault="00B41B2F" w:rsidP="003C2438">
      <w:r>
        <w:t xml:space="preserve">Die Bemessungsgröße </w:t>
      </w:r>
      <w:r w:rsidR="00D35722">
        <w:t xml:space="preserve">innerhalb der Abrechnung nach der täglichen Netzkontosystematik als Anreizsystem </w:t>
      </w:r>
      <w:r>
        <w:t xml:space="preserve">ist die tägliche </w:t>
      </w:r>
      <w:r w:rsidRPr="001E72B2">
        <w:t>prozentuale</w:t>
      </w:r>
      <w:r>
        <w:t xml:space="preserve"> </w:t>
      </w:r>
      <w:r w:rsidR="00786053">
        <w:t>Netzkontoabweichung</w:t>
      </w:r>
      <w:r>
        <w:t>. Diese berechnet sich aus dem Verhältnis des täglichen Netzkontosaldo</w:t>
      </w:r>
      <w:r w:rsidR="00D93664">
        <w:t>s</w:t>
      </w:r>
      <w:r>
        <w:t xml:space="preserve"> „1“ zur SLP-Allokation des jeweiligen Tages</w:t>
      </w:r>
      <w:r w:rsidR="004F4127">
        <w:t>:</w:t>
      </w:r>
    </w:p>
    <w:p w14:paraId="6D3645C5" w14:textId="77777777" w:rsidR="000F3299" w:rsidRDefault="000F3299" w:rsidP="003C2438"/>
    <w:p w14:paraId="561F7F8A" w14:textId="77777777" w:rsidR="000F3299" w:rsidRPr="001A570C" w:rsidRDefault="000F3299" w:rsidP="003C2438">
      <w:pPr>
        <w:rPr>
          <w:rFonts w:cs="Arial"/>
        </w:rPr>
      </w:pPr>
      <m:oMathPara>
        <m:oMath>
          <m:r>
            <m:rPr>
              <m:nor/>
            </m:rPr>
            <w:rPr>
              <w:rFonts w:cs="Arial"/>
            </w:rPr>
            <m:t>tägliche prozentuale Netzkontoabweichung</m:t>
          </m:r>
          <m:r>
            <w:rPr>
              <w:rFonts w:ascii="Cambria Math" w:cs="Arial"/>
            </w:rPr>
            <m:t xml:space="preserve"> </m:t>
          </m:r>
          <m:r>
            <m:rPr>
              <m:sty m:val="p"/>
            </m:rPr>
            <w:rPr>
              <w:rFonts w:ascii="Cambria Math" w:cs="Arial"/>
            </w:rPr>
            <m:t xml:space="preserve">= </m:t>
          </m:r>
          <m:f>
            <m:fPr>
              <m:ctrlPr>
                <w:rPr>
                  <w:rFonts w:ascii="Cambria Math" w:hAnsi="Cambria Math" w:cs="Arial"/>
                </w:rPr>
              </m:ctrlPr>
            </m:fPr>
            <m:num>
              <m:r>
                <m:rPr>
                  <m:nor/>
                </m:rPr>
                <w:rPr>
                  <w:rFonts w:cs="Arial"/>
                </w:rPr>
                <m:t>täglicher Netzkontosaldo 1 in kWh</m:t>
              </m:r>
            </m:num>
            <m:den>
              <m:r>
                <m:rPr>
                  <m:nor/>
                </m:rPr>
                <w:rPr>
                  <w:rFonts w:cs="Arial"/>
                </w:rPr>
                <m:t>tägliche SLP-Allokation in kWh</m:t>
              </m:r>
            </m:den>
          </m:f>
          <m:r>
            <w:rPr>
              <w:rFonts w:ascii="Cambria Math" w:cs="Arial"/>
            </w:rPr>
            <m:t xml:space="preserve"> </m:t>
          </m:r>
          <m:r>
            <w:rPr>
              <w:rFonts w:ascii="Cambria Math" w:hAnsi="Cambria Math" w:cs="Arial"/>
            </w:rPr>
            <m:t>∙</m:t>
          </m:r>
          <m:r>
            <w:rPr>
              <w:rFonts w:ascii="Cambria Math" w:cs="Arial"/>
            </w:rPr>
            <m:t xml:space="preserve"> 100%</m:t>
          </m:r>
        </m:oMath>
      </m:oMathPara>
    </w:p>
    <w:bookmarkEnd w:id="2776"/>
    <w:bookmarkEnd w:id="2777"/>
    <w:bookmarkEnd w:id="2778"/>
    <w:p w14:paraId="556F2C58" w14:textId="77777777" w:rsidR="000F3299" w:rsidRDefault="000F3299" w:rsidP="003C2438"/>
    <w:p w14:paraId="250507C2" w14:textId="3216427B" w:rsidR="000F3299" w:rsidRDefault="000F3299" w:rsidP="003C2438"/>
    <w:p w14:paraId="4F2D35EA" w14:textId="2FB67FAB" w:rsidR="00FF3030" w:rsidRDefault="00FF3030" w:rsidP="00650186">
      <w:pPr>
        <w:pStyle w:val="berschrift4"/>
        <w:numPr>
          <w:ilvl w:val="0"/>
          <w:numId w:val="0"/>
        </w:numPr>
        <w:spacing w:line="300" w:lineRule="atLeast"/>
        <w:ind w:left="1134"/>
      </w:pPr>
    </w:p>
    <w:p w14:paraId="2F5B2536" w14:textId="77777777" w:rsidR="000F3299" w:rsidRDefault="000F3299" w:rsidP="003C2438"/>
    <w:p w14:paraId="7E7880F8" w14:textId="6151233F" w:rsidR="000F3299" w:rsidRDefault="000F3299" w:rsidP="00372A70">
      <w:pPr>
        <w:pStyle w:val="berschrift2"/>
        <w:tabs>
          <w:tab w:val="clear" w:pos="851"/>
          <w:tab w:val="num" w:pos="-5103"/>
        </w:tabs>
        <w:spacing w:before="480"/>
        <w:ind w:left="851" w:hanging="851"/>
      </w:pPr>
      <w:bookmarkStart w:id="2779" w:name="_Toc318089222"/>
      <w:bookmarkStart w:id="2780" w:name="_Toc318089048"/>
      <w:bookmarkStart w:id="2781" w:name="_Ref317853119"/>
      <w:bookmarkStart w:id="2782" w:name="_Ref317851894"/>
      <w:bookmarkStart w:id="2783" w:name="_Toc319931977"/>
      <w:bookmarkStart w:id="2784" w:name="_Toc391540258"/>
      <w:bookmarkStart w:id="2785" w:name="_Toc111118573"/>
      <w:r>
        <w:lastRenderedPageBreak/>
        <w:t xml:space="preserve">Systematik der </w:t>
      </w:r>
      <w:bookmarkEnd w:id="2779"/>
      <w:bookmarkEnd w:id="2780"/>
      <w:bookmarkEnd w:id="2781"/>
      <w:bookmarkEnd w:id="2782"/>
      <w:bookmarkEnd w:id="2783"/>
      <w:bookmarkEnd w:id="2784"/>
      <w:r w:rsidR="00D35722">
        <w:t xml:space="preserve">Abrechnung, Meldung und Veröffentlichung nach der </w:t>
      </w:r>
      <w:r w:rsidR="00726C66">
        <w:t>täglichen Netzkontosystematik als Anreizsystem</w:t>
      </w:r>
      <w:bookmarkEnd w:id="2785"/>
    </w:p>
    <w:p w14:paraId="6FF89E61" w14:textId="00C21DC1" w:rsidR="000F3299" w:rsidRDefault="000F3299" w:rsidP="00372A70">
      <w:pPr>
        <w:pStyle w:val="berschrift3"/>
        <w:tabs>
          <w:tab w:val="clear" w:pos="1276"/>
          <w:tab w:val="num" w:pos="851"/>
        </w:tabs>
        <w:spacing w:before="480"/>
        <w:ind w:left="851" w:hanging="851"/>
      </w:pPr>
      <w:bookmarkStart w:id="2786" w:name="_Toc318089224"/>
      <w:bookmarkStart w:id="2787" w:name="_Toc318089050"/>
      <w:bookmarkStart w:id="2788" w:name="_Toc319931978"/>
      <w:bookmarkStart w:id="2789" w:name="_Toc391540259"/>
      <w:bookmarkStart w:id="2790" w:name="_Toc412661450"/>
      <w:bookmarkStart w:id="2791" w:name="_Toc111118574"/>
      <w:r>
        <w:t xml:space="preserve">Eckpunkte zur </w:t>
      </w:r>
      <w:bookmarkEnd w:id="2786"/>
      <w:bookmarkEnd w:id="2787"/>
      <w:bookmarkEnd w:id="2788"/>
      <w:bookmarkEnd w:id="2789"/>
      <w:bookmarkEnd w:id="2790"/>
      <w:r w:rsidR="00BD3908">
        <w:t>Abrechnung nach der täglichen Netzkontosystematik als Anreizsystem</w:t>
      </w:r>
      <w:bookmarkEnd w:id="2791"/>
    </w:p>
    <w:p w14:paraId="2FE0EBD8" w14:textId="747E02B6" w:rsidR="000F3299" w:rsidRDefault="000F3299" w:rsidP="003C2438">
      <w:r>
        <w:t xml:space="preserve">Die Abrechnung </w:t>
      </w:r>
      <w:r w:rsidR="00BD3908">
        <w:t xml:space="preserve">nach der täglichen Netzkontosystematik als Anreizsystem, die durch den MGV durchgeführt wird, </w:t>
      </w:r>
      <w:r>
        <w:t>setzt die erfolgte Abstimmung des Netzkontos voraus</w:t>
      </w:r>
      <w:r w:rsidRPr="00E60604">
        <w:t xml:space="preserve"> </w:t>
      </w:r>
      <w:r>
        <w:t>(siehe Kap.</w:t>
      </w:r>
      <w:r w:rsidR="00EB609F">
        <w:t xml:space="preserve"> </w:t>
      </w:r>
      <w:r w:rsidR="00561FFA">
        <w:fldChar w:fldCharType="begin"/>
      </w:r>
      <w:r w:rsidR="00EB609F">
        <w:instrText xml:space="preserve"> REF _Ref454808051 \r \h </w:instrText>
      </w:r>
      <w:r w:rsidR="00561FFA">
        <w:fldChar w:fldCharType="separate"/>
      </w:r>
      <w:r w:rsidR="00692E23">
        <w:t>11.4.2</w:t>
      </w:r>
      <w:r w:rsidR="00561FFA">
        <w:fldChar w:fldCharType="end"/>
      </w:r>
      <w:r>
        <w:t>).</w:t>
      </w:r>
    </w:p>
    <w:p w14:paraId="62C49A01" w14:textId="3CBFC0FA" w:rsidR="000F3299" w:rsidRDefault="000F3299" w:rsidP="00786053">
      <w:pPr>
        <w:tabs>
          <w:tab w:val="left" w:pos="4820"/>
        </w:tabs>
      </w:pPr>
      <w:r>
        <w:t>Grundlage für die Abrechnung</w:t>
      </w:r>
      <w:r w:rsidR="006F017F">
        <w:t xml:space="preserve"> </w:t>
      </w:r>
      <w:r w:rsidR="00BD3908">
        <w:t xml:space="preserve">nach der täglichen Netzkontosystematik als Anreizsystem </w:t>
      </w:r>
      <w:r>
        <w:t xml:space="preserve">bildet die </w:t>
      </w:r>
      <w:r w:rsidR="00786053">
        <w:t xml:space="preserve">tägliche </w:t>
      </w:r>
      <w:r w:rsidR="00C84E61">
        <w:t xml:space="preserve">prozentuale </w:t>
      </w:r>
      <w:r>
        <w:t xml:space="preserve">Netzkontoabweichung (siehe Kap. </w:t>
      </w:r>
      <w:r w:rsidR="00561FFA">
        <w:fldChar w:fldCharType="begin"/>
      </w:r>
      <w:r>
        <w:instrText xml:space="preserve"> REF _Ref436140665 \r \h </w:instrText>
      </w:r>
      <w:r w:rsidR="00561FFA">
        <w:fldChar w:fldCharType="separate"/>
      </w:r>
      <w:r w:rsidR="00692E23">
        <w:t>11.3</w:t>
      </w:r>
      <w:r w:rsidR="00561FFA">
        <w:fldChar w:fldCharType="end"/>
      </w:r>
      <w:r>
        <w:t xml:space="preserve">). Es werden einerseits Unterallokationen von täglichen </w:t>
      </w:r>
      <w:r w:rsidR="00C27225">
        <w:t xml:space="preserve">prozentualen </w:t>
      </w:r>
      <w:r>
        <w:t>Netzkontoabweichungen von größer 35% vom MGV abgerechnet, sofern die Anzahl von 6 Karenztagen im jeweiligen Monat (M) überschritten wird. Andererseits werden im jeweiligen Monat (M) Überallokationen von tägliche</w:t>
      </w:r>
      <w:r w:rsidR="00D721FE">
        <w:t>n</w:t>
      </w:r>
      <w:r>
        <w:t xml:space="preserve"> </w:t>
      </w:r>
      <w:r w:rsidR="00C27225">
        <w:t xml:space="preserve">prozentualen </w:t>
      </w:r>
      <w:r>
        <w:t xml:space="preserve">Netzkontoabweichungen </w:t>
      </w:r>
      <w:r w:rsidR="00823F0D">
        <w:t xml:space="preserve">von unter 0% </w:t>
      </w:r>
      <w:r>
        <w:t xml:space="preserve">bis -3% vom MGV an den </w:t>
      </w:r>
      <w:r w:rsidR="004F593C">
        <w:t>NB</w:t>
      </w:r>
      <w:r>
        <w:t xml:space="preserve"> ausgezahlt (siehe Kap. </w:t>
      </w:r>
      <w:r w:rsidR="00561FFA">
        <w:fldChar w:fldCharType="begin"/>
      </w:r>
      <w:r>
        <w:instrText xml:space="preserve"> REF _Ref436141496 \r \h </w:instrText>
      </w:r>
      <w:r w:rsidR="00561FFA">
        <w:fldChar w:fldCharType="separate"/>
      </w:r>
      <w:r w:rsidR="00692E23">
        <w:t>11.4.4</w:t>
      </w:r>
      <w:r w:rsidR="00561FFA">
        <w:fldChar w:fldCharType="end"/>
      </w:r>
      <w:r>
        <w:t>)</w:t>
      </w:r>
      <w:r w:rsidR="00D859CD">
        <w:t>.</w:t>
      </w:r>
    </w:p>
    <w:p w14:paraId="2B54FEB8" w14:textId="2D7D92C1" w:rsidR="000F3299" w:rsidRDefault="000F3299" w:rsidP="003C2438">
      <w:r>
        <w:t xml:space="preserve">Der MGV rechnet die einzelnen Tagesabweichungen für Über- und Unterallokation des jeweiligen Monats (M) summiert im Rahmen einer Monatsrechnung oder Monatsgutschrift ab. Die geleisteten Zahlungen des </w:t>
      </w:r>
      <w:r w:rsidR="004F593C">
        <w:t xml:space="preserve">NB </w:t>
      </w:r>
      <w:r>
        <w:t xml:space="preserve">an den MGV oder des MGV an den </w:t>
      </w:r>
      <w:r w:rsidR="004F593C">
        <w:t>NB</w:t>
      </w:r>
      <w:r>
        <w:t xml:space="preserve"> stellen eine Zahlung auf die </w:t>
      </w:r>
      <w:r w:rsidR="00BD3908">
        <w:t xml:space="preserve">Abrechnung nach der täglichen Netzkontosystematik als Anreizsystem </w:t>
      </w:r>
      <w:r>
        <w:t xml:space="preserve">dar. Es handelt sich nicht um eine Strafzahlung. Der NB kann jeweils </w:t>
      </w:r>
      <w:r w:rsidR="004A5CB7">
        <w:t xml:space="preserve">für ein Gaswirtschaftsjahr </w:t>
      </w:r>
      <w:r w:rsidR="006970DB">
        <w:t xml:space="preserve">auf </w:t>
      </w:r>
      <w:r>
        <w:t>die Gutschriften für Überallokationen verzichten</w:t>
      </w:r>
      <w:r w:rsidR="006970DB">
        <w:t>,</w:t>
      </w:r>
      <w:r w:rsidR="004A5CB7">
        <w:t xml:space="preserve"> indem er </w:t>
      </w:r>
      <w:r w:rsidR="006970DB">
        <w:t xml:space="preserve">schriftlich </w:t>
      </w:r>
      <w:r w:rsidR="004A5CB7">
        <w:t>gegenüber dem MGV den Verzicht bis zum 1.</w:t>
      </w:r>
      <w:r w:rsidR="00EF1A5F" w:rsidRPr="00EF1A5F">
        <w:t xml:space="preserve"> </w:t>
      </w:r>
      <w:r w:rsidR="00EF1A5F">
        <w:t>Oktober</w:t>
      </w:r>
      <w:r w:rsidR="004F4127">
        <w:t xml:space="preserve"> </w:t>
      </w:r>
      <w:r w:rsidR="004A5CB7">
        <w:t>eines Jahres</w:t>
      </w:r>
      <w:r w:rsidR="004A5CB7" w:rsidRPr="004A5CB7">
        <w:t xml:space="preserve"> </w:t>
      </w:r>
      <w:r w:rsidR="004A5CB7">
        <w:t xml:space="preserve">erklärt. Hierzu </w:t>
      </w:r>
      <w:r w:rsidR="003520F8">
        <w:t xml:space="preserve">stellt der </w:t>
      </w:r>
      <w:r w:rsidR="004A5CB7">
        <w:t xml:space="preserve">MGV </w:t>
      </w:r>
      <w:r w:rsidR="00E12FF6">
        <w:t xml:space="preserve">eine Eingabemöglichkeit im Portal </w:t>
      </w:r>
      <w:r w:rsidR="004A5CB7">
        <w:t>zur Verfügung.</w:t>
      </w:r>
    </w:p>
    <w:p w14:paraId="76BC90F6" w14:textId="611BCB91" w:rsidR="001E6E9E" w:rsidRDefault="001E6E9E" w:rsidP="001E6E9E">
      <w:bookmarkStart w:id="2792" w:name="_Toc318089228"/>
      <w:bookmarkStart w:id="2793" w:name="_Ref287434276"/>
      <w:bookmarkStart w:id="2794" w:name="_Ref287298048"/>
      <w:bookmarkStart w:id="2795" w:name="_Toc269915217"/>
      <w:bookmarkStart w:id="2796" w:name="_Toc319931980"/>
      <w:bookmarkStart w:id="2797" w:name="_Ref321213057"/>
      <w:bookmarkStart w:id="2798" w:name="_Toc296694191"/>
      <w:bookmarkStart w:id="2799" w:name="_Ref379987166"/>
      <w:bookmarkStart w:id="2800" w:name="_Toc391540261"/>
      <w:bookmarkStart w:id="2801" w:name="_Ref436138699"/>
      <w:bookmarkStart w:id="2802" w:name="_Toc412661452"/>
      <w:r w:rsidRPr="00494FEC">
        <w:rPr>
          <w:rFonts w:cs="Arial"/>
        </w:rPr>
        <w:t xml:space="preserve">Die Rückabwicklung der </w:t>
      </w:r>
      <w:r w:rsidR="009C6735">
        <w:rPr>
          <w:rFonts w:cs="Arial"/>
        </w:rPr>
        <w:t xml:space="preserve">Abrechnung nach der täglichen Netzkontosystematik als Anreizsystem </w:t>
      </w:r>
      <w:r w:rsidRPr="00494FEC">
        <w:rPr>
          <w:rFonts w:cs="Arial"/>
        </w:rPr>
        <w:t>ist an die Durchführung der SLP-Mehr-/</w:t>
      </w:r>
      <w:r>
        <w:rPr>
          <w:rFonts w:cs="Arial"/>
        </w:rPr>
        <w:t>Mindermengenabrechnung gekoppelt und unterscheidet sich in Abhängigkeit vom gewählten Ableseverfahren für SLP-</w:t>
      </w:r>
      <w:r w:rsidR="000241B7">
        <w:rPr>
          <w:rFonts w:cs="Arial"/>
        </w:rPr>
        <w:t xml:space="preserve">Marktlokationen </w:t>
      </w:r>
      <w:r>
        <w:rPr>
          <w:rFonts w:cs="Arial"/>
        </w:rPr>
        <w:t xml:space="preserve">des NB. Eine buchhalterische Verrechnung </w:t>
      </w:r>
      <w:r w:rsidRPr="00494FEC">
        <w:rPr>
          <w:rFonts w:cs="Arial"/>
        </w:rPr>
        <w:t xml:space="preserve">aus der </w:t>
      </w:r>
      <w:r w:rsidR="009C6735">
        <w:rPr>
          <w:rFonts w:cs="Arial"/>
        </w:rPr>
        <w:t xml:space="preserve">Abrechnung nach der täglichen Netzkontosystematik als Anreizsystem </w:t>
      </w:r>
      <w:r w:rsidRPr="00494FEC">
        <w:rPr>
          <w:rFonts w:cs="Arial"/>
        </w:rPr>
        <w:t>mit den Beträgen aus der SLP</w:t>
      </w:r>
      <w:r>
        <w:rPr>
          <w:rFonts w:cs="Arial"/>
        </w:rPr>
        <w:t>-</w:t>
      </w:r>
      <w:r w:rsidRPr="00494FEC">
        <w:rPr>
          <w:rFonts w:cs="Arial"/>
        </w:rPr>
        <w:t>Mehr-</w:t>
      </w:r>
      <w:r>
        <w:rPr>
          <w:rFonts w:cs="Arial"/>
        </w:rPr>
        <w:t>/</w:t>
      </w:r>
      <w:r w:rsidRPr="00494FEC">
        <w:rPr>
          <w:rFonts w:cs="Arial"/>
        </w:rPr>
        <w:t>Mindermengenabrechnung erfolgt nicht</w:t>
      </w:r>
      <w:r>
        <w:rPr>
          <w:rFonts w:cs="Arial"/>
        </w:rPr>
        <w:t xml:space="preserve"> zwingend. Die </w:t>
      </w:r>
      <w:r>
        <w:t xml:space="preserve">FNB sind gemäß </w:t>
      </w:r>
      <w:proofErr w:type="spellStart"/>
      <w:r>
        <w:t>GaBi</w:t>
      </w:r>
      <w:proofErr w:type="spellEnd"/>
      <w:r>
        <w:t xml:space="preserve"> Gas Artikel 8 von der </w:t>
      </w:r>
      <w:r w:rsidR="009C6735">
        <w:t xml:space="preserve">Abrechnung nach der täglichen Netzkontosystematik als Anreizsystem </w:t>
      </w:r>
      <w:r>
        <w:t>ausgenommen.</w:t>
      </w:r>
    </w:p>
    <w:p w14:paraId="3B122F71" w14:textId="77777777" w:rsidR="000F3299" w:rsidRDefault="000F3299" w:rsidP="00372A70">
      <w:pPr>
        <w:pStyle w:val="berschrift3"/>
        <w:tabs>
          <w:tab w:val="clear" w:pos="1276"/>
          <w:tab w:val="num" w:pos="851"/>
        </w:tabs>
        <w:spacing w:before="480"/>
        <w:ind w:left="851" w:hanging="851"/>
      </w:pPr>
      <w:bookmarkStart w:id="2803" w:name="_Ref454808051"/>
      <w:bookmarkStart w:id="2804" w:name="_Ref454808089"/>
      <w:bookmarkStart w:id="2805" w:name="_Ref454808125"/>
      <w:bookmarkStart w:id="2806" w:name="_Ref454808150"/>
      <w:bookmarkStart w:id="2807" w:name="_Toc111118575"/>
      <w:r w:rsidRPr="00F62B34">
        <w:t>Abstimmung des Netzkontos</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43B2E87A" w14:textId="5BEAC341" w:rsidR="00B41B2F" w:rsidRDefault="00B41B2F" w:rsidP="00B41B2F">
      <w:bookmarkStart w:id="2808" w:name="_Toc319931981"/>
      <w:bookmarkStart w:id="2809" w:name="_Ref321383545"/>
      <w:bookmarkStart w:id="2810" w:name="_Ref323161489"/>
      <w:bookmarkStart w:id="2811" w:name="_Ref323161490"/>
      <w:bookmarkStart w:id="2812" w:name="_Ref323161492"/>
      <w:bookmarkStart w:id="2813" w:name="_Toc391540262"/>
      <w:r w:rsidRPr="00332437">
        <w:t>Alle Netzkopplungs</w:t>
      </w:r>
      <w:r w:rsidR="006C3049">
        <w:t>punkt</w:t>
      </w:r>
      <w:r w:rsidRPr="00332437">
        <w:t>-Daten zur Berechnung des Netzkontosaldos liegen bis spätestens zum Zeit</w:t>
      </w:r>
      <w:r w:rsidR="006C3049">
        <w:t>punkt</w:t>
      </w:r>
      <w:r w:rsidRPr="00332437">
        <w:t xml:space="preserve"> </w:t>
      </w:r>
      <w:r w:rsidR="00905A11">
        <w:t xml:space="preserve">vor </w:t>
      </w:r>
      <w:r w:rsidRPr="00332437">
        <w:t>M+</w:t>
      </w:r>
      <w:r w:rsidR="00AE2F16">
        <w:t>24</w:t>
      </w:r>
      <w:r w:rsidR="00724839">
        <w:t xml:space="preserve"> </w:t>
      </w:r>
      <w:r w:rsidRPr="00332437">
        <w:t>WT beim MGV vor. Die bilanzkreisrelevanten Allokationsdaten liegen endgültig zum Zeit</w:t>
      </w:r>
      <w:r w:rsidR="006C3049">
        <w:t>punkt</w:t>
      </w:r>
      <w:r w:rsidRPr="00332437">
        <w:t xml:space="preserve"> M+2M</w:t>
      </w:r>
      <w:r>
        <w:t>-</w:t>
      </w:r>
      <w:r w:rsidRPr="00332437">
        <w:t>10</w:t>
      </w:r>
      <w:r w:rsidRPr="00332437">
        <w:rPr>
          <w:color w:val="FFFFFF" w:themeColor="background1"/>
        </w:rPr>
        <w:t> </w:t>
      </w:r>
      <w:r w:rsidRPr="00332437">
        <w:t>WT vor.</w:t>
      </w:r>
    </w:p>
    <w:p w14:paraId="418D75C6" w14:textId="30E1D118" w:rsidR="00495192" w:rsidRDefault="000F3299" w:rsidP="003C2438">
      <w:r w:rsidRPr="00332437">
        <w:lastRenderedPageBreak/>
        <w:t xml:space="preserve">Daraufhin berechnet der MGV die </w:t>
      </w:r>
      <w:r>
        <w:t xml:space="preserve">täglichen </w:t>
      </w:r>
      <w:r w:rsidRPr="00332437">
        <w:t>Netzkontosalden und stellt bis zum Zeit</w:t>
      </w:r>
      <w:r w:rsidR="006C3049">
        <w:t>punkt</w:t>
      </w:r>
      <w:r w:rsidRPr="00332437">
        <w:t xml:space="preserve"> M+2M-</w:t>
      </w:r>
      <w:r w:rsidR="00AE2F16">
        <w:t>8</w:t>
      </w:r>
      <w:r w:rsidRPr="00332437">
        <w:t xml:space="preserve">WT einen Netzkontoauszug gemäß Kap. </w:t>
      </w:r>
      <w:r w:rsidR="00561FFA">
        <w:fldChar w:fldCharType="begin"/>
      </w:r>
      <w:r>
        <w:instrText xml:space="preserve"> REF _Ref436145044 \r \h </w:instrText>
      </w:r>
      <w:r w:rsidR="00561FFA">
        <w:fldChar w:fldCharType="separate"/>
      </w:r>
      <w:r w:rsidR="00692E23">
        <w:t>11.4.3</w:t>
      </w:r>
      <w:r w:rsidR="00561FFA">
        <w:fldChar w:fldCharType="end"/>
      </w:r>
      <w:r w:rsidRPr="00332437">
        <w:t xml:space="preserve"> bereit</w:t>
      </w:r>
      <w:r w:rsidR="00724839">
        <w:t>, der auf den Netzkopplungs</w:t>
      </w:r>
      <w:r w:rsidR="006C3049">
        <w:t>punkt</w:t>
      </w:r>
      <w:r w:rsidR="00724839">
        <w:t xml:space="preserve">daten von </w:t>
      </w:r>
      <w:r w:rsidR="00905A11">
        <w:t xml:space="preserve">vor </w:t>
      </w:r>
      <w:r w:rsidR="00724839">
        <w:t>M+</w:t>
      </w:r>
      <w:r w:rsidR="00AE2F16">
        <w:t>24</w:t>
      </w:r>
      <w:r w:rsidR="00724839">
        <w:t>WT und den bilanzkreisrelevanten Allokationsdaten vom M+2M-10WT basiert.</w:t>
      </w:r>
    </w:p>
    <w:p w14:paraId="7B76491D" w14:textId="4484AAB1" w:rsidR="000F3299" w:rsidRPr="00506D53" w:rsidRDefault="000F3299" w:rsidP="003C2438">
      <w:r w:rsidRPr="00332437">
        <w:t xml:space="preserve">Der MGV </w:t>
      </w:r>
      <w:r w:rsidR="00B6034B">
        <w:t>stellt den</w:t>
      </w:r>
      <w:r w:rsidRPr="00332437">
        <w:t xml:space="preserve"> </w:t>
      </w:r>
      <w:r w:rsidR="00786053" w:rsidRPr="00332437">
        <w:t>Netzkont</w:t>
      </w:r>
      <w:r w:rsidR="00786053">
        <w:t>o</w:t>
      </w:r>
      <w:r w:rsidR="00786053" w:rsidRPr="00332437">
        <w:t xml:space="preserve">auszug </w:t>
      </w:r>
      <w:r>
        <w:t xml:space="preserve">für den jeweiligen Monat (M) </w:t>
      </w:r>
      <w:r w:rsidR="00F80131">
        <w:t>im Portal</w:t>
      </w:r>
      <w:r w:rsidR="00B6034B">
        <w:t xml:space="preserve"> sowie als Abonnement</w:t>
      </w:r>
      <w:r w:rsidR="00F80131">
        <w:t xml:space="preserve"> </w:t>
      </w:r>
      <w:r w:rsidR="00B6034B">
        <w:t>zur Verfügung</w:t>
      </w:r>
      <w:r w:rsidRPr="00332437">
        <w:t>.</w:t>
      </w:r>
      <w:r w:rsidR="00F80131">
        <w:t xml:space="preserve"> </w:t>
      </w:r>
      <w:r w:rsidRPr="00332437">
        <w:t xml:space="preserve">Bei Abweichungen legt der NB innerhalb einer Prüffrist von 10WT gegenüber dem MGV einen Widerspruch ein und legt dar, an welchen Tagen die im Netzkonto gebuchten Daten nicht mit den von ihm versandten Daten oder nicht mit den mit den angrenzenden NB abgestimmten Daten übereinstimmen oder die Berechnung des Saldos durch den MGV fehlerhaft erfolgt ist. Legt der NB Widerspruch ein, muss unverzüglich eine Klärung mit dem MGV stattfinden. Hierbei werden nur nachweisliche Fehler bei der Netzkontoauszugerstellung behoben. Eine Anpassung von Allokationsdaten kann nicht mehr erfolgen, da der entsprechende Clearingprozess abgeschlossen ist. Ein Clearing von Zeitreihentypen „Entry NKP“ und „Entry Flüssiggas“ ist entsprechend der Regelungen in </w:t>
      </w:r>
      <w:r w:rsidR="003E2C03" w:rsidRPr="003E2C03">
        <w:t xml:space="preserve">Kap. </w:t>
      </w:r>
      <w:r w:rsidR="00561FFA">
        <w:fldChar w:fldCharType="begin"/>
      </w:r>
      <w:r w:rsidR="00D51374">
        <w:instrText xml:space="preserve"> REF _Ref439854960 \r \h </w:instrText>
      </w:r>
      <w:r w:rsidR="00561FFA">
        <w:fldChar w:fldCharType="separate"/>
      </w:r>
      <w:r w:rsidR="00363395">
        <w:t>8.4</w:t>
      </w:r>
      <w:r w:rsidR="00561FFA">
        <w:fldChar w:fldCharType="end"/>
      </w:r>
      <w:r w:rsidR="00D51374">
        <w:t xml:space="preserve"> </w:t>
      </w:r>
      <w:r w:rsidRPr="00332437">
        <w:t>möglich.</w:t>
      </w:r>
      <w:r w:rsidR="003E2C03" w:rsidRPr="003E2C03">
        <w:t xml:space="preserve"> </w:t>
      </w:r>
      <w:r w:rsidR="007F7E1C">
        <w:t>In den begründeten Fälle</w:t>
      </w:r>
      <w:r w:rsidR="00990D5C">
        <w:t>n entsprechend der Regelungen in Kap. 8.3 ist eine nachträgliche Allokationskorrektur möglich.</w:t>
      </w:r>
    </w:p>
    <w:p w14:paraId="03DFE5D5" w14:textId="62FE1FC0" w:rsidR="000F3299" w:rsidRPr="00332437" w:rsidRDefault="003E2C03" w:rsidP="003C2438">
      <w:r w:rsidRPr="003E2C03">
        <w:t xml:space="preserve">Bei </w:t>
      </w:r>
      <w:r w:rsidR="004F593C">
        <w:t>NB</w:t>
      </w:r>
      <w:r w:rsidR="00495192">
        <w:t>, für die zur Berücksichtigung von</w:t>
      </w:r>
      <w:r w:rsidRPr="003E2C03">
        <w:t xml:space="preserve"> Netzpuffer</w:t>
      </w:r>
      <w:r w:rsidR="00495192">
        <w:t>fahrweisen</w:t>
      </w:r>
      <w:r w:rsidRPr="003E2C03">
        <w:t xml:space="preserve"> </w:t>
      </w:r>
      <w:r w:rsidR="00495192">
        <w:t>und/</w:t>
      </w:r>
      <w:r w:rsidRPr="003E2C03">
        <w:t>oder OBA</w:t>
      </w:r>
      <w:r w:rsidR="00495192">
        <w:t xml:space="preserve"> </w:t>
      </w:r>
      <w:r w:rsidRPr="003E2C03">
        <w:t xml:space="preserve">beim MGV </w:t>
      </w:r>
      <w:r w:rsidR="00495192">
        <w:t xml:space="preserve">ein </w:t>
      </w:r>
      <w:r w:rsidR="004D0D48">
        <w:t>NKBO</w:t>
      </w:r>
      <w:r w:rsidR="00495192">
        <w:t xml:space="preserve"> </w:t>
      </w:r>
      <w:r w:rsidRPr="003E2C03">
        <w:t xml:space="preserve">nach Kap. </w:t>
      </w:r>
      <w:r w:rsidR="0011373C">
        <w:fldChar w:fldCharType="begin"/>
      </w:r>
      <w:r w:rsidR="0011373C">
        <w:instrText xml:space="preserve"> REF _Ref436725947 \r \h  \* MERGEFORMAT </w:instrText>
      </w:r>
      <w:r w:rsidR="0011373C">
        <w:fldChar w:fldCharType="separate"/>
      </w:r>
      <w:r w:rsidR="00363395">
        <w:t>2.4</w:t>
      </w:r>
      <w:r w:rsidR="0011373C">
        <w:fldChar w:fldCharType="end"/>
      </w:r>
      <w:r w:rsidRPr="003E2C03">
        <w:t xml:space="preserve"> </w:t>
      </w:r>
      <w:r w:rsidR="00495192">
        <w:t>ge</w:t>
      </w:r>
      <w:r w:rsidRPr="003E2C03">
        <w:t>führ</w:t>
      </w:r>
      <w:r w:rsidR="00495192">
        <w:t>t wird,</w:t>
      </w:r>
      <w:r w:rsidRPr="003E2C03">
        <w:t xml:space="preserve"> hat der MGV das Recht bei unplausiblen Kontoständen eine Erläuterung der Kontoabweichungen zu verlangen.</w:t>
      </w:r>
    </w:p>
    <w:p w14:paraId="3F80DF71" w14:textId="02C748BC" w:rsidR="000F3299" w:rsidRDefault="000F3299" w:rsidP="003C2438">
      <w:pPr>
        <w:rPr>
          <w:rFonts w:cs="Arial"/>
        </w:rPr>
      </w:pPr>
      <w:r w:rsidRPr="00332437">
        <w:t xml:space="preserve">Den finalen Netzkontoauszug als Basis für eine eventuelle </w:t>
      </w:r>
      <w:r w:rsidR="00707A06">
        <w:t xml:space="preserve">Abrechnung nach der täglichen Netzkontosystematik als Anreizsystem </w:t>
      </w:r>
      <w:r>
        <w:t xml:space="preserve">gemäß Kap. </w:t>
      </w:r>
      <w:r w:rsidR="00561FFA">
        <w:fldChar w:fldCharType="begin"/>
      </w:r>
      <w:r>
        <w:instrText xml:space="preserve"> REF _Ref436141496 \r \h </w:instrText>
      </w:r>
      <w:r w:rsidR="00561FFA">
        <w:fldChar w:fldCharType="separate"/>
      </w:r>
      <w:r w:rsidR="00363395">
        <w:t>11.4.4</w:t>
      </w:r>
      <w:r w:rsidR="00561FFA">
        <w:fldChar w:fldCharType="end"/>
      </w:r>
      <w:r>
        <w:t xml:space="preserve">. </w:t>
      </w:r>
      <w:r w:rsidRPr="00332437">
        <w:t>berechnet der MGV bis M+2M+15WT und stellt diesen gemäß Kap.</w:t>
      </w:r>
      <w:r w:rsidR="00363395">
        <w:t xml:space="preserve"> </w:t>
      </w:r>
      <w:r w:rsidR="00561FFA">
        <w:fldChar w:fldCharType="begin"/>
      </w:r>
      <w:r>
        <w:instrText xml:space="preserve"> REF _Ref436145044 \r \h </w:instrText>
      </w:r>
      <w:r w:rsidR="00561FFA">
        <w:fldChar w:fldCharType="separate"/>
      </w:r>
      <w:r w:rsidR="00363395">
        <w:t>11.4.3</w:t>
      </w:r>
      <w:r w:rsidR="00561FFA">
        <w:fldChar w:fldCharType="end"/>
      </w:r>
      <w:r w:rsidRPr="00332437">
        <w:t xml:space="preserve"> bereit.</w:t>
      </w:r>
    </w:p>
    <w:p w14:paraId="4E08BB55" w14:textId="77777777" w:rsidR="00BD1EC4" w:rsidRDefault="000F3299" w:rsidP="00534473">
      <w:pPr>
        <w:pStyle w:val="berschrift3"/>
        <w:tabs>
          <w:tab w:val="num" w:pos="1134"/>
        </w:tabs>
        <w:spacing w:before="480"/>
        <w:ind w:left="1146" w:hanging="1106"/>
      </w:pPr>
      <w:bookmarkStart w:id="2814" w:name="_Ref436145044"/>
      <w:bookmarkStart w:id="2815" w:name="_Toc111118576"/>
      <w:r>
        <w:t>Bereitstellung von Netzkontendaten durch den MGV</w:t>
      </w:r>
      <w:bookmarkEnd w:id="2814"/>
      <w:bookmarkEnd w:id="2815"/>
    </w:p>
    <w:p w14:paraId="40077815" w14:textId="7ABDA75D" w:rsidR="00506D53" w:rsidRDefault="003520F8" w:rsidP="003C2438">
      <w:r>
        <w:t xml:space="preserve">Der </w:t>
      </w:r>
      <w:r w:rsidR="000F3299" w:rsidRPr="00332437">
        <w:t xml:space="preserve">MGV </w:t>
      </w:r>
      <w:r>
        <w:t xml:space="preserve">stellt in einem für die </w:t>
      </w:r>
      <w:r w:rsidR="000F3299" w:rsidRPr="00332437">
        <w:t>NB zugängliche</w:t>
      </w:r>
      <w:r>
        <w:t>n</w:t>
      </w:r>
      <w:r w:rsidR="000F3299" w:rsidRPr="00332437">
        <w:t xml:space="preserve"> Onlineportal</w:t>
      </w:r>
      <w:r w:rsidR="00650186">
        <w:t xml:space="preserve"> </w:t>
      </w:r>
      <w:r w:rsidR="007912EB" w:rsidRPr="00807AE1">
        <w:t>alle verarbeiteten Allokationsdaten (inkl. Clearingzeitreihen) und NKP-Zeitreihen dem jeweiligen NB zur Einsicht</w:t>
      </w:r>
      <w:r w:rsidR="007912EB">
        <w:t xml:space="preserve"> und </w:t>
      </w:r>
      <w:r w:rsidR="007912EB" w:rsidRPr="00807AE1">
        <w:t>zum Download zur Verfügung.</w:t>
      </w:r>
    </w:p>
    <w:p w14:paraId="264AC1A7" w14:textId="08D7861E" w:rsidR="003520F8" w:rsidRDefault="003520F8" w:rsidP="003C2438">
      <w:r>
        <w:t xml:space="preserve">Der MGV kann den Abruf der Daten im Portal auf maximal vier </w:t>
      </w:r>
      <w:r w:rsidR="00A779EA">
        <w:t>Kalenderj</w:t>
      </w:r>
      <w:r>
        <w:t>ahre in die Vergangenheit begrenzen.</w:t>
      </w:r>
    </w:p>
    <w:bookmarkEnd w:id="2808"/>
    <w:bookmarkEnd w:id="2809"/>
    <w:bookmarkEnd w:id="2810"/>
    <w:bookmarkEnd w:id="2811"/>
    <w:bookmarkEnd w:id="2812"/>
    <w:bookmarkEnd w:id="2813"/>
    <w:p w14:paraId="79968D0D" w14:textId="6ED5AC7D" w:rsidR="000F3299" w:rsidRPr="00332437" w:rsidRDefault="000F3299" w:rsidP="003C2438">
      <w:r w:rsidRPr="001E16BD">
        <w:t xml:space="preserve">Sofern </w:t>
      </w:r>
      <w:r w:rsidR="003520F8">
        <w:t>der</w:t>
      </w:r>
      <w:r w:rsidR="003520F8" w:rsidRPr="001E16BD">
        <w:t xml:space="preserve"> </w:t>
      </w:r>
      <w:r w:rsidRPr="001E16BD">
        <w:t xml:space="preserve">MGV Ersatzwerte für die SLP-Allokationen gemäß KOV </w:t>
      </w:r>
      <w:r w:rsidRPr="001E16BD" w:rsidDel="00815124">
        <w:t>§</w:t>
      </w:r>
      <w:r w:rsidR="00815124">
        <w:t> </w:t>
      </w:r>
      <w:r w:rsidRPr="001E16BD">
        <w:t>46 Ziffer</w:t>
      </w:r>
      <w:r w:rsidRPr="00332437">
        <w:t xml:space="preserve"> 5 Abs. 5 gebildet hat, werden diese </w:t>
      </w:r>
      <w:r w:rsidR="00B93C31">
        <w:t xml:space="preserve">als </w:t>
      </w:r>
      <w:r w:rsidRPr="00332437">
        <w:t xml:space="preserve">eigene Spur im Portal als Ersatzwert </w:t>
      </w:r>
      <w:r w:rsidR="00B93C31">
        <w:t>dargestellt</w:t>
      </w:r>
      <w:r w:rsidRPr="00332437">
        <w:t>.</w:t>
      </w:r>
    </w:p>
    <w:p w14:paraId="1FAE1A3F" w14:textId="369C5096" w:rsidR="000F3299" w:rsidRDefault="000F3299" w:rsidP="003C2438">
      <w:r w:rsidRPr="00332437">
        <w:t>Netzkontoauszüge</w:t>
      </w:r>
      <w:r w:rsidR="00B93C31">
        <w:t xml:space="preserve"> und Allokationsdatenberi</w:t>
      </w:r>
      <w:r w:rsidR="001C4689">
        <w:t>chte</w:t>
      </w:r>
      <w:r w:rsidRPr="00332437">
        <w:t xml:space="preserve"> werden </w:t>
      </w:r>
      <w:r w:rsidR="003520F8">
        <w:t>vom</w:t>
      </w:r>
      <w:r w:rsidRPr="00332437">
        <w:t xml:space="preserve"> MGV nach </w:t>
      </w:r>
      <w:r w:rsidR="00FD413C">
        <w:t>F</w:t>
      </w:r>
      <w:r w:rsidRPr="00332437">
        <w:t xml:space="preserve">olgender Struktur zum Download </w:t>
      </w:r>
      <w:r w:rsidR="00F80131" w:rsidRPr="00332437">
        <w:t xml:space="preserve">sowie </w:t>
      </w:r>
      <w:r>
        <w:t>zur Übermittlung</w:t>
      </w:r>
      <w:r w:rsidR="00B93C31">
        <w:t xml:space="preserve"> an den NB</w:t>
      </w:r>
      <w:r>
        <w:t xml:space="preserve"> über ein </w:t>
      </w:r>
      <w:r w:rsidR="00B41B2F" w:rsidRPr="00332437">
        <w:t xml:space="preserve">Abonnement </w:t>
      </w:r>
      <w:r w:rsidR="00B41B2F">
        <w:t xml:space="preserve">vom </w:t>
      </w:r>
      <w:r w:rsidR="00B93C31">
        <w:t xml:space="preserve">MGV </w:t>
      </w:r>
      <w:r w:rsidR="00F80131" w:rsidRPr="00332437">
        <w:t xml:space="preserve">als CSV-Datei </w:t>
      </w:r>
      <w:r>
        <w:t>zur Verfügung gestellt</w:t>
      </w:r>
      <w:r w:rsidRPr="00332437">
        <w:t>.</w:t>
      </w:r>
    </w:p>
    <w:p w14:paraId="08947BC8" w14:textId="79F50E26" w:rsidR="003520F8" w:rsidRDefault="003520F8" w:rsidP="00AC1C1F">
      <w:pPr>
        <w:keepNext/>
        <w:keepLines/>
        <w:rPr>
          <w:rFonts w:cs="Arial"/>
        </w:rPr>
      </w:pPr>
    </w:p>
    <w:p w14:paraId="492CB307" w14:textId="48203624" w:rsidR="003520F8" w:rsidRDefault="003520F8" w:rsidP="00AC1C1F">
      <w:pPr>
        <w:keepNext/>
        <w:keepLines/>
        <w:rPr>
          <w:rFonts w:cs="Arial"/>
        </w:rPr>
      </w:pPr>
      <w:r w:rsidRPr="00364392">
        <w:rPr>
          <w:noProof/>
        </w:rPr>
        <w:drawing>
          <wp:inline distT="0" distB="0" distL="0" distR="0" wp14:anchorId="16C9E384" wp14:editId="3CFB618E">
            <wp:extent cx="6140450" cy="6318250"/>
            <wp:effectExtent l="0" t="0" r="0" b="635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40450" cy="6318250"/>
                    </a:xfrm>
                    <a:prstGeom prst="rect">
                      <a:avLst/>
                    </a:prstGeom>
                    <a:noFill/>
                    <a:ln>
                      <a:noFill/>
                    </a:ln>
                  </pic:spPr>
                </pic:pic>
              </a:graphicData>
            </a:graphic>
          </wp:inline>
        </w:drawing>
      </w:r>
    </w:p>
    <w:p w14:paraId="245E0B0D" w14:textId="1DE78E2C" w:rsidR="00BD1EC4" w:rsidRDefault="00B158E5" w:rsidP="003C2438">
      <w:pPr>
        <w:pStyle w:val="Abbildung"/>
        <w:rPr>
          <w:rFonts w:cs="Arial"/>
          <w:b/>
        </w:rPr>
      </w:pPr>
      <w:bookmarkStart w:id="2816" w:name="_Toc437530363"/>
      <w:bookmarkStart w:id="2817" w:name="_Toc111118630"/>
      <w:bookmarkStart w:id="2818" w:name="_Toc111196176"/>
      <w:r w:rsidRPr="00B158E5">
        <w:rPr>
          <w:b/>
        </w:rPr>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47</w:t>
      </w:r>
      <w:r w:rsidR="00561FFA" w:rsidRPr="00B158E5">
        <w:rPr>
          <w:b/>
        </w:rPr>
        <w:fldChar w:fldCharType="end"/>
      </w:r>
      <w:r w:rsidRPr="00B158E5">
        <w:rPr>
          <w:b/>
        </w:rPr>
        <w:t xml:space="preserve">: Struktur der Datenelemente im </w:t>
      </w:r>
      <w:bookmarkEnd w:id="2816"/>
      <w:r w:rsidR="00F80131" w:rsidRPr="00B158E5">
        <w:rPr>
          <w:b/>
        </w:rPr>
        <w:t>Netzkontoauszug</w:t>
      </w:r>
      <w:r w:rsidR="00F80131">
        <w:rPr>
          <w:b/>
        </w:rPr>
        <w:t xml:space="preserve"> bzw. Allokationsdatenbericht</w:t>
      </w:r>
      <w:bookmarkEnd w:id="2817"/>
      <w:bookmarkEnd w:id="2818"/>
    </w:p>
    <w:p w14:paraId="576F245B" w14:textId="323E0261" w:rsidR="003520F8" w:rsidRDefault="003520F8" w:rsidP="00B41B2F">
      <w:pPr>
        <w:keepNext/>
        <w:keepLines/>
        <w:rPr>
          <w:rFonts w:cs="Arial"/>
        </w:rPr>
      </w:pPr>
    </w:p>
    <w:p w14:paraId="3ED22D38" w14:textId="48DFEBF7" w:rsidR="00F16615" w:rsidRDefault="00F16615" w:rsidP="00B41B2F">
      <w:pPr>
        <w:keepNext/>
        <w:keepLines/>
        <w:rPr>
          <w:rFonts w:cs="Arial"/>
        </w:rPr>
      </w:pPr>
    </w:p>
    <w:p w14:paraId="63548E7F" w14:textId="3DEB9B7E" w:rsidR="00D400FA" w:rsidRDefault="00D400FA" w:rsidP="00B41B2F">
      <w:pPr>
        <w:keepNext/>
        <w:keepLines/>
        <w:rPr>
          <w:rFonts w:cs="Arial"/>
        </w:rPr>
      </w:pPr>
      <w:r w:rsidRPr="00503DE5">
        <w:rPr>
          <w:noProof/>
        </w:rPr>
        <w:lastRenderedPageBreak/>
        <w:drawing>
          <wp:inline distT="0" distB="0" distL="0" distR="0" wp14:anchorId="12B90632" wp14:editId="218CA62C">
            <wp:extent cx="5403850" cy="7915545"/>
            <wp:effectExtent l="0" t="0" r="635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07199" cy="7920450"/>
                    </a:xfrm>
                    <a:prstGeom prst="rect">
                      <a:avLst/>
                    </a:prstGeom>
                    <a:noFill/>
                    <a:ln>
                      <a:noFill/>
                    </a:ln>
                  </pic:spPr>
                </pic:pic>
              </a:graphicData>
            </a:graphic>
          </wp:inline>
        </w:drawing>
      </w:r>
    </w:p>
    <w:p w14:paraId="2E41B6ED" w14:textId="47547EB4" w:rsidR="00BD1EC4" w:rsidRDefault="00B158E5" w:rsidP="003C2438">
      <w:pPr>
        <w:pStyle w:val="Abbildung"/>
        <w:rPr>
          <w:rFonts w:cs="Arial"/>
          <w:b/>
          <w:bCs/>
        </w:rPr>
      </w:pPr>
      <w:bookmarkStart w:id="2819" w:name="_Toc437530364"/>
      <w:bookmarkStart w:id="2820" w:name="_Toc111118631"/>
      <w:bookmarkStart w:id="2821" w:name="_Toc111196177"/>
      <w:bookmarkStart w:id="2822" w:name="_Hlk98850809"/>
      <w:r w:rsidRPr="00B158E5">
        <w:rPr>
          <w:b/>
        </w:rPr>
        <w:lastRenderedPageBreak/>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48</w:t>
      </w:r>
      <w:r w:rsidR="00561FFA" w:rsidRPr="00B158E5">
        <w:rPr>
          <w:b/>
        </w:rPr>
        <w:fldChar w:fldCharType="end"/>
      </w:r>
      <w:r w:rsidRPr="00B158E5">
        <w:rPr>
          <w:b/>
        </w:rPr>
        <w:t xml:space="preserve">: Datenspuren im </w:t>
      </w:r>
      <w:r w:rsidRPr="004E0785">
        <w:rPr>
          <w:b/>
        </w:rPr>
        <w:t>Netzkontoauszug</w:t>
      </w:r>
      <w:bookmarkEnd w:id="2819"/>
      <w:r w:rsidR="00E53846" w:rsidRPr="004E0785">
        <w:rPr>
          <w:b/>
        </w:rPr>
        <w:t xml:space="preserve"> </w:t>
      </w:r>
      <w:r w:rsidR="004E0785" w:rsidRPr="004E0785">
        <w:rPr>
          <w:rFonts w:cs="Arial"/>
          <w:b/>
          <w:bCs/>
        </w:rPr>
        <w:t>und im</w:t>
      </w:r>
      <w:r w:rsidR="00E53846" w:rsidRPr="004E0785">
        <w:rPr>
          <w:rFonts w:cs="Arial"/>
          <w:b/>
          <w:bCs/>
        </w:rPr>
        <w:t xml:space="preserve"> Allokationsdatenbericht</w:t>
      </w:r>
      <w:bookmarkEnd w:id="2820"/>
      <w:bookmarkEnd w:id="2821"/>
    </w:p>
    <w:bookmarkEnd w:id="2822"/>
    <w:p w14:paraId="2A136576" w14:textId="77777777" w:rsidR="00AC1C1F" w:rsidRDefault="00AC1C1F" w:rsidP="003C2438">
      <w:pPr>
        <w:pStyle w:val="Abbildung"/>
        <w:rPr>
          <w:rFonts w:cs="Arial"/>
          <w:b/>
        </w:rPr>
      </w:pPr>
    </w:p>
    <w:p w14:paraId="45281EA8" w14:textId="77777777" w:rsidR="00BD1EC4" w:rsidRDefault="000F3299" w:rsidP="003C2438">
      <w:pPr>
        <w:pStyle w:val="berschrift4"/>
        <w:tabs>
          <w:tab w:val="clear" w:pos="1844"/>
          <w:tab w:val="num" w:pos="1134"/>
        </w:tabs>
        <w:spacing w:line="300" w:lineRule="atLeast"/>
        <w:ind w:left="1134"/>
      </w:pPr>
      <w:bookmarkStart w:id="2823" w:name="_Toc111118577"/>
      <w:r>
        <w:t>Netzkontoauszug</w:t>
      </w:r>
      <w:bookmarkEnd w:id="2823"/>
    </w:p>
    <w:p w14:paraId="2F2CF51D" w14:textId="26E1EF40" w:rsidR="000F3299" w:rsidRPr="00332437" w:rsidRDefault="000F3299" w:rsidP="003C2438">
      <w:r w:rsidRPr="00332437">
        <w:t xml:space="preserve">Der Netzkontoauszug wird vom MGV als Grundlage der Abstimmung des Netzkontos gem. </w:t>
      </w:r>
      <w:r w:rsidR="00B158E5" w:rsidRPr="00B158E5">
        <w:t xml:space="preserve">Kap. </w:t>
      </w:r>
      <w:r w:rsidR="00561FFA">
        <w:fldChar w:fldCharType="begin"/>
      </w:r>
      <w:r w:rsidR="00EB609F">
        <w:instrText xml:space="preserve"> REF _Ref454808089 \r \h </w:instrText>
      </w:r>
      <w:r w:rsidR="00561FFA">
        <w:fldChar w:fldCharType="separate"/>
      </w:r>
      <w:r w:rsidR="000C14D3">
        <w:t>11.4.2</w:t>
      </w:r>
      <w:r w:rsidR="00561FFA">
        <w:fldChar w:fldCharType="end"/>
      </w:r>
      <w:r w:rsidR="00EB609F">
        <w:t xml:space="preserve"> </w:t>
      </w:r>
      <w:r w:rsidRPr="00332437">
        <w:t>bis zum Zeit</w:t>
      </w:r>
      <w:r w:rsidR="006C3049">
        <w:t>punkt</w:t>
      </w:r>
      <w:r w:rsidRPr="00332437">
        <w:t xml:space="preserve"> M+2M-</w:t>
      </w:r>
      <w:r w:rsidR="00F16615">
        <w:t>8WT</w:t>
      </w:r>
      <w:r w:rsidRPr="00332437">
        <w:t xml:space="preserve"> sowie final als Grundlage für eine eventuelle </w:t>
      </w:r>
      <w:r w:rsidR="00707A06">
        <w:t xml:space="preserve">Abrechnung nach der täglichen Netzkontosystematik als Anreizsystem </w:t>
      </w:r>
      <w:r>
        <w:t>gemäß Kap</w:t>
      </w:r>
      <w:r w:rsidR="001E45F8">
        <w:t xml:space="preserve">. </w:t>
      </w:r>
      <w:r w:rsidR="00561FFA">
        <w:fldChar w:fldCharType="begin"/>
      </w:r>
      <w:r w:rsidR="001E45F8">
        <w:instrText xml:space="preserve"> REF _Ref436651263 \r \h </w:instrText>
      </w:r>
      <w:r w:rsidR="00561FFA">
        <w:fldChar w:fldCharType="separate"/>
      </w:r>
      <w:r w:rsidR="00692E23">
        <w:t>11.4.4</w:t>
      </w:r>
      <w:r w:rsidR="00561FFA">
        <w:fldChar w:fldCharType="end"/>
      </w:r>
      <w:r w:rsidR="001E45F8">
        <w:t xml:space="preserve"> </w:t>
      </w:r>
      <w:r w:rsidRPr="00332437">
        <w:t>zum Zeit</w:t>
      </w:r>
      <w:r w:rsidR="006C3049">
        <w:t>punkt</w:t>
      </w:r>
      <w:r w:rsidRPr="00332437">
        <w:t xml:space="preserve"> M+2M+15WT bereitgestellt. Nach der Bereitstellung </w:t>
      </w:r>
      <w:r>
        <w:t>werden d</w:t>
      </w:r>
      <w:r w:rsidRPr="00332437">
        <w:t xml:space="preserve">iese Netzkontoauszüge </w:t>
      </w:r>
      <w:r>
        <w:t>für den jeweiligen Monat (M) nicht mehr verändert</w:t>
      </w:r>
      <w:r w:rsidR="00707A06">
        <w:t>, außer im Fall eines durchgeführten nachträglichen Allokationsclearings unter den in Kap. 8.3 beschriebenen Grundsätzen.</w:t>
      </w:r>
    </w:p>
    <w:p w14:paraId="6AC42A75" w14:textId="77777777" w:rsidR="000F3299" w:rsidRPr="00332437" w:rsidRDefault="000F3299" w:rsidP="003C2438">
      <w:r w:rsidRPr="00332437">
        <w:t>Der Netzkontoauszug besteht aus einem Datenteil und einem Analyseteil. Beide Teile sind getrennt voneinander zu betrachten.</w:t>
      </w:r>
    </w:p>
    <w:p w14:paraId="029DAAF1" w14:textId="4210BDDB" w:rsidR="009166AD" w:rsidRDefault="000F3299" w:rsidP="003C2438">
      <w:r w:rsidRPr="00332437">
        <w:t xml:space="preserve">Im Datenteil werden die Zeitreihentypen </w:t>
      </w:r>
      <w:r>
        <w:t xml:space="preserve">gemäß Kap. </w:t>
      </w:r>
      <w:r w:rsidR="00561FFA">
        <w:fldChar w:fldCharType="begin"/>
      </w:r>
      <w:r w:rsidR="004E75C2">
        <w:instrText xml:space="preserve"> REF _Ref436726773 \r \h </w:instrText>
      </w:r>
      <w:r w:rsidR="00561FFA">
        <w:fldChar w:fldCharType="separate"/>
      </w:r>
      <w:r w:rsidR="00692E23">
        <w:t>2.10.1</w:t>
      </w:r>
      <w:r w:rsidR="00561FFA">
        <w:fldChar w:fldCharType="end"/>
      </w:r>
      <w:r w:rsidRPr="004E75C2">
        <w:t xml:space="preserve">, </w:t>
      </w:r>
      <w:r w:rsidR="00561FFA">
        <w:fldChar w:fldCharType="begin"/>
      </w:r>
      <w:r w:rsidR="00B158E5" w:rsidRPr="00B158E5">
        <w:instrText xml:space="preserve"> REF _Ref436726812 \r \h </w:instrText>
      </w:r>
      <w:r w:rsidR="00561FFA">
        <w:fldChar w:fldCharType="separate"/>
      </w:r>
      <w:r w:rsidR="00692E23">
        <w:t>2.10.2</w:t>
      </w:r>
      <w:r w:rsidR="00561FFA">
        <w:fldChar w:fldCharType="end"/>
      </w:r>
      <w:r w:rsidRPr="004E75C2">
        <w:t xml:space="preserve"> und </w:t>
      </w:r>
      <w:r w:rsidR="00561FFA">
        <w:fldChar w:fldCharType="begin"/>
      </w:r>
      <w:r w:rsidR="00B158E5" w:rsidRPr="00B158E5">
        <w:instrText xml:space="preserve"> REF _Ref436726820 \r \h </w:instrText>
      </w:r>
      <w:r w:rsidR="00561FFA">
        <w:fldChar w:fldCharType="separate"/>
      </w:r>
      <w:r w:rsidR="00692E23">
        <w:t>2.10.3</w:t>
      </w:r>
      <w:r w:rsidR="00561FFA">
        <w:fldChar w:fldCharType="end"/>
      </w:r>
      <w:r w:rsidRPr="004E75C2">
        <w:t xml:space="preserve"> </w:t>
      </w:r>
      <w:r w:rsidRPr="00332437">
        <w:t xml:space="preserve">tagesscharf </w:t>
      </w:r>
      <w:r>
        <w:t>in</w:t>
      </w:r>
      <w:r w:rsidRPr="00332437">
        <w:t xml:space="preserve"> </w:t>
      </w:r>
      <w:r>
        <w:t>der</w:t>
      </w:r>
      <w:r w:rsidRPr="00332437">
        <w:t xml:space="preserve"> Qualität Best-</w:t>
      </w:r>
      <w:proofErr w:type="spellStart"/>
      <w:r w:rsidRPr="00332437">
        <w:t>Of</w:t>
      </w:r>
      <w:proofErr w:type="spellEnd"/>
      <w:r w:rsidRPr="00332437">
        <w:t xml:space="preserve"> getrennt je Bilanzkreis bzw. je Netzkonto dargestellt.</w:t>
      </w:r>
    </w:p>
    <w:p w14:paraId="75B38A55" w14:textId="77777777" w:rsidR="00B91851" w:rsidRPr="00B91851" w:rsidRDefault="00B91851" w:rsidP="00B91851">
      <w:pPr>
        <w:spacing w:after="0"/>
      </w:pPr>
    </w:p>
    <w:p w14:paraId="03CED439" w14:textId="3BFB592B" w:rsidR="00B91851" w:rsidRDefault="00B91851" w:rsidP="00B91851">
      <w:pPr>
        <w:rPr>
          <w:rFonts w:cs="Arial"/>
        </w:rPr>
      </w:pPr>
    </w:p>
    <w:p w14:paraId="31294E1F" w14:textId="579D3B4A" w:rsidR="003520F8" w:rsidRDefault="00DA08C7" w:rsidP="00B91851">
      <w:pPr>
        <w:rPr>
          <w:rFonts w:cs="Arial"/>
        </w:rPr>
      </w:pPr>
      <w:r w:rsidRPr="00364392">
        <w:rPr>
          <w:noProof/>
        </w:rPr>
        <w:drawing>
          <wp:inline distT="0" distB="0" distL="0" distR="0" wp14:anchorId="45F873A7" wp14:editId="2C671895">
            <wp:extent cx="6210300" cy="1479550"/>
            <wp:effectExtent l="0" t="0" r="0" b="635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210300" cy="1479550"/>
                    </a:xfrm>
                    <a:prstGeom prst="rect">
                      <a:avLst/>
                    </a:prstGeom>
                    <a:noFill/>
                    <a:ln>
                      <a:noFill/>
                    </a:ln>
                  </pic:spPr>
                </pic:pic>
              </a:graphicData>
            </a:graphic>
          </wp:inline>
        </w:drawing>
      </w:r>
    </w:p>
    <w:p w14:paraId="73C3D98A" w14:textId="2AFA7BEC" w:rsidR="003520F8" w:rsidRDefault="003520F8" w:rsidP="00B91851">
      <w:pPr>
        <w:rPr>
          <w:rFonts w:cs="Arial"/>
        </w:rPr>
      </w:pPr>
    </w:p>
    <w:p w14:paraId="30B04422" w14:textId="0978FD7B" w:rsidR="00FF3030" w:rsidRDefault="00FD24EB" w:rsidP="003C65B5">
      <w:pPr>
        <w:pStyle w:val="Abbildung"/>
        <w:spacing w:before="360" w:after="240"/>
        <w:rPr>
          <w:b/>
        </w:rPr>
      </w:pPr>
      <w:bookmarkStart w:id="2824" w:name="_Toc437530365"/>
      <w:bookmarkStart w:id="2825" w:name="_Toc111118632"/>
      <w:bookmarkStart w:id="2826" w:name="_Toc111196178"/>
      <w:r w:rsidRPr="00FD24EB">
        <w:rPr>
          <w:b/>
        </w:rPr>
        <w:t xml:space="preserve">Abbildung </w:t>
      </w:r>
      <w:r w:rsidR="00561FFA" w:rsidRPr="00FD24EB">
        <w:rPr>
          <w:b/>
        </w:rPr>
        <w:fldChar w:fldCharType="begin"/>
      </w:r>
      <w:r w:rsidRPr="00FD24EB">
        <w:rPr>
          <w:b/>
        </w:rPr>
        <w:instrText xml:space="preserve"> SEQ Abbildung \* ARABIC </w:instrText>
      </w:r>
      <w:r w:rsidR="00561FFA" w:rsidRPr="00FD24EB">
        <w:rPr>
          <w:b/>
        </w:rPr>
        <w:fldChar w:fldCharType="separate"/>
      </w:r>
      <w:r w:rsidR="007A098D">
        <w:rPr>
          <w:b/>
        </w:rPr>
        <w:t>49</w:t>
      </w:r>
      <w:r w:rsidR="00561FFA" w:rsidRPr="00FD24EB">
        <w:rPr>
          <w:b/>
        </w:rPr>
        <w:fldChar w:fldCharType="end"/>
      </w:r>
      <w:r w:rsidRPr="00FD24EB">
        <w:rPr>
          <w:b/>
        </w:rPr>
        <w:t>: Netzkontoauszug, Datenteil</w:t>
      </w:r>
      <w:bookmarkEnd w:id="2824"/>
      <w:bookmarkEnd w:id="2825"/>
      <w:bookmarkEnd w:id="2826"/>
    </w:p>
    <w:p w14:paraId="75329361" w14:textId="13B229F5" w:rsidR="000F3299" w:rsidRPr="008D478C" w:rsidRDefault="000F3299" w:rsidP="003C2438">
      <w:r w:rsidRPr="008D478C">
        <w:t xml:space="preserve">Im Analyseteil des Netzkontoauszugs werden die verschiedenen Daten zu den nachfolgend dargestellten Netzkontosalden (siehe </w:t>
      </w:r>
      <w:r w:rsidR="0011373C">
        <w:fldChar w:fldCharType="begin"/>
      </w:r>
      <w:r w:rsidR="0011373C">
        <w:instrText xml:space="preserve"> REF _Ref437349658 \h  \* MERGEFORMAT </w:instrText>
      </w:r>
      <w:r w:rsidR="0011373C">
        <w:fldChar w:fldCharType="separate"/>
      </w:r>
      <w:r w:rsidR="00692E23" w:rsidRPr="00692E23">
        <w:t xml:space="preserve">Abbildung </w:t>
      </w:r>
      <w:r w:rsidR="00692E23" w:rsidRPr="00692E23">
        <w:rPr>
          <w:noProof/>
        </w:rPr>
        <w:t>50</w:t>
      </w:r>
      <w:r w:rsidR="0011373C">
        <w:fldChar w:fldCharType="end"/>
      </w:r>
      <w:r w:rsidRPr="008D478C">
        <w:t>) aufgeführt.</w:t>
      </w:r>
    </w:p>
    <w:p w14:paraId="13D063DE" w14:textId="77777777" w:rsidR="000F3299" w:rsidRPr="008D478C" w:rsidRDefault="000F3299" w:rsidP="003C2438">
      <w:bookmarkStart w:id="2827" w:name="_Toc296694477"/>
    </w:p>
    <w:p w14:paraId="3C93FF89" w14:textId="563EBB5C" w:rsidR="000F3299" w:rsidRDefault="000F3299" w:rsidP="003C2438">
      <w:pPr>
        <w:rPr>
          <w:b/>
        </w:rPr>
      </w:pPr>
    </w:p>
    <w:p w14:paraId="01B1326F" w14:textId="07CC06F7" w:rsidR="002D4113" w:rsidRDefault="002D4113" w:rsidP="003C2438">
      <w:pPr>
        <w:rPr>
          <w:b/>
        </w:rPr>
      </w:pPr>
    </w:p>
    <w:p w14:paraId="3933F5C4" w14:textId="383E0F01" w:rsidR="002D4113" w:rsidRDefault="002D4113" w:rsidP="003C2438">
      <w:pPr>
        <w:rPr>
          <w:b/>
        </w:rPr>
      </w:pPr>
      <w:r w:rsidRPr="00C905CB">
        <w:rPr>
          <w:noProof/>
        </w:rPr>
        <w:lastRenderedPageBreak/>
        <w:drawing>
          <wp:inline distT="0" distB="0" distL="0" distR="0" wp14:anchorId="3FD27227" wp14:editId="5C71DBEB">
            <wp:extent cx="6120451" cy="337820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56348" cy="3398013"/>
                    </a:xfrm>
                    <a:prstGeom prst="rect">
                      <a:avLst/>
                    </a:prstGeom>
                    <a:noFill/>
                    <a:ln>
                      <a:noFill/>
                    </a:ln>
                  </pic:spPr>
                </pic:pic>
              </a:graphicData>
            </a:graphic>
          </wp:inline>
        </w:drawing>
      </w:r>
    </w:p>
    <w:p w14:paraId="14BEF3FA" w14:textId="735A4525" w:rsidR="000F3299" w:rsidRPr="008D478C" w:rsidRDefault="000F3299" w:rsidP="00534473">
      <w:pPr>
        <w:spacing w:before="360" w:after="240"/>
      </w:pPr>
      <w:bookmarkStart w:id="2828" w:name="_Ref437349658"/>
      <w:bookmarkStart w:id="2829" w:name="_Ref321305032"/>
      <w:bookmarkStart w:id="2830" w:name="_Ref317854973"/>
      <w:bookmarkStart w:id="2831" w:name="_Ref320639643"/>
      <w:bookmarkStart w:id="2832" w:name="_Toc317858376"/>
      <w:bookmarkStart w:id="2833" w:name="_Toc285126116"/>
      <w:bookmarkStart w:id="2834" w:name="_Toc285313993"/>
      <w:bookmarkStart w:id="2835" w:name="_Toc285005436"/>
      <w:bookmarkStart w:id="2836" w:name="_Toc319924453"/>
      <w:bookmarkStart w:id="2837" w:name="_Ref320639620"/>
      <w:bookmarkStart w:id="2838" w:name="_Toc357092099"/>
      <w:bookmarkStart w:id="2839" w:name="_Toc390346612"/>
      <w:bookmarkStart w:id="2840" w:name="_Toc412562704"/>
      <w:bookmarkStart w:id="2841" w:name="_Toc437530366"/>
      <w:bookmarkStart w:id="2842" w:name="_Toc111118633"/>
      <w:bookmarkStart w:id="2843" w:name="_Toc111196179"/>
      <w:r w:rsidRPr="00996036">
        <w:rPr>
          <w:b/>
        </w:rPr>
        <w:t xml:space="preserve">Abbildung </w:t>
      </w:r>
      <w:r w:rsidR="00561FFA" w:rsidRPr="00FD24EB">
        <w:rPr>
          <w:b/>
        </w:rPr>
        <w:fldChar w:fldCharType="begin"/>
      </w:r>
      <w:r w:rsidR="00FD24EB" w:rsidRPr="00FD24EB">
        <w:rPr>
          <w:b/>
        </w:rPr>
        <w:instrText xml:space="preserve"> SEQ Abbildung \* ARABIC </w:instrText>
      </w:r>
      <w:r w:rsidR="00561FFA" w:rsidRPr="00FD24EB">
        <w:rPr>
          <w:b/>
        </w:rPr>
        <w:fldChar w:fldCharType="separate"/>
      </w:r>
      <w:r w:rsidR="007A098D">
        <w:rPr>
          <w:b/>
          <w:noProof/>
        </w:rPr>
        <w:t>50</w:t>
      </w:r>
      <w:r w:rsidR="00561FFA" w:rsidRPr="00FD24EB">
        <w:rPr>
          <w:b/>
        </w:rPr>
        <w:fldChar w:fldCharType="end"/>
      </w:r>
      <w:bookmarkEnd w:id="2828"/>
      <w:bookmarkEnd w:id="2829"/>
      <w:r w:rsidRPr="00996036">
        <w:rPr>
          <w:b/>
        </w:rPr>
        <w:t>:</w:t>
      </w:r>
      <w:bookmarkEnd w:id="2830"/>
      <w:bookmarkEnd w:id="2831"/>
      <w:r w:rsidRPr="00996036">
        <w:rPr>
          <w:b/>
        </w:rPr>
        <w:t xml:space="preserve"> Netzkontoauszug - Analyseteil</w:t>
      </w:r>
      <w:bookmarkEnd w:id="2827"/>
      <w:bookmarkEnd w:id="2832"/>
      <w:bookmarkEnd w:id="2833"/>
      <w:bookmarkEnd w:id="2834"/>
      <w:bookmarkEnd w:id="2835"/>
      <w:bookmarkEnd w:id="2836"/>
      <w:bookmarkEnd w:id="2837"/>
      <w:bookmarkEnd w:id="2838"/>
      <w:bookmarkEnd w:id="2839"/>
      <w:bookmarkEnd w:id="2840"/>
      <w:bookmarkEnd w:id="2841"/>
      <w:bookmarkEnd w:id="2842"/>
      <w:bookmarkEnd w:id="2843"/>
    </w:p>
    <w:p w14:paraId="7CA2830D" w14:textId="77777777" w:rsidR="00BD1EC4" w:rsidRDefault="00F80131" w:rsidP="00534473">
      <w:pPr>
        <w:pStyle w:val="berschrift4"/>
        <w:tabs>
          <w:tab w:val="clear" w:pos="1844"/>
          <w:tab w:val="num" w:pos="1134"/>
        </w:tabs>
        <w:spacing w:line="300" w:lineRule="atLeast"/>
        <w:ind w:left="1134"/>
      </w:pPr>
      <w:bookmarkStart w:id="2844" w:name="_Toc111118578"/>
      <w:r>
        <w:t>Allokationsdatenberichte</w:t>
      </w:r>
      <w:bookmarkEnd w:id="2844"/>
    </w:p>
    <w:p w14:paraId="018A83A3" w14:textId="790937E7" w:rsidR="000F3299" w:rsidRPr="00E0229C" w:rsidRDefault="000F3299" w:rsidP="003C2438">
      <w:r w:rsidRPr="00E0229C">
        <w:t xml:space="preserve">Für das Netzkonto-Monitoring und zu Clearing- und Analysezwecken </w:t>
      </w:r>
      <w:r w:rsidR="002D4113">
        <w:t>stellt der</w:t>
      </w:r>
      <w:r w:rsidRPr="00E0229C">
        <w:t xml:space="preserve"> MGV folgende einheitliche </w:t>
      </w:r>
      <w:r w:rsidR="00F80131">
        <w:t>Allokationsdatenberichte</w:t>
      </w:r>
      <w:r w:rsidR="00F80131" w:rsidRPr="00E0229C">
        <w:t xml:space="preserve"> </w:t>
      </w:r>
      <w:r w:rsidRPr="00E0229C">
        <w:t>bereit.</w:t>
      </w:r>
    </w:p>
    <w:p w14:paraId="39E8A5B5" w14:textId="71B29080" w:rsidR="00BD1EC4" w:rsidRDefault="000F3299" w:rsidP="00534473">
      <w:pPr>
        <w:spacing w:before="360"/>
        <w:rPr>
          <w:rFonts w:cs="Arial"/>
        </w:rPr>
      </w:pPr>
      <w:r>
        <w:t xml:space="preserve">1) </w:t>
      </w:r>
      <w:r w:rsidR="00F80131">
        <w:t>Allokationsdatenbericht</w:t>
      </w:r>
      <w:r w:rsidRPr="00E0229C">
        <w:t xml:space="preserve"> </w:t>
      </w:r>
      <w:r w:rsidR="009D69AD">
        <w:t>g</w:t>
      </w:r>
      <w:r w:rsidR="00250B2A">
        <w:t>esamt</w:t>
      </w:r>
      <w:r w:rsidRPr="00E0229C">
        <w:t xml:space="preserve">. Tagesscharf, alle ZRT, </w:t>
      </w:r>
      <w:r>
        <w:t>spezifische</w:t>
      </w:r>
      <w:r w:rsidRPr="00E0229C">
        <w:t xml:space="preserve"> Qualitäten</w:t>
      </w:r>
    </w:p>
    <w:p w14:paraId="2D29F203" w14:textId="6A5E7ACE" w:rsidR="00F80131" w:rsidRDefault="00F80131" w:rsidP="00F80131">
      <w:pPr>
        <w:spacing w:after="0"/>
        <w:rPr>
          <w:rFonts w:cs="Arial"/>
        </w:rPr>
      </w:pPr>
    </w:p>
    <w:p w14:paraId="162820BD" w14:textId="16725FD0" w:rsidR="002D4113" w:rsidRDefault="002D4113" w:rsidP="00F80131">
      <w:pPr>
        <w:spacing w:after="0"/>
        <w:rPr>
          <w:rFonts w:cs="Arial"/>
        </w:rPr>
      </w:pPr>
    </w:p>
    <w:p w14:paraId="3CD2706D" w14:textId="225B1CCE" w:rsidR="002D4113" w:rsidRDefault="002D4113" w:rsidP="00F80131">
      <w:pPr>
        <w:spacing w:after="0"/>
        <w:rPr>
          <w:rFonts w:cs="Arial"/>
        </w:rPr>
      </w:pPr>
      <w:r w:rsidRPr="00364392">
        <w:rPr>
          <w:noProof/>
        </w:rPr>
        <w:lastRenderedPageBreak/>
        <w:drawing>
          <wp:inline distT="0" distB="0" distL="0" distR="0" wp14:anchorId="1C6CC5A8" wp14:editId="224667A6">
            <wp:extent cx="6038850" cy="280670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42425" cy="2808362"/>
                    </a:xfrm>
                    <a:prstGeom prst="rect">
                      <a:avLst/>
                    </a:prstGeom>
                    <a:noFill/>
                    <a:ln>
                      <a:noFill/>
                    </a:ln>
                  </pic:spPr>
                </pic:pic>
              </a:graphicData>
            </a:graphic>
          </wp:inline>
        </w:drawing>
      </w:r>
    </w:p>
    <w:p w14:paraId="3D36398D" w14:textId="4DD641AE" w:rsidR="00BD1EC4" w:rsidRDefault="00B158E5" w:rsidP="00534473">
      <w:pPr>
        <w:pStyle w:val="Abbildung"/>
        <w:spacing w:before="360" w:after="0"/>
        <w:rPr>
          <w:b/>
        </w:rPr>
      </w:pPr>
      <w:bookmarkStart w:id="2845" w:name="_Toc437530367"/>
      <w:bookmarkStart w:id="2846" w:name="_Toc111118634"/>
      <w:bookmarkStart w:id="2847" w:name="_Toc111196180"/>
      <w:r w:rsidRPr="00B158E5">
        <w:rPr>
          <w:b/>
        </w:rPr>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51</w:t>
      </w:r>
      <w:r w:rsidR="00561FFA" w:rsidRPr="00B158E5">
        <w:rPr>
          <w:b/>
        </w:rPr>
        <w:fldChar w:fldCharType="end"/>
      </w:r>
      <w:r w:rsidRPr="00B158E5">
        <w:rPr>
          <w:b/>
        </w:rPr>
        <w:t xml:space="preserve">: </w:t>
      </w:r>
      <w:r w:rsidR="00F80131">
        <w:rPr>
          <w:b/>
        </w:rPr>
        <w:t xml:space="preserve">Allokationsdatenbericht </w:t>
      </w:r>
      <w:r w:rsidR="00250B2A">
        <w:rPr>
          <w:b/>
        </w:rPr>
        <w:t>Gesamt</w:t>
      </w:r>
      <w:bookmarkEnd w:id="2845"/>
      <w:bookmarkEnd w:id="2846"/>
      <w:bookmarkEnd w:id="2847"/>
    </w:p>
    <w:p w14:paraId="2125DDEB" w14:textId="02030A8C" w:rsidR="00AC3484" w:rsidRDefault="00AC3484"/>
    <w:p w14:paraId="18310AF1" w14:textId="77777777" w:rsidR="00BC02FB" w:rsidRDefault="00BC02FB" w:rsidP="00534473"/>
    <w:p w14:paraId="44BF3558" w14:textId="77777777" w:rsidR="00BD1EC4" w:rsidRDefault="000F3299" w:rsidP="00534473">
      <w:pPr>
        <w:spacing w:before="240"/>
      </w:pPr>
      <w:r>
        <w:t xml:space="preserve">2) </w:t>
      </w:r>
      <w:r w:rsidR="00F80131">
        <w:t>Allokationsdatenbericht</w:t>
      </w:r>
      <w:r w:rsidRPr="00E0229C">
        <w:t xml:space="preserve"> RLM. Stundenscharf, </w:t>
      </w:r>
      <w:r w:rsidR="00375A18" w:rsidRPr="00375A18">
        <w:t>alle ZRT RLM</w:t>
      </w:r>
      <w:r w:rsidRPr="00E0229C">
        <w:t xml:space="preserve">, </w:t>
      </w:r>
      <w:r>
        <w:t>alle</w:t>
      </w:r>
      <w:r w:rsidRPr="00E0229C">
        <w:t xml:space="preserve"> Qualitäten</w:t>
      </w:r>
    </w:p>
    <w:p w14:paraId="766E5AEA" w14:textId="15F06FA5" w:rsidR="00687CFB" w:rsidRDefault="00687CFB" w:rsidP="00687CFB">
      <w:pPr>
        <w:rPr>
          <w:rFonts w:cs="Arial"/>
        </w:rPr>
      </w:pPr>
    </w:p>
    <w:p w14:paraId="4E2997F4" w14:textId="6069C0BD" w:rsidR="002D4113" w:rsidRDefault="002D4113" w:rsidP="00B41B2F">
      <w:pPr>
        <w:rPr>
          <w:rFonts w:cs="Arial"/>
        </w:rPr>
      </w:pPr>
    </w:p>
    <w:p w14:paraId="54140DC4" w14:textId="40D8E562" w:rsidR="002D4113" w:rsidRDefault="002D4113" w:rsidP="00B41B2F">
      <w:pPr>
        <w:rPr>
          <w:rFonts w:cs="Arial"/>
        </w:rPr>
      </w:pPr>
      <w:r w:rsidRPr="00BE07F3">
        <w:rPr>
          <w:noProof/>
        </w:rPr>
        <w:drawing>
          <wp:inline distT="0" distB="0" distL="0" distR="0" wp14:anchorId="5BE4B2F2" wp14:editId="7B7E5AC0">
            <wp:extent cx="6112510" cy="1898650"/>
            <wp:effectExtent l="0" t="0" r="2540" b="635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58589" cy="1912963"/>
                    </a:xfrm>
                    <a:prstGeom prst="rect">
                      <a:avLst/>
                    </a:prstGeom>
                    <a:noFill/>
                    <a:ln>
                      <a:noFill/>
                    </a:ln>
                  </pic:spPr>
                </pic:pic>
              </a:graphicData>
            </a:graphic>
          </wp:inline>
        </w:drawing>
      </w:r>
    </w:p>
    <w:p w14:paraId="383C0AF8" w14:textId="77777777" w:rsidR="000F3299" w:rsidRDefault="00E27D63" w:rsidP="003C2438">
      <w:pPr>
        <w:rPr>
          <w:rFonts w:cs="Arial"/>
        </w:rPr>
      </w:pPr>
      <w:r>
        <w:rPr>
          <w:rFonts w:cs="Arial"/>
        </w:rPr>
        <w:t xml:space="preserve">Der </w:t>
      </w:r>
      <w:r>
        <w:t>Allokationsdatenbericht</w:t>
      </w:r>
      <w:r w:rsidRPr="00E0229C">
        <w:t xml:space="preserve"> RLM</w:t>
      </w:r>
      <w:r>
        <w:rPr>
          <w:rFonts w:cs="Arial"/>
        </w:rPr>
        <w:t xml:space="preserve"> enthält bei allen Qualitäten die Daten mit der stundenscharfen Struktur wie durch den NB allokiert. Eine Bandbildung bei </w:t>
      </w:r>
      <w:proofErr w:type="spellStart"/>
      <w:r>
        <w:rPr>
          <w:rFonts w:cs="Arial"/>
        </w:rPr>
        <w:t>RLMmT</w:t>
      </w:r>
      <w:proofErr w:type="spellEnd"/>
      <w:r>
        <w:rPr>
          <w:rFonts w:cs="Arial"/>
        </w:rPr>
        <w:t xml:space="preserve"> findet nicht statt.</w:t>
      </w:r>
    </w:p>
    <w:p w14:paraId="727DA51C" w14:textId="2D392552" w:rsidR="00BD1EC4" w:rsidRDefault="00B158E5" w:rsidP="00534473">
      <w:pPr>
        <w:pStyle w:val="Abbildung"/>
        <w:spacing w:before="360" w:after="240"/>
        <w:rPr>
          <w:b/>
        </w:rPr>
      </w:pPr>
      <w:bookmarkStart w:id="2848" w:name="_Toc437530368"/>
      <w:bookmarkStart w:id="2849" w:name="_Toc111118635"/>
      <w:bookmarkStart w:id="2850" w:name="_Toc111196181"/>
      <w:r w:rsidRPr="00B158E5">
        <w:rPr>
          <w:b/>
        </w:rPr>
        <w:lastRenderedPageBreak/>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52</w:t>
      </w:r>
      <w:r w:rsidR="00561FFA" w:rsidRPr="00B158E5">
        <w:rPr>
          <w:b/>
        </w:rPr>
        <w:fldChar w:fldCharType="end"/>
      </w:r>
      <w:r w:rsidRPr="00B158E5">
        <w:rPr>
          <w:b/>
        </w:rPr>
        <w:t xml:space="preserve">: </w:t>
      </w:r>
      <w:r w:rsidR="00F80131">
        <w:rPr>
          <w:b/>
        </w:rPr>
        <w:t>Allokationsdatenbericht</w:t>
      </w:r>
      <w:r w:rsidR="00F80131" w:rsidRPr="00B158E5">
        <w:rPr>
          <w:b/>
        </w:rPr>
        <w:t xml:space="preserve"> </w:t>
      </w:r>
      <w:r w:rsidRPr="00B158E5">
        <w:rPr>
          <w:b/>
        </w:rPr>
        <w:t>RLM</w:t>
      </w:r>
      <w:bookmarkEnd w:id="2848"/>
      <w:bookmarkEnd w:id="2849"/>
      <w:bookmarkEnd w:id="2850"/>
    </w:p>
    <w:p w14:paraId="59340BEC" w14:textId="77777777" w:rsidR="000F3299" w:rsidRPr="00375A18" w:rsidRDefault="00D51374" w:rsidP="00534473">
      <w:pPr>
        <w:spacing w:before="360"/>
      </w:pPr>
      <w:r>
        <w:t xml:space="preserve">3) </w:t>
      </w:r>
      <w:r w:rsidR="00F80131">
        <w:t>Allokationsdatenbericht</w:t>
      </w:r>
      <w:r w:rsidRPr="00E0229C">
        <w:t xml:space="preserve"> </w:t>
      </w:r>
      <w:proofErr w:type="spellStart"/>
      <w:r w:rsidRPr="00E0229C">
        <w:t>EntryNKP</w:t>
      </w:r>
      <w:proofErr w:type="spellEnd"/>
      <w:r w:rsidRPr="00E0229C">
        <w:t xml:space="preserve">. Stundenscharf, </w:t>
      </w:r>
      <w:r w:rsidRPr="00375A18">
        <w:t xml:space="preserve">alle ZRT </w:t>
      </w:r>
      <w:r>
        <w:t>„ENTRYNKP“ und</w:t>
      </w:r>
      <w:r w:rsidRPr="00375A18">
        <w:t xml:space="preserve"> </w:t>
      </w:r>
      <w:r>
        <w:t>„</w:t>
      </w:r>
      <w:r w:rsidRPr="00375A18">
        <w:t>ENTRY</w:t>
      </w:r>
      <w:r>
        <w:t>FLG“</w:t>
      </w:r>
      <w:r w:rsidRPr="00E0229C">
        <w:t xml:space="preserve">, </w:t>
      </w:r>
      <w:r>
        <w:t>alle</w:t>
      </w:r>
      <w:r w:rsidRPr="00E0229C">
        <w:t xml:space="preserve"> Qualitäten</w:t>
      </w:r>
    </w:p>
    <w:p w14:paraId="3CBA342D" w14:textId="2EAA4252" w:rsidR="00375A18" w:rsidRDefault="00375A18" w:rsidP="003C2438">
      <w:pPr>
        <w:rPr>
          <w:rFonts w:cs="Arial"/>
        </w:rPr>
      </w:pPr>
    </w:p>
    <w:p w14:paraId="7948D326" w14:textId="77777777" w:rsidR="002D4113" w:rsidRDefault="002D4113" w:rsidP="003C2438">
      <w:pPr>
        <w:rPr>
          <w:rFonts w:cs="Arial"/>
        </w:rPr>
      </w:pPr>
    </w:p>
    <w:p w14:paraId="5E7600B0" w14:textId="09121A92" w:rsidR="002D4113" w:rsidRDefault="002D4113" w:rsidP="003C2438">
      <w:pPr>
        <w:rPr>
          <w:rFonts w:cs="Arial"/>
        </w:rPr>
      </w:pPr>
      <w:r w:rsidRPr="00935FEE">
        <w:rPr>
          <w:noProof/>
        </w:rPr>
        <w:drawing>
          <wp:inline distT="0" distB="0" distL="0" distR="0" wp14:anchorId="1692131B" wp14:editId="4EB5BC91">
            <wp:extent cx="5873750" cy="1752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875682" cy="1753176"/>
                    </a:xfrm>
                    <a:prstGeom prst="rect">
                      <a:avLst/>
                    </a:prstGeom>
                    <a:noFill/>
                    <a:ln>
                      <a:noFill/>
                    </a:ln>
                  </pic:spPr>
                </pic:pic>
              </a:graphicData>
            </a:graphic>
          </wp:inline>
        </w:drawing>
      </w:r>
    </w:p>
    <w:p w14:paraId="2CC49DF6" w14:textId="77777777" w:rsidR="002D4113" w:rsidRDefault="002D4113" w:rsidP="003C2438">
      <w:pPr>
        <w:rPr>
          <w:rFonts w:cs="Arial"/>
        </w:rPr>
      </w:pPr>
    </w:p>
    <w:p w14:paraId="775DD8F1" w14:textId="4C89F08E" w:rsidR="00534473" w:rsidRPr="00534473" w:rsidRDefault="00B158E5" w:rsidP="00534473">
      <w:pPr>
        <w:pStyle w:val="Abbildung"/>
        <w:spacing w:before="360" w:after="240"/>
        <w:rPr>
          <w:b/>
        </w:rPr>
      </w:pPr>
      <w:bookmarkStart w:id="2851" w:name="_Toc111118636"/>
      <w:bookmarkStart w:id="2852" w:name="_Toc111196182"/>
      <w:r w:rsidRPr="00B158E5">
        <w:rPr>
          <w:b/>
        </w:rPr>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53</w:t>
      </w:r>
      <w:r w:rsidR="00561FFA" w:rsidRPr="00B158E5">
        <w:rPr>
          <w:b/>
        </w:rPr>
        <w:fldChar w:fldCharType="end"/>
      </w:r>
      <w:r w:rsidRPr="00B158E5">
        <w:rPr>
          <w:b/>
        </w:rPr>
        <w:t xml:space="preserve">: </w:t>
      </w:r>
      <w:r w:rsidR="00F80131">
        <w:rPr>
          <w:b/>
        </w:rPr>
        <w:t>Allokationsdatenbericht</w:t>
      </w:r>
      <w:r w:rsidR="00F80131" w:rsidRPr="00B158E5">
        <w:rPr>
          <w:b/>
        </w:rPr>
        <w:t xml:space="preserve"> </w:t>
      </w:r>
      <w:r w:rsidRPr="00B158E5">
        <w:rPr>
          <w:b/>
        </w:rPr>
        <w:t>EntryNKP</w:t>
      </w:r>
      <w:bookmarkEnd w:id="2851"/>
      <w:bookmarkEnd w:id="2852"/>
    </w:p>
    <w:p w14:paraId="4C33B0CA" w14:textId="77777777" w:rsidR="00BD1EC4" w:rsidRDefault="000F3299" w:rsidP="00534473">
      <w:pPr>
        <w:spacing w:before="360"/>
      </w:pPr>
      <w:r>
        <w:t xml:space="preserve">4) </w:t>
      </w:r>
      <w:r w:rsidR="00F80131">
        <w:t>Allokationsdatenbericht</w:t>
      </w:r>
      <w:r w:rsidR="00F80131" w:rsidRPr="00E0229C">
        <w:t xml:space="preserve"> </w:t>
      </w:r>
      <w:proofErr w:type="spellStart"/>
      <w:r w:rsidRPr="00E0229C">
        <w:t>Entryso</w:t>
      </w:r>
      <w:proofErr w:type="spellEnd"/>
      <w:r w:rsidRPr="00E0229C">
        <w:t>/</w:t>
      </w:r>
      <w:proofErr w:type="spellStart"/>
      <w:r w:rsidRPr="00E0229C">
        <w:t>Exitso</w:t>
      </w:r>
      <w:proofErr w:type="spellEnd"/>
      <w:r w:rsidRPr="00E0229C">
        <w:t xml:space="preserve">. Stundenscharf, </w:t>
      </w:r>
      <w:r w:rsidR="00375A18" w:rsidRPr="00375A18">
        <w:t xml:space="preserve">alle ZRT </w:t>
      </w:r>
      <w:r w:rsidR="00375A18">
        <w:t>„</w:t>
      </w:r>
      <w:r w:rsidR="00375A18" w:rsidRPr="00375A18">
        <w:t>ENTRYSO</w:t>
      </w:r>
      <w:r w:rsidR="00375A18">
        <w:t>“</w:t>
      </w:r>
      <w:r w:rsidR="00375A18" w:rsidRPr="00375A18">
        <w:t xml:space="preserve">, </w:t>
      </w:r>
      <w:r w:rsidR="00375A18">
        <w:t>„</w:t>
      </w:r>
      <w:r w:rsidR="00375A18" w:rsidRPr="00375A18">
        <w:t>EXITSO</w:t>
      </w:r>
      <w:r w:rsidR="00375A18">
        <w:t>“</w:t>
      </w:r>
      <w:r w:rsidR="00375A18" w:rsidRPr="00375A18">
        <w:t xml:space="preserve">, </w:t>
      </w:r>
      <w:r w:rsidR="00375A18">
        <w:t>„</w:t>
      </w:r>
      <w:r w:rsidR="00375A18" w:rsidRPr="00375A18">
        <w:t>ENTRYBIO</w:t>
      </w:r>
      <w:r w:rsidR="00375A18">
        <w:t>“</w:t>
      </w:r>
      <w:r w:rsidR="00375A18" w:rsidRPr="00375A18">
        <w:t xml:space="preserve"> und </w:t>
      </w:r>
      <w:r w:rsidR="00375A18">
        <w:t>„</w:t>
      </w:r>
      <w:r w:rsidR="00375A18" w:rsidRPr="00375A18">
        <w:t>ENTRYH2</w:t>
      </w:r>
      <w:r w:rsidR="00375A18">
        <w:t>“</w:t>
      </w:r>
      <w:r w:rsidRPr="00E0229C">
        <w:t xml:space="preserve">, </w:t>
      </w:r>
      <w:r>
        <w:t>alle</w:t>
      </w:r>
      <w:r w:rsidRPr="00E0229C">
        <w:t xml:space="preserve"> Qualitäten</w:t>
      </w:r>
    </w:p>
    <w:p w14:paraId="76121DFB" w14:textId="6E67BC8F" w:rsidR="000F3299" w:rsidRDefault="000F3299" w:rsidP="003C2438">
      <w:pPr>
        <w:rPr>
          <w:rFonts w:cs="Arial"/>
        </w:rPr>
      </w:pPr>
    </w:p>
    <w:p w14:paraId="127A4FA3" w14:textId="2FA98D85" w:rsidR="002D4113" w:rsidRDefault="00DA08C7" w:rsidP="003C2438">
      <w:pPr>
        <w:rPr>
          <w:rFonts w:cs="Arial"/>
        </w:rPr>
      </w:pPr>
      <w:r w:rsidRPr="00BE07F3">
        <w:rPr>
          <w:noProof/>
        </w:rPr>
        <w:drawing>
          <wp:inline distT="0" distB="0" distL="0" distR="0" wp14:anchorId="16A6F578" wp14:editId="1E23C161">
            <wp:extent cx="5756652" cy="1790700"/>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69266" cy="1794624"/>
                    </a:xfrm>
                    <a:prstGeom prst="rect">
                      <a:avLst/>
                    </a:prstGeom>
                    <a:noFill/>
                    <a:ln>
                      <a:noFill/>
                    </a:ln>
                  </pic:spPr>
                </pic:pic>
              </a:graphicData>
            </a:graphic>
          </wp:inline>
        </w:drawing>
      </w:r>
    </w:p>
    <w:p w14:paraId="301515E7" w14:textId="1015997B" w:rsidR="000F3299" w:rsidRDefault="00B158E5" w:rsidP="00534473">
      <w:pPr>
        <w:pStyle w:val="Abbildung"/>
        <w:spacing w:before="360" w:after="240"/>
        <w:rPr>
          <w:b/>
        </w:rPr>
      </w:pPr>
      <w:bookmarkStart w:id="2853" w:name="_Toc437530369"/>
      <w:bookmarkStart w:id="2854" w:name="_Toc111118637"/>
      <w:bookmarkStart w:id="2855" w:name="_Toc111196183"/>
      <w:r w:rsidRPr="00B158E5">
        <w:rPr>
          <w:b/>
        </w:rPr>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54</w:t>
      </w:r>
      <w:r w:rsidR="00561FFA" w:rsidRPr="00B158E5">
        <w:rPr>
          <w:b/>
        </w:rPr>
        <w:fldChar w:fldCharType="end"/>
      </w:r>
      <w:r w:rsidRPr="00B158E5">
        <w:rPr>
          <w:b/>
        </w:rPr>
        <w:t xml:space="preserve">: </w:t>
      </w:r>
      <w:r w:rsidR="00F80131">
        <w:rPr>
          <w:b/>
        </w:rPr>
        <w:t>Allokationsdatenbericht</w:t>
      </w:r>
      <w:r w:rsidRPr="00B158E5">
        <w:rPr>
          <w:b/>
        </w:rPr>
        <w:t xml:space="preserve"> Entryso/Exitso</w:t>
      </w:r>
      <w:bookmarkEnd w:id="2853"/>
      <w:bookmarkEnd w:id="2854"/>
      <w:bookmarkEnd w:id="2855"/>
    </w:p>
    <w:p w14:paraId="0223A788" w14:textId="4FB63266" w:rsidR="00182353" w:rsidRPr="00DA08C7" w:rsidRDefault="00182353" w:rsidP="00DA08C7">
      <w:pPr>
        <w:spacing w:before="360"/>
      </w:pPr>
      <w:r>
        <w:t>5) Allokationsdatenbericht</w:t>
      </w:r>
      <w:r w:rsidRPr="00E0229C">
        <w:t xml:space="preserve"> </w:t>
      </w:r>
      <w:r>
        <w:t>bei Zeitumstellung, am Beispiel RLM</w:t>
      </w:r>
      <w:r w:rsidRPr="00E0229C">
        <w:t xml:space="preserve">. </w:t>
      </w:r>
      <w:r>
        <w:t>Alle</w:t>
      </w:r>
      <w:r w:rsidRPr="00E0229C">
        <w:t xml:space="preserve"> Qualitäten</w:t>
      </w:r>
    </w:p>
    <w:p w14:paraId="1D9917EF" w14:textId="128F5DEA" w:rsidR="002D4113" w:rsidRDefault="002D4113" w:rsidP="00534473">
      <w:pPr>
        <w:pStyle w:val="Abbildung"/>
        <w:spacing w:before="360" w:after="240"/>
        <w:rPr>
          <w:b/>
        </w:rPr>
      </w:pPr>
      <w:r w:rsidRPr="003071F8">
        <w:lastRenderedPageBreak/>
        <w:drawing>
          <wp:inline distT="0" distB="0" distL="0" distR="0" wp14:anchorId="2112A43A" wp14:editId="50F578D2">
            <wp:extent cx="5994400" cy="6197013"/>
            <wp:effectExtent l="0" t="0" r="635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02382" cy="6205265"/>
                    </a:xfrm>
                    <a:prstGeom prst="rect">
                      <a:avLst/>
                    </a:prstGeom>
                    <a:noFill/>
                    <a:ln>
                      <a:noFill/>
                    </a:ln>
                  </pic:spPr>
                </pic:pic>
              </a:graphicData>
            </a:graphic>
          </wp:inline>
        </w:drawing>
      </w:r>
    </w:p>
    <w:p w14:paraId="3F2034C1" w14:textId="77777777" w:rsidR="002D4113" w:rsidRDefault="002D4113" w:rsidP="00534473">
      <w:pPr>
        <w:pStyle w:val="Abbildung"/>
        <w:spacing w:before="360" w:after="240"/>
        <w:rPr>
          <w:b/>
        </w:rPr>
      </w:pPr>
    </w:p>
    <w:p w14:paraId="2CDED0D1" w14:textId="26C2B6F6" w:rsidR="00182353" w:rsidRPr="00182353" w:rsidRDefault="00182353" w:rsidP="00534473">
      <w:pPr>
        <w:pStyle w:val="Abbildung"/>
        <w:spacing w:before="360" w:after="240"/>
        <w:rPr>
          <w:rFonts w:cs="Arial"/>
          <w:b/>
        </w:rPr>
      </w:pPr>
      <w:bookmarkStart w:id="2856" w:name="_Toc111118638"/>
      <w:bookmarkStart w:id="2857" w:name="_Toc111196184"/>
      <w:r>
        <w:rPr>
          <w:b/>
        </w:rPr>
        <w:t xml:space="preserve">Abbildung </w:t>
      </w:r>
      <w:r w:rsidR="00561FFA">
        <w:fldChar w:fldCharType="begin"/>
      </w:r>
      <w:r>
        <w:rPr>
          <w:b/>
        </w:rPr>
        <w:instrText xml:space="preserve"> SEQ Abbildung \* ARABIC </w:instrText>
      </w:r>
      <w:r w:rsidR="00561FFA">
        <w:fldChar w:fldCharType="separate"/>
      </w:r>
      <w:r w:rsidR="007A098D">
        <w:rPr>
          <w:b/>
        </w:rPr>
        <w:t>55</w:t>
      </w:r>
      <w:r w:rsidR="00561FFA">
        <w:fldChar w:fldCharType="end"/>
      </w:r>
      <w:r>
        <w:rPr>
          <w:b/>
        </w:rPr>
        <w:t>: Darstellung bei Zeitumstellung in den stundenscharfen Allokationsdatenberichten (RLM, EntryNKP, Entryso/Exitso), am Beispiel RLM</w:t>
      </w:r>
      <w:bookmarkEnd w:id="2856"/>
      <w:bookmarkEnd w:id="2857"/>
    </w:p>
    <w:p w14:paraId="09D4EE92" w14:textId="77777777" w:rsidR="00DA08C7" w:rsidRPr="00534473" w:rsidRDefault="00DA08C7" w:rsidP="00534473">
      <w:pPr>
        <w:pStyle w:val="Abbildung"/>
        <w:spacing w:before="360" w:after="240"/>
        <w:rPr>
          <w:rFonts w:cs="Arial"/>
          <w:b/>
        </w:rPr>
      </w:pPr>
    </w:p>
    <w:p w14:paraId="722AA19C" w14:textId="2CB0CF46" w:rsidR="000F3299" w:rsidRPr="004B2303" w:rsidRDefault="000F3299" w:rsidP="00534473">
      <w:pPr>
        <w:pStyle w:val="berschrift3"/>
        <w:tabs>
          <w:tab w:val="clear" w:pos="1276"/>
          <w:tab w:val="num" w:pos="851"/>
        </w:tabs>
        <w:spacing w:before="480"/>
        <w:ind w:left="851" w:hanging="851"/>
      </w:pPr>
      <w:bookmarkStart w:id="2858" w:name="_Toc317858339"/>
      <w:bookmarkStart w:id="2859" w:name="_Toc318089057"/>
      <w:bookmarkStart w:id="2860" w:name="_Toc318089232"/>
      <w:bookmarkStart w:id="2861" w:name="_Toc317858341"/>
      <w:bookmarkStart w:id="2862" w:name="_Toc318089059"/>
      <w:bookmarkStart w:id="2863" w:name="_Toc318089234"/>
      <w:bookmarkStart w:id="2864" w:name="_Toc317858342"/>
      <w:bookmarkStart w:id="2865" w:name="_Toc318089060"/>
      <w:bookmarkStart w:id="2866" w:name="_Toc318089235"/>
      <w:bookmarkStart w:id="2867" w:name="_Toc317858343"/>
      <w:bookmarkStart w:id="2868" w:name="_Toc318089061"/>
      <w:bookmarkStart w:id="2869" w:name="_Toc318089236"/>
      <w:bookmarkStart w:id="2870" w:name="_Toc317858344"/>
      <w:bookmarkStart w:id="2871" w:name="_Toc318089062"/>
      <w:bookmarkStart w:id="2872" w:name="_Toc318089237"/>
      <w:bookmarkStart w:id="2873" w:name="_Toc317858345"/>
      <w:bookmarkStart w:id="2874" w:name="_Toc318089063"/>
      <w:bookmarkStart w:id="2875" w:name="_Toc318089238"/>
      <w:bookmarkStart w:id="2876" w:name="_Toc317858346"/>
      <w:bookmarkStart w:id="2877" w:name="_Toc318089064"/>
      <w:bookmarkStart w:id="2878" w:name="_Toc318089239"/>
      <w:bookmarkStart w:id="2879" w:name="_Toc317858348"/>
      <w:bookmarkStart w:id="2880" w:name="_Toc318089066"/>
      <w:bookmarkStart w:id="2881" w:name="_Toc318089241"/>
      <w:bookmarkStart w:id="2882" w:name="_Toc317858351"/>
      <w:bookmarkStart w:id="2883" w:name="_Toc318089069"/>
      <w:bookmarkStart w:id="2884" w:name="_Toc318089244"/>
      <w:bookmarkStart w:id="2885" w:name="_Toc317858352"/>
      <w:bookmarkStart w:id="2886" w:name="_Toc317858378"/>
      <w:bookmarkStart w:id="2887" w:name="_Toc318089070"/>
      <w:bookmarkStart w:id="2888" w:name="_Toc318089245"/>
      <w:bookmarkStart w:id="2889" w:name="_Toc317858353"/>
      <w:bookmarkStart w:id="2890" w:name="_Toc318089071"/>
      <w:bookmarkStart w:id="2891" w:name="_Toc318089246"/>
      <w:bookmarkStart w:id="2892" w:name="_Toc317858354"/>
      <w:bookmarkStart w:id="2893" w:name="_Toc318089072"/>
      <w:bookmarkStart w:id="2894" w:name="_Toc318089247"/>
      <w:bookmarkStart w:id="2895" w:name="_Toc317858355"/>
      <w:bookmarkStart w:id="2896" w:name="_Toc317858371"/>
      <w:bookmarkStart w:id="2897" w:name="_Toc318089073"/>
      <w:bookmarkStart w:id="2898" w:name="_Toc318089248"/>
      <w:bookmarkStart w:id="2899" w:name="_Toc317858356"/>
      <w:bookmarkStart w:id="2900" w:name="_Toc318089074"/>
      <w:bookmarkStart w:id="2901" w:name="_Toc318089249"/>
      <w:bookmarkStart w:id="2902" w:name="_Ref436141496"/>
      <w:bookmarkStart w:id="2903" w:name="_Ref436651263"/>
      <w:bookmarkStart w:id="2904" w:name="_Toc111118579"/>
      <w:bookmarkStart w:id="2905" w:name="_Toc269915219"/>
      <w:bookmarkStart w:id="2906" w:name="_Toc284323726"/>
      <w:bookmarkStart w:id="2907" w:name="_Toc284334403"/>
      <w:bookmarkStart w:id="2908" w:name="_Toc285005377"/>
      <w:bookmarkStart w:id="2909" w:name="_Ref289724750"/>
      <w:bookmarkStart w:id="2910" w:name="_Ref293306390"/>
      <w:bookmarkStart w:id="2911" w:name="_Toc318089075"/>
      <w:bookmarkStart w:id="2912" w:name="_Toc318089250"/>
      <w:bookmarkStart w:id="2913" w:name="_Ref318788561"/>
      <w:bookmarkStart w:id="2914" w:name="_Toc319931983"/>
      <w:bookmarkStart w:id="2915" w:name="_Toc391540264"/>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lastRenderedPageBreak/>
        <w:t xml:space="preserve">Abrechnung </w:t>
      </w:r>
      <w:bookmarkEnd w:id="2902"/>
      <w:r w:rsidR="00707A06">
        <w:t xml:space="preserve">nach der täglichen Netzkontosystematik als </w:t>
      </w:r>
      <w:r w:rsidR="00425AF9">
        <w:t>Anreiz</w:t>
      </w:r>
      <w:r w:rsidR="004C4D09">
        <w:t>system</w:t>
      </w:r>
      <w:bookmarkEnd w:id="2903"/>
      <w:bookmarkEnd w:id="2904"/>
    </w:p>
    <w:bookmarkEnd w:id="2905"/>
    <w:bookmarkEnd w:id="2906"/>
    <w:bookmarkEnd w:id="2907"/>
    <w:bookmarkEnd w:id="2908"/>
    <w:bookmarkEnd w:id="2909"/>
    <w:bookmarkEnd w:id="2910"/>
    <w:bookmarkEnd w:id="2911"/>
    <w:bookmarkEnd w:id="2912"/>
    <w:bookmarkEnd w:id="2913"/>
    <w:bookmarkEnd w:id="2914"/>
    <w:bookmarkEnd w:id="2915"/>
    <w:p w14:paraId="6886D149" w14:textId="4729BD62" w:rsidR="000F3299" w:rsidRDefault="000F3299" w:rsidP="003C2438">
      <w:r>
        <w:t>Die Durchführung des Abrechnungsprozesses erfolgt nach Ablauf aller Clearingfristen auf Basis des abgestimmten Netzkontos.</w:t>
      </w:r>
      <w:r w:rsidR="001E45F8">
        <w:t xml:space="preserve"> Dabei bildet die </w:t>
      </w:r>
      <w:r>
        <w:t>tägliche</w:t>
      </w:r>
      <w:r w:rsidR="001A570C">
        <w:t xml:space="preserve"> prozentuale </w:t>
      </w:r>
      <w:r>
        <w:t xml:space="preserve">Netzkontoabweichung </w:t>
      </w:r>
      <w:r w:rsidR="001A570C">
        <w:t>(</w:t>
      </w:r>
      <w:r>
        <w:t>in %</w:t>
      </w:r>
      <w:r w:rsidR="001A570C">
        <w:t>)</w:t>
      </w:r>
      <w:r>
        <w:t xml:space="preserve"> (Verhältnis aus </w:t>
      </w:r>
      <w:r w:rsidR="001A570C">
        <w:t xml:space="preserve">täglichem </w:t>
      </w:r>
      <w:r>
        <w:t>Netzkontosaldo 1 zur</w:t>
      </w:r>
      <w:r w:rsidR="001A570C" w:rsidRPr="001A570C">
        <w:t xml:space="preserve"> </w:t>
      </w:r>
      <w:r w:rsidR="001A570C">
        <w:t>Summe der täglichen</w:t>
      </w:r>
      <w:r>
        <w:t xml:space="preserve"> SLP-Allokation) die Grundlage für die </w:t>
      </w:r>
      <w:r w:rsidR="00707A06">
        <w:t>Abrechnung nach der täglichen Netzkontosystematik als Anreizsystem</w:t>
      </w:r>
      <w:r w:rsidR="001E45F8">
        <w:t>:</w:t>
      </w:r>
    </w:p>
    <w:p w14:paraId="1717C1DA" w14:textId="77777777" w:rsidR="00CA5C1B" w:rsidRPr="00CA5C1B" w:rsidRDefault="00786053" w:rsidP="007F76BC">
      <w:pPr>
        <w:pStyle w:val="Listenabsatz"/>
        <w:numPr>
          <w:ilvl w:val="0"/>
          <w:numId w:val="61"/>
        </w:numPr>
        <w:contextualSpacing w:val="0"/>
        <w:rPr>
          <w:rFonts w:cs="Arial"/>
        </w:rPr>
      </w:pPr>
      <w:r w:rsidRPr="0097402E">
        <w:rPr>
          <w:rFonts w:cs="Arial"/>
        </w:rPr>
        <w:t xml:space="preserve">tägliche </w:t>
      </w:r>
      <w:r w:rsidR="00BE25C8" w:rsidRPr="0097402E">
        <w:rPr>
          <w:rFonts w:cs="Arial"/>
        </w:rPr>
        <w:t>prozentuale</w:t>
      </w:r>
      <w:r w:rsidR="00BE25C8">
        <w:t xml:space="preserve"> </w:t>
      </w:r>
      <w:r w:rsidR="00CA5C1B" w:rsidRPr="0097402E">
        <w:rPr>
          <w:rFonts w:cs="Arial"/>
        </w:rPr>
        <w:t>Netzkontoabweichu</w:t>
      </w:r>
      <w:r w:rsidR="00CA5C1B">
        <w:rPr>
          <w:rFonts w:cs="Arial"/>
        </w:rPr>
        <w:t>ng</w:t>
      </w:r>
      <w:r w:rsidR="00CA5C1B" w:rsidRPr="00C51A2B">
        <w:rPr>
          <w:rFonts w:cs="Arial"/>
        </w:rPr>
        <w:t xml:space="preserve"> im Bereich 0</w:t>
      </w:r>
      <w:r w:rsidR="00CA5C1B" w:rsidRPr="00906A5C">
        <w:rPr>
          <w:rFonts w:cs="Arial"/>
        </w:rPr>
        <w:t>% bi</w:t>
      </w:r>
      <w:r w:rsidR="00CA5C1B" w:rsidRPr="0097402E">
        <w:rPr>
          <w:rFonts w:cs="Arial"/>
        </w:rPr>
        <w:t xml:space="preserve">s 35% (Unterallokation) werden vom </w:t>
      </w:r>
      <w:r w:rsidR="000F3299">
        <w:t>MGV</w:t>
      </w:r>
      <w:r w:rsidR="00CA5C1B" w:rsidRPr="0097402E">
        <w:rPr>
          <w:rFonts w:cs="Arial"/>
        </w:rPr>
        <w:t xml:space="preserve"> ni</w:t>
      </w:r>
      <w:r w:rsidR="00BE25C8">
        <w:rPr>
          <w:rFonts w:cs="Arial"/>
        </w:rPr>
        <w:t>cht zur Abrechnung herangezogen;</w:t>
      </w:r>
    </w:p>
    <w:p w14:paraId="057483FE" w14:textId="77777777" w:rsidR="00CA5C1B" w:rsidRPr="00CA5C1B" w:rsidRDefault="00CA5C1B" w:rsidP="007F76BC">
      <w:pPr>
        <w:pStyle w:val="Listenabsatz"/>
        <w:numPr>
          <w:ilvl w:val="0"/>
          <w:numId w:val="61"/>
        </w:numPr>
        <w:contextualSpacing w:val="0"/>
        <w:rPr>
          <w:rFonts w:cs="Arial"/>
        </w:rPr>
      </w:pPr>
      <w:r w:rsidRPr="0097402E">
        <w:rPr>
          <w:rFonts w:cs="Arial"/>
        </w:rPr>
        <w:t xml:space="preserve">überschreitet die </w:t>
      </w:r>
      <w:r w:rsidR="00786053" w:rsidRPr="0097402E">
        <w:rPr>
          <w:rFonts w:cs="Arial"/>
        </w:rPr>
        <w:t xml:space="preserve">tägliche </w:t>
      </w:r>
      <w:r w:rsidRPr="0097402E">
        <w:rPr>
          <w:rFonts w:cs="Arial"/>
        </w:rPr>
        <w:t xml:space="preserve">prozentuale Netzkontoabweichung an mehr als 6 Tagen eines Monats den Schwellenwert von 35% (Unterallokation), werden </w:t>
      </w:r>
      <w:r w:rsidR="001A570C">
        <w:rPr>
          <w:rFonts w:cs="Arial"/>
        </w:rPr>
        <w:t xml:space="preserve">abweichend von </w:t>
      </w:r>
      <w:proofErr w:type="spellStart"/>
      <w:r w:rsidR="001A570C">
        <w:rPr>
          <w:rFonts w:cs="Arial"/>
        </w:rPr>
        <w:t>lit</w:t>
      </w:r>
      <w:proofErr w:type="spellEnd"/>
      <w:r w:rsidR="001A570C">
        <w:rPr>
          <w:rFonts w:cs="Arial"/>
        </w:rPr>
        <w:t xml:space="preserve"> a) </w:t>
      </w:r>
      <w:r w:rsidRPr="0097402E">
        <w:rPr>
          <w:rFonts w:cs="Arial"/>
        </w:rPr>
        <w:t xml:space="preserve">alle täglichen Netzkontosalden 1 mit </w:t>
      </w:r>
      <w:r w:rsidR="00786053" w:rsidRPr="0097402E">
        <w:rPr>
          <w:rFonts w:cs="Arial"/>
        </w:rPr>
        <w:t xml:space="preserve">täglichen </w:t>
      </w:r>
      <w:r w:rsidR="00552245" w:rsidRPr="0097402E">
        <w:rPr>
          <w:rFonts w:cs="Arial"/>
        </w:rPr>
        <w:t xml:space="preserve">prozentualen </w:t>
      </w:r>
      <w:r w:rsidRPr="0097402E">
        <w:rPr>
          <w:rFonts w:cs="Arial"/>
        </w:rPr>
        <w:t xml:space="preserve">Netzkontoabweichungen größer 35% des Monats (M) vom </w:t>
      </w:r>
      <w:r w:rsidR="00D51374">
        <w:t>MGV</w:t>
      </w:r>
      <w:r w:rsidRPr="0097402E">
        <w:rPr>
          <w:rFonts w:cs="Arial"/>
        </w:rPr>
        <w:t xml:space="preserve"> gegenüber dem </w:t>
      </w:r>
      <w:r w:rsidR="004F593C">
        <w:rPr>
          <w:rFonts w:cs="Arial"/>
        </w:rPr>
        <w:t>NB</w:t>
      </w:r>
      <w:r w:rsidRPr="0097402E">
        <w:rPr>
          <w:rFonts w:cs="Arial"/>
        </w:rPr>
        <w:t xml:space="preserve"> ab</w:t>
      </w:r>
      <w:r w:rsidR="00BE25C8">
        <w:rPr>
          <w:rFonts w:cs="Arial"/>
        </w:rPr>
        <w:t>gerechnet;</w:t>
      </w:r>
    </w:p>
    <w:p w14:paraId="61F858CD" w14:textId="4C5C4CF7" w:rsidR="00CA5C1B" w:rsidRDefault="00786053" w:rsidP="007F76BC">
      <w:pPr>
        <w:pStyle w:val="Listenabsatz"/>
        <w:numPr>
          <w:ilvl w:val="0"/>
          <w:numId w:val="61"/>
        </w:numPr>
        <w:contextualSpacing w:val="0"/>
      </w:pPr>
      <w:r w:rsidRPr="0097402E">
        <w:rPr>
          <w:rFonts w:cs="Arial"/>
        </w:rPr>
        <w:t xml:space="preserve">tägliche </w:t>
      </w:r>
      <w:r w:rsidR="00552245" w:rsidRPr="0097402E">
        <w:rPr>
          <w:rFonts w:cs="Arial"/>
        </w:rPr>
        <w:t xml:space="preserve">prozentuale </w:t>
      </w:r>
      <w:r w:rsidR="00CA5C1B">
        <w:t>N</w:t>
      </w:r>
      <w:r w:rsidR="00CA5C1B" w:rsidRPr="00BC0C1E">
        <w:rPr>
          <w:rFonts w:cs="Arial"/>
        </w:rPr>
        <w:t>etzkontoa</w:t>
      </w:r>
      <w:r w:rsidR="00CA5C1B" w:rsidRPr="0097402E">
        <w:rPr>
          <w:rFonts w:cs="Arial"/>
        </w:rPr>
        <w:t xml:space="preserve">bweichungen von kleiner 0% bis einschließlich -3% (Überallokation) werden vom MGV gegenüber dem </w:t>
      </w:r>
      <w:r w:rsidR="00552245">
        <w:rPr>
          <w:rFonts w:cs="Arial"/>
        </w:rPr>
        <w:t>NB</w:t>
      </w:r>
      <w:r w:rsidR="00CA5C1B" w:rsidRPr="0097402E">
        <w:rPr>
          <w:rFonts w:cs="Arial"/>
        </w:rPr>
        <w:t xml:space="preserve"> gezahlt</w:t>
      </w:r>
      <w:r w:rsidR="00CA5C1B">
        <w:t xml:space="preserve">. Bei </w:t>
      </w:r>
      <w:r>
        <w:t xml:space="preserve">täglichen </w:t>
      </w:r>
      <w:r w:rsidR="00CA5C1B">
        <w:t xml:space="preserve">prozentualen Netzkontoabweichungen von kleiner -3% findet keine </w:t>
      </w:r>
      <w:r w:rsidR="00CA5C1B" w:rsidRPr="00906A5C">
        <w:t xml:space="preserve">Auszahlung statt. Der </w:t>
      </w:r>
      <w:r w:rsidR="00552245">
        <w:t>NB</w:t>
      </w:r>
      <w:r w:rsidR="00CA5C1B" w:rsidRPr="00906A5C">
        <w:t xml:space="preserve"> kann</w:t>
      </w:r>
      <w:r w:rsidR="00CA5C1B">
        <w:t xml:space="preserve"> jeweils für ein Gaswirtschaftsjahr auf die Gutschriften für Überallokationen verzichten, indem er schriftlich gegenüber dem </w:t>
      </w:r>
      <w:r w:rsidR="00552245">
        <w:t>MGV</w:t>
      </w:r>
      <w:r w:rsidR="00CA5C1B">
        <w:t xml:space="preserve"> den Verzicht bis zum 1.</w:t>
      </w:r>
      <w:r w:rsidR="00552245">
        <w:t>Oktober</w:t>
      </w:r>
      <w:r w:rsidR="00CA5C1B">
        <w:t xml:space="preserve"> eines Jahres</w:t>
      </w:r>
      <w:r w:rsidR="00CA5C1B" w:rsidRPr="004A5CB7">
        <w:t xml:space="preserve"> </w:t>
      </w:r>
      <w:r w:rsidR="00CA5C1B">
        <w:t xml:space="preserve">erklärt. Hierzu </w:t>
      </w:r>
      <w:r w:rsidR="002D4113">
        <w:t>stellt der</w:t>
      </w:r>
      <w:r w:rsidR="00CA5C1B">
        <w:t xml:space="preserve"> </w:t>
      </w:r>
      <w:r w:rsidR="00552245">
        <w:t>MGV</w:t>
      </w:r>
      <w:r w:rsidR="00CA5C1B">
        <w:t xml:space="preserve"> </w:t>
      </w:r>
      <w:r w:rsidR="002D4113">
        <w:t>eine Möglichkeit im Portal zur Verfügung.</w:t>
      </w:r>
    </w:p>
    <w:p w14:paraId="0F738CCA" w14:textId="6B6920F7" w:rsidR="00B41B2F" w:rsidRPr="00FD5001" w:rsidRDefault="00B41B2F" w:rsidP="00B41B2F">
      <w:r w:rsidRPr="00E64FCA">
        <w:t xml:space="preserve">Der </w:t>
      </w:r>
      <w:r>
        <w:t>MGV</w:t>
      </w:r>
      <w:r w:rsidRPr="00E64FCA">
        <w:t xml:space="preserve"> erstellt monatlich</w:t>
      </w:r>
      <w:r>
        <w:t>,</w:t>
      </w:r>
      <w:r w:rsidRPr="00E64FCA">
        <w:t xml:space="preserve"> </w:t>
      </w:r>
      <w:r w:rsidR="003A5C09">
        <w:t>im Zeitraum M+2M+</w:t>
      </w:r>
      <w:r w:rsidR="003A5C09" w:rsidRPr="003A5C09">
        <w:t xml:space="preserve">15 WT bis </w:t>
      </w:r>
      <w:r w:rsidR="003A5C09">
        <w:t>M+2</w:t>
      </w:r>
      <w:r w:rsidR="003A5C09" w:rsidRPr="003A5C09">
        <w:t>M + 25 WT</w:t>
      </w:r>
      <w:r>
        <w:t>,</w:t>
      </w:r>
      <w:r w:rsidRPr="00E64FCA">
        <w:t xml:space="preserve"> die Abrechnung</w:t>
      </w:r>
      <w:r>
        <w:t>en (Rechnung /Gutschrift)</w:t>
      </w:r>
      <w:r w:rsidRPr="00E64FCA">
        <w:t xml:space="preserve"> zzgl. Umsatzsteuer</w:t>
      </w:r>
      <w:r w:rsidRPr="00CD25ED">
        <w:t>.</w:t>
      </w:r>
      <w:r w:rsidR="000B0504">
        <w:t xml:space="preserve"> </w:t>
      </w:r>
      <w:r w:rsidR="002D4113" w:rsidRPr="00FB7486">
        <w:t>Das Zahlungsziel beträgt 10 Werktage bezogen auf den Rechnungseingang</w:t>
      </w:r>
      <w:r w:rsidR="002D4113">
        <w:t xml:space="preserve">. </w:t>
      </w:r>
      <w:r w:rsidR="000212F2">
        <w:t xml:space="preserve">Sollten die – im Sinne der Rückabwicklung -relevanten Mehr-/Mindermengenabrechnungen bereits durchgeführt worden sein, wird auf die Erstellung der Abrechnung verzichtet. </w:t>
      </w:r>
      <w:r w:rsidRPr="00CD25ED">
        <w:t xml:space="preserve">Im Rahmen der Abrechnung werden alle gemäß </w:t>
      </w:r>
      <w:proofErr w:type="spellStart"/>
      <w:r w:rsidRPr="00CD25ED">
        <w:t>lit</w:t>
      </w:r>
      <w:proofErr w:type="spellEnd"/>
      <w:r w:rsidRPr="00CD25ED">
        <w:t>. b) bis c) abzurechnenden täglichen Netzkontosalden</w:t>
      </w:r>
      <w:r w:rsidRPr="00E64FCA">
        <w:t xml:space="preserve"> 1 mit dem </w:t>
      </w:r>
      <w:r w:rsidR="00026FAB">
        <w:t>veröffentlichten Monatsdurchschnittspreis</w:t>
      </w:r>
      <w:r w:rsidR="00C81602">
        <w:t xml:space="preserve"> </w:t>
      </w:r>
      <w:r w:rsidRPr="00E64FCA">
        <w:t xml:space="preserve">des Anwendungsmonats nach </w:t>
      </w:r>
      <w:r w:rsidRPr="00E64FCA" w:rsidDel="00815124">
        <w:t>§</w:t>
      </w:r>
      <w:r w:rsidR="00815124">
        <w:t> </w:t>
      </w:r>
      <w:r w:rsidRPr="00E64FCA">
        <w:t>49 Ziffer 6</w:t>
      </w:r>
      <w:r>
        <w:t xml:space="preserve"> </w:t>
      </w:r>
      <w:proofErr w:type="spellStart"/>
      <w:r>
        <w:t>KoV</w:t>
      </w:r>
      <w:proofErr w:type="spellEnd"/>
      <w:r w:rsidRPr="00E64FCA">
        <w:t xml:space="preserve"> multipliziert</w:t>
      </w:r>
      <w:r w:rsidR="00AC1C1F">
        <w:t>.</w:t>
      </w:r>
      <w:r>
        <w:t xml:space="preserve"> </w:t>
      </w:r>
      <w:r w:rsidR="00AD3A54">
        <w:t xml:space="preserve">Die Verrechnung der Bruttobeträge aus dem Rechnungs-/Gutschriftbetrag erfolgt, soweit keine abweichende Vereinbarung zwischen </w:t>
      </w:r>
      <w:r w:rsidR="002D4113">
        <w:t xml:space="preserve">MGV </w:t>
      </w:r>
      <w:r w:rsidR="00AD3A54">
        <w:t xml:space="preserve">und </w:t>
      </w:r>
      <w:r w:rsidR="002D4113">
        <w:t xml:space="preserve">NB </w:t>
      </w:r>
      <w:r w:rsidR="00AD3A54">
        <w:t xml:space="preserve">getroffen wurde. </w:t>
      </w:r>
      <w:r w:rsidR="002D4113">
        <w:t xml:space="preserve">Der Marktgebietsverantwortliche übermittelt die Abrechnung in Form von elektronischen Rechnungen gem. </w:t>
      </w:r>
      <w:r w:rsidR="00815124">
        <w:t>§ </w:t>
      </w:r>
      <w:r w:rsidR="002D4113">
        <w:t>14 Abs. 1 Satz 8 UstG.</w:t>
      </w:r>
    </w:p>
    <w:p w14:paraId="070A2D31" w14:textId="160C83D4" w:rsidR="00F80131" w:rsidRDefault="00F80131" w:rsidP="00F80131">
      <w:pPr>
        <w:pStyle w:val="Beispiel"/>
        <w:ind w:left="0"/>
        <w:rPr>
          <w:i w:val="0"/>
        </w:rPr>
      </w:pPr>
      <w:bookmarkStart w:id="2916" w:name="_Toc412661456"/>
      <w:bookmarkStart w:id="2917" w:name="_Toc318089251"/>
      <w:bookmarkStart w:id="2918" w:name="_Toc318089076"/>
      <w:bookmarkStart w:id="2919" w:name="_Toc285005378"/>
      <w:bookmarkStart w:id="2920" w:name="_Toc284334404"/>
      <w:bookmarkStart w:id="2921" w:name="_Toc284323727"/>
      <w:bookmarkStart w:id="2922" w:name="_Toc269915220"/>
      <w:bookmarkStart w:id="2923" w:name="_Toc319931984"/>
      <w:bookmarkStart w:id="2924" w:name="_Ref320618698"/>
      <w:bookmarkStart w:id="2925" w:name="_Toc296694194"/>
      <w:bookmarkStart w:id="2926" w:name="_Toc391540265"/>
      <w:r>
        <w:rPr>
          <w:i w:val="0"/>
        </w:rPr>
        <w:t>Im Fall einer Marktraumumstellung</w:t>
      </w:r>
      <w:r w:rsidR="00DB5930">
        <w:rPr>
          <w:i w:val="0"/>
        </w:rPr>
        <w:t xml:space="preserve"> im Netzgebiet eines </w:t>
      </w:r>
      <w:r w:rsidR="002E46AD">
        <w:rPr>
          <w:i w:val="0"/>
        </w:rPr>
        <w:t>NB</w:t>
      </w:r>
      <w:r w:rsidR="00DB5930">
        <w:rPr>
          <w:i w:val="0"/>
        </w:rPr>
        <w:t xml:space="preserve"> oder in einem Teilnetz davon</w:t>
      </w:r>
      <w:r>
        <w:rPr>
          <w:i w:val="0"/>
        </w:rPr>
        <w:t xml:space="preserve"> können zwischen bilanziellem </w:t>
      </w:r>
      <w:r w:rsidR="005A1CD4">
        <w:rPr>
          <w:i w:val="0"/>
        </w:rPr>
        <w:t xml:space="preserve">Umstellungstermin </w:t>
      </w:r>
      <w:r>
        <w:rPr>
          <w:i w:val="0"/>
        </w:rPr>
        <w:t xml:space="preserve">und </w:t>
      </w:r>
      <w:r w:rsidR="005A1CD4" w:rsidRPr="009912A8">
        <w:rPr>
          <w:i w:val="0"/>
        </w:rPr>
        <w:t>dem Zeit</w:t>
      </w:r>
      <w:r w:rsidR="006C3049">
        <w:rPr>
          <w:i w:val="0"/>
        </w:rPr>
        <w:t>punkt</w:t>
      </w:r>
      <w:r w:rsidR="005A1CD4" w:rsidRPr="009912A8">
        <w:rPr>
          <w:i w:val="0"/>
        </w:rPr>
        <w:t xml:space="preserve"> der Änderung der Gasqualität am Netzkopplungs</w:t>
      </w:r>
      <w:r w:rsidR="006C3049">
        <w:rPr>
          <w:i w:val="0"/>
        </w:rPr>
        <w:t>punkt</w:t>
      </w:r>
      <w:r w:rsidR="005A1CD4">
        <w:rPr>
          <w:i w:val="0"/>
        </w:rPr>
        <w:t xml:space="preserve"> </w:t>
      </w:r>
      <w:r>
        <w:rPr>
          <w:i w:val="0"/>
        </w:rPr>
        <w:t>zeitliche Unterschiede auftreten.</w:t>
      </w:r>
    </w:p>
    <w:p w14:paraId="2C7460FB" w14:textId="5CC8F43D" w:rsidR="00DB5930" w:rsidRDefault="00DB5930" w:rsidP="00DB5930">
      <w:pPr>
        <w:pStyle w:val="Beispiel"/>
        <w:ind w:left="0"/>
        <w:rPr>
          <w:i w:val="0"/>
          <w:iCs/>
        </w:rPr>
      </w:pPr>
      <w:r>
        <w:rPr>
          <w:i w:val="0"/>
          <w:iCs/>
        </w:rPr>
        <w:t xml:space="preserve">Der betroffene </w:t>
      </w:r>
      <w:r w:rsidR="002E46AD">
        <w:rPr>
          <w:i w:val="0"/>
          <w:iCs/>
        </w:rPr>
        <w:t>NB</w:t>
      </w:r>
      <w:r>
        <w:rPr>
          <w:i w:val="0"/>
          <w:iCs/>
        </w:rPr>
        <w:t xml:space="preserve"> teilt dem MGV diese Termine bis spätestens drei Monate vor dem bilanziellen Umstellungstermin mit.</w:t>
      </w:r>
    </w:p>
    <w:p w14:paraId="07B94F29" w14:textId="209BC6A3" w:rsidR="00E70C2E" w:rsidRDefault="00186FCE" w:rsidP="00F80131">
      <w:pPr>
        <w:pStyle w:val="Beispiel"/>
        <w:ind w:left="0"/>
        <w:rPr>
          <w:i w:val="0"/>
          <w:iCs/>
        </w:rPr>
      </w:pPr>
      <w:r>
        <w:rPr>
          <w:i w:val="0"/>
          <w:iCs/>
        </w:rPr>
        <w:t xml:space="preserve">In der Mitteilung gibt der NB dem MGV ebenfalls bekannt, ob ein H-Gas-Netzkonto neu einzurichten ist (entsprechend dem Prozess und Unterlagen gemäß Kap. </w:t>
      </w:r>
      <w:r w:rsidR="003854BB">
        <w:rPr>
          <w:i w:val="0"/>
          <w:iCs/>
        </w:rPr>
        <w:t>2.3</w:t>
      </w:r>
      <w:r>
        <w:rPr>
          <w:i w:val="0"/>
          <w:iCs/>
        </w:rPr>
        <w:t xml:space="preserve">), ob das bisherige </w:t>
      </w:r>
      <w:r>
        <w:rPr>
          <w:i w:val="0"/>
          <w:iCs/>
        </w:rPr>
        <w:lastRenderedPageBreak/>
        <w:t>L-Gas-Netzkonto geschlossen werden kann (beispielsweise im Fall der vollständigen Umstellung des bisherigen L-Gas-Netzes auf H-Gas)</w:t>
      </w:r>
      <w:r w:rsidR="00CC6FEE">
        <w:rPr>
          <w:i w:val="0"/>
          <w:iCs/>
        </w:rPr>
        <w:t xml:space="preserve"> sowie</w:t>
      </w:r>
      <w:r>
        <w:rPr>
          <w:i w:val="0"/>
          <w:iCs/>
        </w:rPr>
        <w:t xml:space="preserve"> welche Änderungen sich bezüglich der Topologie der angrenzenden Netzkonten ergeben.</w:t>
      </w:r>
    </w:p>
    <w:p w14:paraId="6B1E806E" w14:textId="3DD8ADC3" w:rsidR="00F80131" w:rsidRDefault="00F80131" w:rsidP="00F80131">
      <w:pPr>
        <w:pStyle w:val="Beispiel"/>
        <w:ind w:left="0"/>
        <w:rPr>
          <w:i w:val="0"/>
          <w:iCs/>
        </w:rPr>
      </w:pPr>
      <w:r>
        <w:rPr>
          <w:i w:val="0"/>
          <w:iCs/>
        </w:rPr>
        <w:t xml:space="preserve">Für den gesamten Zeitraum zwischen </w:t>
      </w:r>
      <w:r w:rsidR="005A1CD4" w:rsidRPr="005E0BD2">
        <w:rPr>
          <w:i w:val="0"/>
        </w:rPr>
        <w:t xml:space="preserve">diesen Terminen </w:t>
      </w:r>
      <w:r w:rsidR="00DB5930">
        <w:rPr>
          <w:i w:val="0"/>
        </w:rPr>
        <w:t xml:space="preserve">für ein Netzgebiet bzw. ein Teilnetzgebiet </w:t>
      </w:r>
      <w:r>
        <w:rPr>
          <w:i w:val="0"/>
          <w:iCs/>
        </w:rPr>
        <w:t xml:space="preserve">erfolgt eine aggregierte Betrachtung </w:t>
      </w:r>
      <w:r w:rsidRPr="00F73950">
        <w:rPr>
          <w:i w:val="0"/>
          <w:iCs/>
        </w:rPr>
        <w:t xml:space="preserve">der Netzkontoabweichungen </w:t>
      </w:r>
      <w:r>
        <w:rPr>
          <w:i w:val="0"/>
          <w:iCs/>
        </w:rPr>
        <w:t>der H-Gas- und</w:t>
      </w:r>
      <w:r w:rsidRPr="00F73950">
        <w:rPr>
          <w:i w:val="0"/>
          <w:iCs/>
        </w:rPr>
        <w:t xml:space="preserve"> L-Gas</w:t>
      </w:r>
      <w:r>
        <w:rPr>
          <w:i w:val="0"/>
          <w:iCs/>
        </w:rPr>
        <w:t xml:space="preserve">-Netzkonten. </w:t>
      </w:r>
      <w:r w:rsidR="00D31FCC" w:rsidRPr="00B91985">
        <w:rPr>
          <w:i w:val="0"/>
        </w:rPr>
        <w:t>Im Falle der Umstellung von Teilnetzen erfolgt die aggregierte Betrachtung jedoch nur in den Monaten, in denen es tatsächlich einen zeitlichen Versatz zwischen technischer und bilanzieller Umstellung eines (Teil-)Netzes gibt.</w:t>
      </w:r>
    </w:p>
    <w:p w14:paraId="6BD4E99A" w14:textId="792A15DB" w:rsidR="00CC6FEE" w:rsidRDefault="00CC6FEE" w:rsidP="00CC6FEE">
      <w:pPr>
        <w:rPr>
          <w:rFonts w:cs="Arial"/>
        </w:rPr>
      </w:pPr>
      <w:r>
        <w:rPr>
          <w:rFonts w:cs="Arial"/>
        </w:rPr>
        <w:t>Für Unterallokationen bedeutet die aggregierte Betrachtung, dass für den Monat geprüft wird, ob es auch bei aggregierter Betrachtung an mehr als 6 Tagen zu einer Überschreitung des Schwellenwertes von 35% kommt. Wenn ja, wird vom MGV die gesamte im Marktgebiet unterallokierte Menge der jeweiligen Tage jeweils abgerechnet.</w:t>
      </w:r>
    </w:p>
    <w:p w14:paraId="6212B673" w14:textId="77777777" w:rsidR="00CC6FEE" w:rsidRDefault="00CC6FEE" w:rsidP="00CC6FEE">
      <w:pPr>
        <w:rPr>
          <w:rFonts w:cs="Arial"/>
        </w:rPr>
      </w:pPr>
      <w:r>
        <w:rPr>
          <w:rFonts w:cs="Arial"/>
        </w:rPr>
        <w:t xml:space="preserve">Für Überallokationen bedeutet die aggregierte Betrachtung, dass nur Tage, an denen die aggregierte tägliche prozentuale Netzkontoabweichung im Bereich zwischen 0% und -3% liegt, zu einer Gutschrift führen. </w:t>
      </w:r>
      <w:r w:rsidRPr="002D5DA9">
        <w:t>Für jeden dieser Tage wird</w:t>
      </w:r>
      <w:r>
        <w:t>,</w:t>
      </w:r>
      <w:r w:rsidRPr="002D5DA9">
        <w:t xml:space="preserve"> begrenzt auf die aggregierte Menge</w:t>
      </w:r>
      <w:r>
        <w:t>, diese</w:t>
      </w:r>
      <w:r w:rsidRPr="002D5DA9">
        <w:t xml:space="preserve"> dem NB gutgeschrieben</w:t>
      </w:r>
      <w:r>
        <w:rPr>
          <w:rFonts w:cs="Arial"/>
        </w:rPr>
        <w:t xml:space="preserve">. </w:t>
      </w:r>
      <w:r w:rsidRPr="00132E1E">
        <w:rPr>
          <w:rFonts w:cs="Arial"/>
        </w:rPr>
        <w:t xml:space="preserve">In begründeten Fällen hat der MGV das Recht, </w:t>
      </w:r>
      <w:r w:rsidRPr="006958B2">
        <w:rPr>
          <w:rFonts w:cs="Arial"/>
        </w:rPr>
        <w:t xml:space="preserve">insbesondere bei erheblichen Differenzen zwischen den täglichen prozentualen Netzkontoabweichungen </w:t>
      </w:r>
      <w:r>
        <w:rPr>
          <w:rFonts w:cs="Arial"/>
        </w:rPr>
        <w:t>im</w:t>
      </w:r>
      <w:r w:rsidRPr="006958B2">
        <w:rPr>
          <w:rFonts w:cs="Arial"/>
        </w:rPr>
        <w:t xml:space="preserve"> Marktgebiet, d</w:t>
      </w:r>
      <w:r>
        <w:rPr>
          <w:rFonts w:cs="Arial"/>
        </w:rPr>
        <w:t>as</w:t>
      </w:r>
      <w:r w:rsidRPr="006958B2">
        <w:rPr>
          <w:rFonts w:cs="Arial"/>
        </w:rPr>
        <w:t xml:space="preserve"> keine üblichen, systembedingten Netzkontoabweichungen darstellen</w:t>
      </w:r>
      <w:r>
        <w:rPr>
          <w:rFonts w:cs="Arial"/>
        </w:rPr>
        <w:t xml:space="preserve">, </w:t>
      </w:r>
      <w:r w:rsidRPr="00132E1E">
        <w:rPr>
          <w:rFonts w:cs="Arial"/>
        </w:rPr>
        <w:t>eine Erläuterung für Netzkontoabweichungen zu verlangen.</w:t>
      </w:r>
      <w:r>
        <w:rPr>
          <w:rFonts w:cs="Arial"/>
        </w:rPr>
        <w:t xml:space="preserve"> </w:t>
      </w:r>
      <w:r w:rsidRPr="00132E1E">
        <w:rPr>
          <w:rFonts w:cs="Arial"/>
        </w:rPr>
        <w:t>Ist diese Erläuterung nicht hinreichend begründet, erfolgt eine</w:t>
      </w:r>
      <w:r>
        <w:rPr>
          <w:rFonts w:cs="Arial"/>
        </w:rPr>
        <w:t xml:space="preserve"> Abrechnung nach der täglichen Netzkontosystematik als Anreizsystem.</w:t>
      </w:r>
    </w:p>
    <w:p w14:paraId="1689DEA3" w14:textId="77777777" w:rsidR="00CC6FEE" w:rsidRDefault="00CC6FEE" w:rsidP="00CC6FEE">
      <w:r w:rsidRPr="00791192">
        <w:t xml:space="preserve">Dies gilt </w:t>
      </w:r>
      <w:r>
        <w:t xml:space="preserve">auch </w:t>
      </w:r>
      <w:r w:rsidRPr="00791192">
        <w:t>für Netzbetreiber</w:t>
      </w:r>
      <w:r>
        <w:t>,</w:t>
      </w:r>
      <w:r w:rsidRPr="00791192">
        <w:t xml:space="preserve"> die vor der Marktgebietszusammenlegung getrennte Netzkonten</w:t>
      </w:r>
      <w:r>
        <w:t xml:space="preserve"> gleicher Gasqualität</w:t>
      </w:r>
      <w:r w:rsidRPr="00791192">
        <w:t xml:space="preserve"> in </w:t>
      </w:r>
      <w:r>
        <w:t xml:space="preserve">den </w:t>
      </w:r>
      <w:r w:rsidRPr="00791192">
        <w:t>beiden Marktgebieten besaßen</w:t>
      </w:r>
      <w:r>
        <w:t>.</w:t>
      </w:r>
    </w:p>
    <w:p w14:paraId="0C31E012" w14:textId="77777777" w:rsidR="006F3648" w:rsidRDefault="006F3648" w:rsidP="00F80131">
      <w:pPr>
        <w:pStyle w:val="Beispiel"/>
        <w:ind w:left="0"/>
        <w:rPr>
          <w:i w:val="0"/>
          <w:iCs/>
        </w:rPr>
      </w:pPr>
    </w:p>
    <w:p w14:paraId="706DB96D" w14:textId="77777777" w:rsidR="001E6E9E" w:rsidRDefault="001E6E9E" w:rsidP="001E6E9E">
      <w:pPr>
        <w:pStyle w:val="berschrift3"/>
        <w:tabs>
          <w:tab w:val="clear" w:pos="1276"/>
          <w:tab w:val="num" w:pos="851"/>
        </w:tabs>
        <w:spacing w:before="480"/>
        <w:ind w:left="851" w:hanging="851"/>
      </w:pPr>
      <w:bookmarkStart w:id="2927" w:name="_Toc111118580"/>
      <w:bookmarkEnd w:id="2916"/>
      <w:bookmarkEnd w:id="2917"/>
      <w:bookmarkEnd w:id="2918"/>
      <w:bookmarkEnd w:id="2919"/>
      <w:bookmarkEnd w:id="2920"/>
      <w:bookmarkEnd w:id="2921"/>
      <w:bookmarkEnd w:id="2922"/>
      <w:bookmarkEnd w:id="2923"/>
      <w:bookmarkEnd w:id="2924"/>
      <w:bookmarkEnd w:id="2925"/>
      <w:bookmarkEnd w:id="2926"/>
      <w:r w:rsidRPr="00A75BA1">
        <w:t>Auswirkungen auf die Abrechnung der Mehr-/Mindermengen</w:t>
      </w:r>
      <w:r>
        <w:t xml:space="preserve"> und Rückabwicklung der Netzkontenabrechnung</w:t>
      </w:r>
      <w:bookmarkEnd w:id="2927"/>
    </w:p>
    <w:p w14:paraId="3C6F6EDA" w14:textId="5F102ECF" w:rsidR="001E6E9E" w:rsidRDefault="0013780A" w:rsidP="001E6E9E">
      <w:pPr>
        <w:pStyle w:val="Beispiel"/>
        <w:ind w:left="0"/>
        <w:rPr>
          <w:i w:val="0"/>
        </w:rPr>
      </w:pPr>
      <w:r>
        <w:rPr>
          <w:i w:val="0"/>
        </w:rPr>
        <w:t>Die Abrechnung</w:t>
      </w:r>
      <w:r w:rsidR="000212F2" w:rsidRPr="000212F2">
        <w:rPr>
          <w:i w:val="0"/>
        </w:rPr>
        <w:t xml:space="preserve"> </w:t>
      </w:r>
      <w:r w:rsidR="000212F2">
        <w:rPr>
          <w:i w:val="0"/>
        </w:rPr>
        <w:t>nach</w:t>
      </w:r>
      <w:r w:rsidR="00581603">
        <w:rPr>
          <w:i w:val="0"/>
        </w:rPr>
        <w:t xml:space="preserve"> </w:t>
      </w:r>
      <w:r w:rsidR="001E6E9E" w:rsidRPr="00875C6A">
        <w:rPr>
          <w:i w:val="0"/>
        </w:rPr>
        <w:t>der täglichen Netzkonto</w:t>
      </w:r>
      <w:r w:rsidR="000212F2">
        <w:rPr>
          <w:i w:val="0"/>
        </w:rPr>
        <w:t>systematik</w:t>
      </w:r>
      <w:r w:rsidR="001E6E9E" w:rsidRPr="00875C6A">
        <w:rPr>
          <w:i w:val="0"/>
        </w:rPr>
        <w:t xml:space="preserve"> gemäß Tenor 8 </w:t>
      </w:r>
      <w:proofErr w:type="spellStart"/>
      <w:r w:rsidR="001E6E9E" w:rsidRPr="00875C6A">
        <w:rPr>
          <w:i w:val="0"/>
        </w:rPr>
        <w:t>lit</w:t>
      </w:r>
      <w:proofErr w:type="spellEnd"/>
      <w:r w:rsidR="001E6E9E" w:rsidRPr="00875C6A">
        <w:rPr>
          <w:i w:val="0"/>
        </w:rPr>
        <w:t xml:space="preserve">. a) der Festlegung </w:t>
      </w:r>
      <w:proofErr w:type="spellStart"/>
      <w:r w:rsidR="001E6E9E" w:rsidRPr="00875C6A">
        <w:rPr>
          <w:i w:val="0"/>
        </w:rPr>
        <w:t>GaBi</w:t>
      </w:r>
      <w:proofErr w:type="spellEnd"/>
      <w:r w:rsidR="001E6E9E" w:rsidRPr="00875C6A">
        <w:rPr>
          <w:i w:val="0"/>
        </w:rPr>
        <w:t xml:space="preserve"> Gas 2.0</w:t>
      </w:r>
      <w:r w:rsidR="001E6E9E">
        <w:rPr>
          <w:i w:val="0"/>
        </w:rPr>
        <w:t xml:space="preserve"> </w:t>
      </w:r>
      <w:r w:rsidR="001E6E9E" w:rsidRPr="0075676E">
        <w:rPr>
          <w:i w:val="0"/>
        </w:rPr>
        <w:t xml:space="preserve">erfolgt </w:t>
      </w:r>
      <w:r w:rsidR="001E6E9E">
        <w:rPr>
          <w:i w:val="0"/>
        </w:rPr>
        <w:t xml:space="preserve">neben der </w:t>
      </w:r>
      <w:r w:rsidR="001E6E9E" w:rsidRPr="0075676E">
        <w:rPr>
          <w:i w:val="0"/>
        </w:rPr>
        <w:t>SLP-Mehr-/Mindermengenabrechnung</w:t>
      </w:r>
      <w:r w:rsidR="001E6E9E" w:rsidRPr="00146C2B">
        <w:rPr>
          <w:i w:val="0"/>
        </w:rPr>
        <w:t xml:space="preserve"> als</w:t>
      </w:r>
      <w:r w:rsidR="001E6E9E" w:rsidRPr="0075676E">
        <w:rPr>
          <w:i w:val="0"/>
        </w:rPr>
        <w:t xml:space="preserve"> Anreizsystematik.</w:t>
      </w:r>
      <w:r w:rsidR="001E6E9E">
        <w:rPr>
          <w:i w:val="0"/>
        </w:rPr>
        <w:t xml:space="preserve"> </w:t>
      </w:r>
      <w:r w:rsidR="001E6E9E" w:rsidRPr="0075676E">
        <w:rPr>
          <w:i w:val="0"/>
        </w:rPr>
        <w:t xml:space="preserve">Im Zuge der Mehr-/Mindermengenabrechnungen werden die – </w:t>
      </w:r>
      <w:proofErr w:type="gramStart"/>
      <w:r w:rsidR="001E6E9E" w:rsidRPr="0075676E">
        <w:rPr>
          <w:i w:val="0"/>
        </w:rPr>
        <w:t>soweit</w:t>
      </w:r>
      <w:proofErr w:type="gramEnd"/>
      <w:r w:rsidR="001E6E9E" w:rsidRPr="0075676E">
        <w:rPr>
          <w:i w:val="0"/>
        </w:rPr>
        <w:t xml:space="preserve"> erfolgten – Monatsrechnungen oder -gutschriften der </w:t>
      </w:r>
      <w:r w:rsidR="000460C2">
        <w:rPr>
          <w:i w:val="0"/>
        </w:rPr>
        <w:t>Abrechnung nach der täglichen Netzkontosystematik als Anreizsystem</w:t>
      </w:r>
      <w:r w:rsidR="00581603" w:rsidRPr="0075676E">
        <w:rPr>
          <w:i w:val="0"/>
        </w:rPr>
        <w:t xml:space="preserve"> </w:t>
      </w:r>
      <w:r w:rsidR="001E6E9E" w:rsidRPr="0075676E">
        <w:rPr>
          <w:i w:val="0"/>
        </w:rPr>
        <w:t xml:space="preserve">rückabgewickelt und somit diese Zahlungen der </w:t>
      </w:r>
      <w:r w:rsidR="000460C2">
        <w:rPr>
          <w:i w:val="0"/>
        </w:rPr>
        <w:t>Abrechnung nach der täglichen Netzkontosystematik als Anreizsystem</w:t>
      </w:r>
      <w:r w:rsidR="000460C2" w:rsidRPr="0075676E">
        <w:rPr>
          <w:i w:val="0"/>
        </w:rPr>
        <w:t xml:space="preserve"> </w:t>
      </w:r>
      <w:r w:rsidR="001E6E9E" w:rsidRPr="0075676E">
        <w:rPr>
          <w:i w:val="0"/>
        </w:rPr>
        <w:t>vollständig zurückgezahlt. Der Zeit</w:t>
      </w:r>
      <w:r w:rsidR="006C3049">
        <w:rPr>
          <w:i w:val="0"/>
        </w:rPr>
        <w:t>punkt</w:t>
      </w:r>
      <w:r w:rsidR="001E6E9E" w:rsidRPr="0075676E">
        <w:rPr>
          <w:i w:val="0"/>
        </w:rPr>
        <w:t xml:space="preserve"> der Abwicklung und der Rückzahlung hängen vom gewählten V</w:t>
      </w:r>
      <w:r w:rsidR="001E6E9E">
        <w:rPr>
          <w:i w:val="0"/>
        </w:rPr>
        <w:t>erfahren der Ablesung (stichtags</w:t>
      </w:r>
      <w:r w:rsidR="001E6E9E" w:rsidRPr="0075676E">
        <w:rPr>
          <w:i w:val="0"/>
        </w:rPr>
        <w:t>bezogene oder rollierende Ablesung) für SLP-</w:t>
      </w:r>
      <w:r w:rsidR="000241B7">
        <w:rPr>
          <w:i w:val="0"/>
        </w:rPr>
        <w:t>Marktlokationen</w:t>
      </w:r>
      <w:r w:rsidR="000241B7" w:rsidRPr="0075676E">
        <w:rPr>
          <w:i w:val="0"/>
        </w:rPr>
        <w:t xml:space="preserve"> </w:t>
      </w:r>
      <w:r w:rsidR="001E6E9E" w:rsidRPr="0075676E">
        <w:rPr>
          <w:i w:val="0"/>
        </w:rPr>
        <w:t xml:space="preserve">des NB ab. Eine </w:t>
      </w:r>
      <w:r w:rsidR="003E3894">
        <w:rPr>
          <w:i w:val="0"/>
        </w:rPr>
        <w:t xml:space="preserve">buchhalterische </w:t>
      </w:r>
      <w:r w:rsidR="001E6E9E" w:rsidRPr="0075676E">
        <w:rPr>
          <w:i w:val="0"/>
        </w:rPr>
        <w:t xml:space="preserve">Verrechnung der </w:t>
      </w:r>
      <w:r w:rsidR="000460C2">
        <w:rPr>
          <w:i w:val="0"/>
        </w:rPr>
        <w:t xml:space="preserve">Abrechnung nach der täglichen Netzkontosystematik als Anreizsystem </w:t>
      </w:r>
      <w:r w:rsidR="001E6E9E" w:rsidRPr="0075676E">
        <w:rPr>
          <w:i w:val="0"/>
        </w:rPr>
        <w:t>mit den Beträgen aus der SLP</w:t>
      </w:r>
      <w:r w:rsidR="001E6E9E">
        <w:rPr>
          <w:i w:val="0"/>
        </w:rPr>
        <w:t>-</w:t>
      </w:r>
      <w:r w:rsidR="001E6E9E" w:rsidRPr="00F96C78">
        <w:rPr>
          <w:i w:val="0"/>
        </w:rPr>
        <w:t xml:space="preserve"> </w:t>
      </w:r>
      <w:r w:rsidR="001E6E9E" w:rsidRPr="0075676E">
        <w:rPr>
          <w:i w:val="0"/>
        </w:rPr>
        <w:t>Mehr-</w:t>
      </w:r>
      <w:r w:rsidR="001E6E9E">
        <w:rPr>
          <w:i w:val="0"/>
        </w:rPr>
        <w:t>/</w:t>
      </w:r>
      <w:r w:rsidR="001E6E9E" w:rsidRPr="0075676E">
        <w:rPr>
          <w:i w:val="0"/>
        </w:rPr>
        <w:t>Mindermengenabrechnung erfolgt nicht</w:t>
      </w:r>
      <w:r w:rsidR="003E3894">
        <w:rPr>
          <w:i w:val="0"/>
        </w:rPr>
        <w:t xml:space="preserve"> zwingend</w:t>
      </w:r>
      <w:r w:rsidR="001E6E9E" w:rsidRPr="0075676E">
        <w:rPr>
          <w:i w:val="0"/>
        </w:rPr>
        <w:t>.</w:t>
      </w:r>
    </w:p>
    <w:p w14:paraId="0AE09411" w14:textId="1DBA1224" w:rsidR="00CC6FEE" w:rsidRPr="0075676E" w:rsidRDefault="00CC6FEE" w:rsidP="001E6E9E">
      <w:pPr>
        <w:pStyle w:val="Beispiel"/>
        <w:ind w:left="0"/>
        <w:rPr>
          <w:i w:val="0"/>
        </w:rPr>
      </w:pPr>
      <w:r w:rsidRPr="00FA450B">
        <w:rPr>
          <w:i w:val="0"/>
        </w:rPr>
        <w:t>Das Zahlungsziel beträgt 10 Werktage bezogen auf den Rechnungseingang</w:t>
      </w:r>
      <w:r>
        <w:rPr>
          <w:i w:val="0"/>
        </w:rPr>
        <w:t>.</w:t>
      </w:r>
    </w:p>
    <w:p w14:paraId="19FC7C89" w14:textId="433DD34B" w:rsidR="004F0E52" w:rsidRPr="00873364" w:rsidRDefault="004F0E52" w:rsidP="004F0E52">
      <w:pPr>
        <w:spacing w:before="360"/>
        <w:rPr>
          <w:b/>
        </w:rPr>
      </w:pPr>
      <w:r w:rsidRPr="00FD24EB">
        <w:rPr>
          <w:b/>
        </w:rPr>
        <w:lastRenderedPageBreak/>
        <w:t xml:space="preserve">Fall 1: Rückabwicklung der </w:t>
      </w:r>
      <w:r w:rsidR="000460C2">
        <w:rPr>
          <w:b/>
        </w:rPr>
        <w:t xml:space="preserve">Abrechnung nach der täglichen Netzkontosystematik als Anreizsystem </w:t>
      </w:r>
      <w:r w:rsidRPr="00FD24EB">
        <w:rPr>
          <w:b/>
        </w:rPr>
        <w:t xml:space="preserve">für NB mit dem </w:t>
      </w:r>
      <w:r w:rsidR="000460C2">
        <w:rPr>
          <w:b/>
        </w:rPr>
        <w:t>marktlokationsscharfen</w:t>
      </w:r>
      <w:r w:rsidRPr="00FD24EB">
        <w:rPr>
          <w:b/>
        </w:rPr>
        <w:t>, rollie</w:t>
      </w:r>
      <w:r>
        <w:rPr>
          <w:b/>
        </w:rPr>
        <w:t>renden Verfahren bei stichtags</w:t>
      </w:r>
      <w:r w:rsidRPr="00FD24EB">
        <w:rPr>
          <w:b/>
        </w:rPr>
        <w:t>bezogener Ablesung</w:t>
      </w:r>
    </w:p>
    <w:p w14:paraId="0642575C" w14:textId="77777777" w:rsidR="004F0E52" w:rsidRPr="00873364" w:rsidRDefault="004F0E52" w:rsidP="004F0E52">
      <w:pPr>
        <w:rPr>
          <w:rFonts w:cs="Arial"/>
        </w:rPr>
      </w:pPr>
      <w:r w:rsidRPr="00FD24EB">
        <w:rPr>
          <w:rFonts w:cs="Arial"/>
        </w:rPr>
        <w:t>Rückabwicklung der Monatsrechnungen:</w:t>
      </w:r>
    </w:p>
    <w:p w14:paraId="3A1E11C1" w14:textId="6D1EB90C" w:rsidR="004F0E52" w:rsidRDefault="00DE10AD" w:rsidP="004F0E52">
      <w:pPr>
        <w:autoSpaceDE w:val="0"/>
        <w:autoSpaceDN w:val="0"/>
        <w:adjustRightInd w:val="0"/>
      </w:pPr>
      <w:r>
        <w:t>Der v</w:t>
      </w:r>
      <w:r w:rsidR="004F0E52">
        <w:t>om Netzbetreiber</w:t>
      </w:r>
      <w:r>
        <w:t xml:space="preserve"> gemäß </w:t>
      </w:r>
      <w:r w:rsidR="004E3360">
        <w:t xml:space="preserve">Beleg der </w:t>
      </w:r>
      <w:r w:rsidR="000460C2">
        <w:t xml:space="preserve">Abrechnung nach der täglichen Netzkontosystematik als Anreizsystem </w:t>
      </w:r>
      <w:r>
        <w:t>zu zahlende</w:t>
      </w:r>
      <w:r w:rsidR="00A97484">
        <w:t>m</w:t>
      </w:r>
      <w:r>
        <w:t xml:space="preserve"> Betrag</w:t>
      </w:r>
      <w:r w:rsidR="004F0E52">
        <w:t xml:space="preserve"> aus der </w:t>
      </w:r>
      <w:r w:rsidR="000460C2">
        <w:t xml:space="preserve">Abrechnung nach der täglichen Netzkontosystematik als Anreizsystem </w:t>
      </w:r>
      <w:r>
        <w:t>wird</w:t>
      </w:r>
      <w:r w:rsidR="004F0E52">
        <w:t xml:space="preserve"> bis Ende M+3M bezogen auf den Monat des Stichtags der Ablesung, bei erfolgter SLP-Mehr-Mindermengenabrechnung zwischen MGV und NB für den Monat des Stichtages sowie der 11 vorangegangenen Monate, vom MGV an den NB erstattet</w:t>
      </w:r>
      <w:r w:rsidR="00734471">
        <w:t>.</w:t>
      </w:r>
    </w:p>
    <w:p w14:paraId="2E9BEED5" w14:textId="5E957B73" w:rsidR="001E6E9E" w:rsidRDefault="001E6E9E" w:rsidP="001E6E9E">
      <w:pPr>
        <w:autoSpaceDE w:val="0"/>
        <w:autoSpaceDN w:val="0"/>
        <w:adjustRightInd w:val="0"/>
        <w:rPr>
          <w:rFonts w:cs="Arial"/>
        </w:rPr>
      </w:pPr>
      <w:r w:rsidRPr="00FD24EB">
        <w:rPr>
          <w:rFonts w:cs="Arial"/>
        </w:rPr>
        <w:t xml:space="preserve">Das bedeutet, dass </w:t>
      </w:r>
      <w:r w:rsidRPr="00873364">
        <w:rPr>
          <w:rFonts w:cs="Arial"/>
        </w:rPr>
        <w:t xml:space="preserve">nach Durchführung </w:t>
      </w:r>
      <w:r>
        <w:rPr>
          <w:rFonts w:cs="Arial"/>
        </w:rPr>
        <w:t>der</w:t>
      </w:r>
      <w:r w:rsidRPr="00FD24EB">
        <w:rPr>
          <w:rFonts w:cs="Arial"/>
        </w:rPr>
        <w:t xml:space="preserve"> 12 SLP-</w:t>
      </w:r>
      <w:r w:rsidRPr="00873364">
        <w:rPr>
          <w:rFonts w:cs="Arial"/>
        </w:rPr>
        <w:t>Mehr-/Mindermengenabrechnungen zwischen NB und MGV (unabhängig</w:t>
      </w:r>
      <w:r>
        <w:rPr>
          <w:rFonts w:cs="Arial"/>
        </w:rPr>
        <w:t>,</w:t>
      </w:r>
      <w:r w:rsidRPr="00873364">
        <w:rPr>
          <w:rFonts w:cs="Arial"/>
        </w:rPr>
        <w:t xml:space="preserve"> ob </w:t>
      </w:r>
      <w:r>
        <w:rPr>
          <w:rFonts w:cs="Arial"/>
        </w:rPr>
        <w:t>Mehr- oder Mindermengenabrechnung</w:t>
      </w:r>
      <w:r w:rsidRPr="00FD24EB">
        <w:rPr>
          <w:rFonts w:cs="Arial"/>
        </w:rPr>
        <w:t>)</w:t>
      </w:r>
      <w:r w:rsidRPr="00873364">
        <w:rPr>
          <w:rFonts w:cs="Arial"/>
        </w:rPr>
        <w:t xml:space="preserve"> der MGV für die durchgeführten </w:t>
      </w:r>
      <w:r w:rsidR="000460C2">
        <w:rPr>
          <w:rFonts w:cs="Arial"/>
        </w:rPr>
        <w:t xml:space="preserve">Abrechnungen nach der täglichen Netzkontosystematik als Anreizsystem </w:t>
      </w:r>
      <w:r w:rsidRPr="00873364">
        <w:rPr>
          <w:rFonts w:cs="Arial"/>
        </w:rPr>
        <w:t xml:space="preserve">der letzten 12 Monate </w:t>
      </w:r>
      <w:r>
        <w:rPr>
          <w:rFonts w:cs="Arial"/>
        </w:rPr>
        <w:t>eine Rückzahlung an den NB durchführt</w:t>
      </w:r>
      <w:r w:rsidRPr="00FD24EB">
        <w:rPr>
          <w:rFonts w:cs="Arial"/>
        </w:rPr>
        <w:t xml:space="preserve">. Die </w:t>
      </w:r>
      <w:r>
        <w:rPr>
          <w:rFonts w:cs="Arial"/>
        </w:rPr>
        <w:t>Rückzahlung</w:t>
      </w:r>
      <w:r w:rsidRPr="00FD24EB">
        <w:rPr>
          <w:rFonts w:cs="Arial"/>
        </w:rPr>
        <w:t xml:space="preserve"> beinhaltet die gesamten Zahlungen zur </w:t>
      </w:r>
      <w:r w:rsidR="000460C2">
        <w:rPr>
          <w:rFonts w:cs="Arial"/>
        </w:rPr>
        <w:t xml:space="preserve">Abrechnung nach der täglichen Netzkontosystematik als Anreizsystem </w:t>
      </w:r>
      <w:r w:rsidRPr="00FD24EB">
        <w:rPr>
          <w:rFonts w:cs="Arial"/>
        </w:rPr>
        <w:t>des Monats M</w:t>
      </w:r>
      <w:r w:rsidR="003E3894">
        <w:rPr>
          <w:rFonts w:cs="Arial"/>
        </w:rPr>
        <w:t xml:space="preserve"> </w:t>
      </w:r>
      <w:r w:rsidR="003E3894">
        <w:t>sowie der 11 vorangegangenen Monate</w:t>
      </w:r>
      <w:r w:rsidRPr="00FD24EB">
        <w:rPr>
          <w:rFonts w:cs="Arial"/>
        </w:rPr>
        <w:t xml:space="preserve">. </w:t>
      </w:r>
      <w:r w:rsidRPr="00873364">
        <w:rPr>
          <w:rFonts w:cs="Arial"/>
        </w:rPr>
        <w:t xml:space="preserve">Die </w:t>
      </w:r>
      <w:r>
        <w:rPr>
          <w:rFonts w:cs="Arial"/>
        </w:rPr>
        <w:t>Rückzahlung</w:t>
      </w:r>
      <w:r w:rsidRPr="00873364">
        <w:rPr>
          <w:rFonts w:cs="Arial"/>
        </w:rPr>
        <w:t xml:space="preserve"> erfolgt unter Angabe der Rechnungsnummer(n) der Zahlungen/</w:t>
      </w:r>
      <w:r>
        <w:rPr>
          <w:rFonts w:cs="Arial"/>
        </w:rPr>
        <w:t xml:space="preserve"> </w:t>
      </w:r>
      <w:r w:rsidR="000460C2">
        <w:rPr>
          <w:rFonts w:cs="Arial"/>
        </w:rPr>
        <w:t>Abrechnung(en) nach der täglichen Netzkontosystematik als Anreizsystem</w:t>
      </w:r>
      <w:r w:rsidRPr="00873364">
        <w:rPr>
          <w:rFonts w:cs="Arial"/>
        </w:rPr>
        <w:t xml:space="preserve">. </w:t>
      </w:r>
      <w:r>
        <w:rPr>
          <w:rFonts w:cs="Arial"/>
        </w:rPr>
        <w:t xml:space="preserve">Des Weiteren wird auf dem Beleg aufgeführt, dass die Rückzahlung aufgrund der durchgeführten </w:t>
      </w:r>
      <w:r w:rsidRPr="00FD24EB">
        <w:rPr>
          <w:rFonts w:cs="Arial"/>
        </w:rPr>
        <w:t>SLP-</w:t>
      </w:r>
      <w:r w:rsidRPr="00873364">
        <w:rPr>
          <w:rFonts w:cs="Arial"/>
        </w:rPr>
        <w:t>Mehr-/Mindermengenabrechnung</w:t>
      </w:r>
      <w:r w:rsidR="00875C6A">
        <w:rPr>
          <w:rFonts w:cs="Arial"/>
        </w:rPr>
        <w:t>en</w:t>
      </w:r>
      <w:r>
        <w:rPr>
          <w:rFonts w:cs="Arial"/>
        </w:rPr>
        <w:t xml:space="preserve"> erfolgt. </w:t>
      </w:r>
      <w:r w:rsidRPr="00873364">
        <w:rPr>
          <w:rFonts w:cs="Arial"/>
        </w:rPr>
        <w:t xml:space="preserve">Sofern im Zeitraum der Mehr-/Mindermengenabrechnung mehrere </w:t>
      </w:r>
      <w:r w:rsidR="000460C2">
        <w:rPr>
          <w:rFonts w:cs="Arial"/>
        </w:rPr>
        <w:t xml:space="preserve">Abrechnungen nach der täglichen Netzkontosystematik als Anreizsystem </w:t>
      </w:r>
      <w:r w:rsidRPr="00873364">
        <w:rPr>
          <w:rFonts w:cs="Arial"/>
        </w:rPr>
        <w:t>erfolgt sind, werden diese getrennt voneinander aufgeführt.</w:t>
      </w:r>
    </w:p>
    <w:p w14:paraId="2F26336D" w14:textId="77777777" w:rsidR="004F0E52" w:rsidRPr="00873364" w:rsidRDefault="004F0E52" w:rsidP="004F0E52">
      <w:pPr>
        <w:rPr>
          <w:rFonts w:cs="Arial"/>
        </w:rPr>
      </w:pPr>
      <w:r w:rsidRPr="00873364">
        <w:rPr>
          <w:rFonts w:cs="Arial"/>
        </w:rPr>
        <w:t>Beispiel für die Rückabwicklung der Monatsrechnungen:</w:t>
      </w:r>
    </w:p>
    <w:p w14:paraId="678FB277" w14:textId="27E76047" w:rsidR="004F0E52" w:rsidRDefault="004F0E52" w:rsidP="004F0E52">
      <w:pPr>
        <w:rPr>
          <w:rFonts w:cs="Arial"/>
        </w:rPr>
      </w:pPr>
      <w:r w:rsidRPr="00873364">
        <w:rPr>
          <w:rFonts w:cs="Arial"/>
        </w:rPr>
        <w:t xml:space="preserve">Ein NB wendet das </w:t>
      </w:r>
      <w:r w:rsidR="003F071D" w:rsidRPr="00610DA6">
        <w:t>marktlokationsscharfe</w:t>
      </w:r>
      <w:r w:rsidRPr="00873364">
        <w:rPr>
          <w:rFonts w:cs="Arial"/>
        </w:rPr>
        <w:t>, rol</w:t>
      </w:r>
      <w:r>
        <w:rPr>
          <w:rFonts w:cs="Arial"/>
        </w:rPr>
        <w:t>lierende Verfahren mit stichtags</w:t>
      </w:r>
      <w:r w:rsidRPr="00873364">
        <w:rPr>
          <w:rFonts w:cs="Arial"/>
        </w:rPr>
        <w:t>bezogener Able</w:t>
      </w:r>
      <w:r>
        <w:rPr>
          <w:rFonts w:cs="Arial"/>
        </w:rPr>
        <w:t>sung zum 31.Dezember</w:t>
      </w:r>
      <w:r w:rsidRPr="00873364">
        <w:rPr>
          <w:rFonts w:cs="Arial"/>
        </w:rPr>
        <w:t xml:space="preserve"> an. Im Fall einer Monatsrechnung für ein Netzkonto (MGV an NB), beispielsweise wie in </w:t>
      </w:r>
      <w:r w:rsidR="0011373C">
        <w:fldChar w:fldCharType="begin"/>
      </w:r>
      <w:r w:rsidR="0011373C">
        <w:instrText xml:space="preserve"> REF _Ref449517306 \h  \* MERGEFORMAT </w:instrText>
      </w:r>
      <w:r w:rsidR="0011373C">
        <w:fldChar w:fldCharType="separate"/>
      </w:r>
      <w:r w:rsidR="00692E23" w:rsidRPr="00692E23">
        <w:t>Abbildung 56</w:t>
      </w:r>
      <w:r w:rsidR="0011373C">
        <w:fldChar w:fldCharType="end"/>
      </w:r>
      <w:r w:rsidR="00AD3A54">
        <w:rPr>
          <w:rFonts w:cs="Arial"/>
        </w:rPr>
        <w:t xml:space="preserve"> </w:t>
      </w:r>
      <w:r w:rsidRPr="00873364">
        <w:rPr>
          <w:rFonts w:cs="Arial"/>
        </w:rPr>
        <w:t xml:space="preserve">für den Monat Januar 2017, wird dieser Monat als Zahlung auf die </w:t>
      </w:r>
      <w:r w:rsidR="003F071D">
        <w:rPr>
          <w:rFonts w:cs="Arial"/>
        </w:rPr>
        <w:t xml:space="preserve">Abrechnung nach der täglichen Netzkontosystematik als Anreizsystem </w:t>
      </w:r>
      <w:r w:rsidRPr="00873364">
        <w:rPr>
          <w:rFonts w:cs="Arial"/>
        </w:rPr>
        <w:t xml:space="preserve">im April 2017 nach Ablauf der Clearingfrist abgerechnet. Wird im März 2018 (M+3M) die Mehr-/Mindermengenabrechnung für den Monat Dezember </w:t>
      </w:r>
      <w:r>
        <w:rPr>
          <w:rFonts w:cs="Arial"/>
        </w:rPr>
        <w:t>2017, in welch</w:t>
      </w:r>
      <w:r w:rsidRPr="00873364">
        <w:rPr>
          <w:rFonts w:cs="Arial"/>
        </w:rPr>
        <w:t>em der Stichtag liegt, fristgerecht durchgeführt</w:t>
      </w:r>
      <w:r w:rsidR="00734471">
        <w:rPr>
          <w:rFonts w:cs="Arial"/>
        </w:rPr>
        <w:t xml:space="preserve"> und liegen auch die Mehr-/Mindermengenabrechnungen der 11 vorangegangenen Monate vor und sind abgerechnet</w:t>
      </w:r>
      <w:r w:rsidRPr="00873364">
        <w:rPr>
          <w:rFonts w:cs="Arial"/>
        </w:rPr>
        <w:t xml:space="preserve">, </w:t>
      </w:r>
      <w:r w:rsidR="00BD0A68">
        <w:rPr>
          <w:rFonts w:cs="Arial"/>
        </w:rPr>
        <w:t>führt</w:t>
      </w:r>
      <w:r w:rsidR="00BD0A68" w:rsidRPr="00873364">
        <w:rPr>
          <w:rFonts w:cs="Arial"/>
        </w:rPr>
        <w:t xml:space="preserve"> </w:t>
      </w:r>
      <w:r w:rsidRPr="00873364">
        <w:rPr>
          <w:rFonts w:cs="Arial"/>
        </w:rPr>
        <w:t xml:space="preserve">der MGV in diesem Fall über die für Januar 2017 </w:t>
      </w:r>
      <w:r>
        <w:rPr>
          <w:rFonts w:cs="Arial"/>
        </w:rPr>
        <w:t xml:space="preserve">durchgeführte </w:t>
      </w:r>
      <w:r w:rsidR="003F071D">
        <w:rPr>
          <w:rFonts w:cs="Arial"/>
        </w:rPr>
        <w:t>Abrechnung nach der täglichen Netzkontosystematik als Anreizsystem</w:t>
      </w:r>
      <w:r w:rsidR="003F071D" w:rsidRPr="00873364">
        <w:rPr>
          <w:rFonts w:cs="Arial"/>
        </w:rPr>
        <w:t xml:space="preserve"> </w:t>
      </w:r>
      <w:r w:rsidRPr="00873364">
        <w:rPr>
          <w:rFonts w:cs="Arial"/>
        </w:rPr>
        <w:t xml:space="preserve">eine </w:t>
      </w:r>
      <w:r w:rsidR="00BD0A68">
        <w:rPr>
          <w:rFonts w:cs="Arial"/>
        </w:rPr>
        <w:t>Rückzahlung</w:t>
      </w:r>
      <w:r w:rsidR="00BD0A68" w:rsidRPr="00873364">
        <w:rPr>
          <w:rFonts w:cs="Arial"/>
        </w:rPr>
        <w:t xml:space="preserve"> </w:t>
      </w:r>
      <w:r w:rsidRPr="00873364">
        <w:rPr>
          <w:rFonts w:cs="Arial"/>
        </w:rPr>
        <w:t>an den NB</w:t>
      </w:r>
      <w:r w:rsidR="00BD0A68">
        <w:rPr>
          <w:rFonts w:cs="Arial"/>
        </w:rPr>
        <w:t xml:space="preserve"> durch</w:t>
      </w:r>
      <w:r w:rsidRPr="00873364">
        <w:rPr>
          <w:rFonts w:cs="Arial"/>
        </w:rPr>
        <w:t>.</w:t>
      </w:r>
    </w:p>
    <w:p w14:paraId="0EBE5F38" w14:textId="77777777" w:rsidR="004F0E52" w:rsidRPr="00873364" w:rsidRDefault="004F0E52" w:rsidP="004F0E52">
      <w:pPr>
        <w:rPr>
          <w:rFonts w:cs="Arial"/>
        </w:rPr>
      </w:pPr>
      <w:r w:rsidRPr="00FD24EB">
        <w:rPr>
          <w:rFonts w:cs="Arial"/>
        </w:rPr>
        <w:t>Rückabwicklung der Monatsgutschriften:</w:t>
      </w:r>
    </w:p>
    <w:p w14:paraId="38578E9B" w14:textId="554D7A2A" w:rsidR="004F0E52" w:rsidRPr="00873364" w:rsidRDefault="004F0E52" w:rsidP="004F0E52">
      <w:pPr>
        <w:rPr>
          <w:rFonts w:cs="Arial"/>
        </w:rPr>
      </w:pPr>
      <w:r w:rsidRPr="00FD24EB">
        <w:rPr>
          <w:rFonts w:cs="Arial"/>
        </w:rPr>
        <w:t xml:space="preserve">Die Rückabwicklung der Monatsgutschriften nach einer erstellten </w:t>
      </w:r>
      <w:r w:rsidR="003F071D">
        <w:rPr>
          <w:rFonts w:cs="Arial"/>
        </w:rPr>
        <w:t xml:space="preserve">Abrechnung nach der täglichen Netzkontosystematik als Anreizsystem </w:t>
      </w:r>
      <w:r w:rsidRPr="00FD24EB">
        <w:rPr>
          <w:rFonts w:cs="Arial"/>
        </w:rPr>
        <w:t xml:space="preserve">erfolgt immer </w:t>
      </w:r>
      <w:r w:rsidR="00AD3A54">
        <w:rPr>
          <w:rFonts w:cs="Arial"/>
        </w:rPr>
        <w:t>bis Ende</w:t>
      </w:r>
      <w:r w:rsidR="00AD3A54" w:rsidRPr="00FD24EB">
        <w:rPr>
          <w:rFonts w:cs="Arial"/>
        </w:rPr>
        <w:t xml:space="preserve"> M+3M </w:t>
      </w:r>
      <w:r w:rsidRPr="00FD24EB">
        <w:rPr>
          <w:rFonts w:cs="Arial"/>
        </w:rPr>
        <w:t xml:space="preserve">bezogen auf den Monat des Stichtags der Ablesung unabhängig davon, ob zuvor die </w:t>
      </w:r>
      <w:r>
        <w:rPr>
          <w:rFonts w:cs="Arial"/>
        </w:rPr>
        <w:t>12 monatlichen SLP-</w:t>
      </w:r>
      <w:r w:rsidRPr="00873364">
        <w:rPr>
          <w:rFonts w:cs="Arial"/>
        </w:rPr>
        <w:t>Mehr-/Mindermengenabrechnung</w:t>
      </w:r>
      <w:r w:rsidRPr="00FD24EB">
        <w:rPr>
          <w:rFonts w:cs="Arial"/>
        </w:rPr>
        <w:t xml:space="preserve"> vom NB gegenüber dem MGV durchgeführt wurden. Das </w:t>
      </w:r>
      <w:r w:rsidRPr="00FD24EB">
        <w:rPr>
          <w:rFonts w:cs="Arial"/>
        </w:rPr>
        <w:lastRenderedPageBreak/>
        <w:t xml:space="preserve">bedeutet, dass </w:t>
      </w:r>
      <w:r w:rsidRPr="00873364">
        <w:rPr>
          <w:rFonts w:cs="Arial"/>
        </w:rPr>
        <w:t xml:space="preserve">der MGV </w:t>
      </w:r>
      <w:r w:rsidRPr="00FD24EB">
        <w:rPr>
          <w:rFonts w:cs="Arial"/>
        </w:rPr>
        <w:t xml:space="preserve">die erfolgten </w:t>
      </w:r>
      <w:r w:rsidR="003F071D">
        <w:rPr>
          <w:rFonts w:cs="Arial"/>
        </w:rPr>
        <w:t xml:space="preserve">Abrechnungen nach der täglichen Netzkontosystematik als Anreizsystem </w:t>
      </w:r>
      <w:r w:rsidRPr="00FD24EB">
        <w:rPr>
          <w:rFonts w:cs="Arial"/>
        </w:rPr>
        <w:t xml:space="preserve">der letzten 12 Monate den NB </w:t>
      </w:r>
      <w:r w:rsidR="00BD0A68">
        <w:rPr>
          <w:rFonts w:cs="Arial"/>
        </w:rPr>
        <w:t>in Rechnung stellt</w:t>
      </w:r>
      <w:r>
        <w:rPr>
          <w:rFonts w:cs="Arial"/>
        </w:rPr>
        <w:t>,</w:t>
      </w:r>
      <w:r w:rsidRPr="00FD24EB">
        <w:rPr>
          <w:rFonts w:cs="Arial"/>
        </w:rPr>
        <w:t xml:space="preserve"> auch wenn die re</w:t>
      </w:r>
      <w:r>
        <w:rPr>
          <w:rFonts w:cs="Arial"/>
        </w:rPr>
        <w:t>levanten monatlichen SLP-</w:t>
      </w:r>
      <w:r w:rsidRPr="00873364">
        <w:rPr>
          <w:rFonts w:cs="Arial"/>
        </w:rPr>
        <w:t>Mehr-/Mindermengenabrechnung</w:t>
      </w:r>
      <w:r w:rsidRPr="00FD24EB">
        <w:rPr>
          <w:rFonts w:cs="Arial"/>
        </w:rPr>
        <w:t xml:space="preserve"> nicht (vollständig) vorliegen oder nicht abgerechnet worden sind. </w:t>
      </w:r>
      <w:r w:rsidR="00BD0A68">
        <w:rPr>
          <w:rFonts w:eastAsia="Calibri" w:cs="Arial"/>
          <w:szCs w:val="20"/>
        </w:rPr>
        <w:t>Es werden</w:t>
      </w:r>
      <w:r w:rsidRPr="00FD24EB">
        <w:rPr>
          <w:rFonts w:eastAsia="Calibri" w:cs="Arial"/>
          <w:szCs w:val="20"/>
        </w:rPr>
        <w:t xml:space="preserve"> die gesamten Zahlungen der </w:t>
      </w:r>
      <w:r w:rsidR="003F071D">
        <w:rPr>
          <w:rFonts w:eastAsia="Calibri" w:cs="Arial"/>
          <w:szCs w:val="20"/>
        </w:rPr>
        <w:t xml:space="preserve">Abrechnungen nach der täglichen Netzkontosystematik als Anreizsystem </w:t>
      </w:r>
      <w:r w:rsidRPr="00FD24EB">
        <w:rPr>
          <w:rFonts w:eastAsia="Calibri" w:cs="Arial"/>
          <w:szCs w:val="20"/>
        </w:rPr>
        <w:t>der letzten 12 Monate</w:t>
      </w:r>
      <w:r w:rsidR="00BD0A68">
        <w:rPr>
          <w:rFonts w:eastAsia="Calibri" w:cs="Arial"/>
          <w:szCs w:val="20"/>
        </w:rPr>
        <w:t xml:space="preserve"> in Rechnung gestellt</w:t>
      </w:r>
      <w:r w:rsidRPr="00FD24EB">
        <w:rPr>
          <w:rFonts w:eastAsia="Calibri" w:cs="Arial"/>
          <w:szCs w:val="20"/>
        </w:rPr>
        <w:t xml:space="preserve">. </w:t>
      </w:r>
      <w:r w:rsidRPr="00873364">
        <w:rPr>
          <w:rFonts w:cs="Arial"/>
        </w:rPr>
        <w:t>Die</w:t>
      </w:r>
      <w:r w:rsidR="00BD0A68">
        <w:rPr>
          <w:rFonts w:cs="Arial"/>
        </w:rPr>
        <w:t>s</w:t>
      </w:r>
      <w:r w:rsidRPr="00873364">
        <w:rPr>
          <w:rFonts w:cs="Arial"/>
        </w:rPr>
        <w:t xml:space="preserve"> erfolgt unter Angabe der </w:t>
      </w:r>
      <w:r w:rsidRPr="00FD24EB">
        <w:rPr>
          <w:rFonts w:cs="Arial"/>
        </w:rPr>
        <w:t>Gut</w:t>
      </w:r>
      <w:r>
        <w:rPr>
          <w:rFonts w:cs="Arial"/>
        </w:rPr>
        <w:t>schrift</w:t>
      </w:r>
      <w:r w:rsidRPr="00873364">
        <w:rPr>
          <w:rFonts w:cs="Arial"/>
        </w:rPr>
        <w:t>nummer(n) der Zahlungen/</w:t>
      </w:r>
      <w:r w:rsidR="003F071D" w:rsidRPr="00873364" w:rsidDel="003F071D">
        <w:rPr>
          <w:rFonts w:cs="Arial"/>
        </w:rPr>
        <w:t xml:space="preserve"> </w:t>
      </w:r>
      <w:r w:rsidR="003F071D">
        <w:rPr>
          <w:rFonts w:cs="Arial"/>
        </w:rPr>
        <w:t>Abrechnung(en) nach der täglichen Netzkontosystematik als Anreizsystem</w:t>
      </w:r>
      <w:r w:rsidRPr="00873364">
        <w:rPr>
          <w:rFonts w:cs="Arial"/>
        </w:rPr>
        <w:t>. Sofern im Zeitraum der Mehr-/</w:t>
      </w:r>
      <w:r>
        <w:rPr>
          <w:rFonts w:cs="Arial"/>
        </w:rPr>
        <w:t xml:space="preserve"> </w:t>
      </w:r>
      <w:r w:rsidRPr="00873364">
        <w:rPr>
          <w:rFonts w:cs="Arial"/>
        </w:rPr>
        <w:t xml:space="preserve">Mindermengenabrechnung mehrere </w:t>
      </w:r>
      <w:r w:rsidR="00B14223">
        <w:rPr>
          <w:rFonts w:cs="Arial"/>
        </w:rPr>
        <w:t xml:space="preserve">Abrechnungen nach der täglichen Netzkontosystematik als Anreizsystem </w:t>
      </w:r>
      <w:r w:rsidRPr="00873364">
        <w:rPr>
          <w:rFonts w:cs="Arial"/>
        </w:rPr>
        <w:t>erfolgt sind, werden diese getrennt voneinander aufgeführt.</w:t>
      </w:r>
    </w:p>
    <w:p w14:paraId="1206B10B" w14:textId="77777777" w:rsidR="004F0E52" w:rsidRPr="00FF3779" w:rsidRDefault="004F0E52" w:rsidP="004F0E52">
      <w:pPr>
        <w:rPr>
          <w:rFonts w:cs="Arial"/>
        </w:rPr>
      </w:pPr>
      <w:r w:rsidRPr="00FF3779">
        <w:rPr>
          <w:rFonts w:cs="Arial"/>
        </w:rPr>
        <w:t>Beispiel für die Rückabwicklung der Monatsgutschrift:</w:t>
      </w:r>
    </w:p>
    <w:p w14:paraId="25C2B995" w14:textId="62B653DF" w:rsidR="004F0E52" w:rsidRDefault="004F0E52" w:rsidP="004F0E52">
      <w:pPr>
        <w:rPr>
          <w:rFonts w:cs="Arial"/>
        </w:rPr>
      </w:pPr>
      <w:r w:rsidRPr="00FF3779">
        <w:rPr>
          <w:rFonts w:cs="Arial"/>
        </w:rPr>
        <w:t xml:space="preserve">Ein NB wendet das </w:t>
      </w:r>
      <w:r w:rsidR="00B14223" w:rsidRPr="00610DA6">
        <w:t>marktlokationsscharfe</w:t>
      </w:r>
      <w:r w:rsidRPr="00FF3779">
        <w:rPr>
          <w:rFonts w:cs="Arial"/>
        </w:rPr>
        <w:t>, rol</w:t>
      </w:r>
      <w:r>
        <w:rPr>
          <w:rFonts w:cs="Arial"/>
        </w:rPr>
        <w:t>lierende Verfahren mit stichtags</w:t>
      </w:r>
      <w:r w:rsidRPr="00FF3779">
        <w:rPr>
          <w:rFonts w:cs="Arial"/>
        </w:rPr>
        <w:t>bezogener Ablesung zum 31.</w:t>
      </w:r>
      <w:r>
        <w:rPr>
          <w:rFonts w:cs="Arial"/>
        </w:rPr>
        <w:t xml:space="preserve"> Dezember</w:t>
      </w:r>
      <w:r w:rsidRPr="00FF3779">
        <w:rPr>
          <w:rFonts w:cs="Arial"/>
        </w:rPr>
        <w:t xml:space="preserve"> an. Im Fall einer Monatsgutschrift für ein Netzkonto (MGV an NB)</w:t>
      </w:r>
      <w:r>
        <w:rPr>
          <w:rFonts w:cs="Arial"/>
        </w:rPr>
        <w:t>,</w:t>
      </w:r>
      <w:r w:rsidRPr="00FF3779">
        <w:rPr>
          <w:rFonts w:cs="Arial"/>
        </w:rPr>
        <w:t xml:space="preserve"> beispielsweise </w:t>
      </w:r>
      <w:r w:rsidRPr="00173749">
        <w:rPr>
          <w:rFonts w:cs="Arial"/>
        </w:rPr>
        <w:t xml:space="preserve">wie in </w:t>
      </w:r>
      <w:r w:rsidR="0011373C">
        <w:fldChar w:fldCharType="begin"/>
      </w:r>
      <w:r w:rsidR="0011373C">
        <w:instrText xml:space="preserve"> REF _Ref449517306 \h  \* MERGEFORMAT </w:instrText>
      </w:r>
      <w:r w:rsidR="0011373C">
        <w:fldChar w:fldCharType="separate"/>
      </w:r>
      <w:r w:rsidR="00692E23" w:rsidRPr="00692E23">
        <w:t>Abbildung 56</w:t>
      </w:r>
      <w:r w:rsidR="0011373C">
        <w:fldChar w:fldCharType="end"/>
      </w:r>
      <w:r w:rsidRPr="00173749">
        <w:rPr>
          <w:rFonts w:cs="Arial"/>
        </w:rPr>
        <w:t xml:space="preserve"> für den Monat Januar 2017, wird dieser Monat bereits als Zahlung auf die </w:t>
      </w:r>
      <w:r w:rsidR="00B14223">
        <w:rPr>
          <w:rFonts w:cs="Arial"/>
        </w:rPr>
        <w:t xml:space="preserve">Abrechnung nach der täglichen Netzkontosystematik als Anreizsystem </w:t>
      </w:r>
      <w:r w:rsidRPr="00173749">
        <w:rPr>
          <w:rFonts w:cs="Arial"/>
        </w:rPr>
        <w:t>im April</w:t>
      </w:r>
      <w:r w:rsidRPr="00FF3779">
        <w:rPr>
          <w:rFonts w:cs="Arial"/>
        </w:rPr>
        <w:t xml:space="preserve"> 2017</w:t>
      </w:r>
      <w:r>
        <w:rPr>
          <w:rFonts w:cs="Arial"/>
        </w:rPr>
        <w:t>,</w:t>
      </w:r>
      <w:r w:rsidRPr="00FF3779">
        <w:rPr>
          <w:rFonts w:cs="Arial"/>
        </w:rPr>
        <w:t xml:space="preserve"> nach Ablauf der Clearingfrist vergütet. In M+3M (März 2018)</w:t>
      </w:r>
      <w:r>
        <w:rPr>
          <w:rFonts w:cs="Arial"/>
        </w:rPr>
        <w:t>,</w:t>
      </w:r>
      <w:r w:rsidRPr="00FF3779">
        <w:rPr>
          <w:rFonts w:cs="Arial"/>
        </w:rPr>
        <w:t xml:space="preserve"> bezogen auf den Monat</w:t>
      </w:r>
      <w:r>
        <w:rPr>
          <w:rFonts w:cs="Arial"/>
        </w:rPr>
        <w:t>,</w:t>
      </w:r>
      <w:r w:rsidRPr="00FF3779">
        <w:rPr>
          <w:rFonts w:cs="Arial"/>
        </w:rPr>
        <w:t xml:space="preserve"> in dem der Stichtag liegt (Dezember 2017)</w:t>
      </w:r>
      <w:r>
        <w:rPr>
          <w:rFonts w:cs="Arial"/>
        </w:rPr>
        <w:t>,</w:t>
      </w:r>
      <w:r w:rsidRPr="00FF3779">
        <w:rPr>
          <w:rFonts w:cs="Arial"/>
        </w:rPr>
        <w:t xml:space="preserve"> wird über die für Januar 2017 </w:t>
      </w:r>
      <w:r>
        <w:rPr>
          <w:rFonts w:cs="Arial"/>
        </w:rPr>
        <w:t xml:space="preserve">und </w:t>
      </w:r>
      <w:r w:rsidRPr="00FF3779">
        <w:rPr>
          <w:rFonts w:cs="Arial"/>
        </w:rPr>
        <w:t>im April 2017 vergütete Zahlung</w:t>
      </w:r>
      <w:r>
        <w:rPr>
          <w:rFonts w:cs="Arial"/>
        </w:rPr>
        <w:t xml:space="preserve"> der </w:t>
      </w:r>
      <w:r w:rsidR="00B14223">
        <w:rPr>
          <w:rFonts w:cs="Arial"/>
        </w:rPr>
        <w:t>Abrechnung nach der täglichen Netzkontosystematik als Anreizsystem</w:t>
      </w:r>
      <w:r w:rsidR="00B14223" w:rsidRPr="00FF3779">
        <w:rPr>
          <w:rFonts w:cs="Arial"/>
        </w:rPr>
        <w:t xml:space="preserve"> </w:t>
      </w:r>
      <w:r w:rsidRPr="00FF3779">
        <w:rPr>
          <w:rFonts w:cs="Arial"/>
        </w:rPr>
        <w:t xml:space="preserve">vom MGV eine Rechnung an den NB erstellt, auch wenn die relevanten monatlichen </w:t>
      </w:r>
      <w:r>
        <w:rPr>
          <w:rFonts w:cs="Arial"/>
        </w:rPr>
        <w:t>SLP-Mehr-/Mindermengen</w:t>
      </w:r>
      <w:r w:rsidRPr="00FD24EB">
        <w:rPr>
          <w:rFonts w:cs="Arial"/>
        </w:rPr>
        <w:t xml:space="preserve"> </w:t>
      </w:r>
      <w:r w:rsidRPr="00FF3779">
        <w:rPr>
          <w:rFonts w:cs="Arial"/>
        </w:rPr>
        <w:t>(Januar 2017 bis Dezember 2017) nicht (vollständig) vorliegen oder nicht abgerechnet worden sind.</w:t>
      </w:r>
    </w:p>
    <w:p w14:paraId="3A5640A7" w14:textId="77777777" w:rsidR="004F0E52" w:rsidRDefault="004F0E52" w:rsidP="004F0E52">
      <w:pPr>
        <w:rPr>
          <w:rFonts w:cs="Arial"/>
        </w:rPr>
      </w:pPr>
      <w:r>
        <w:rPr>
          <w:rFonts w:cs="Arial"/>
        </w:rPr>
        <w:br w:type="page"/>
      </w:r>
    </w:p>
    <w:p w14:paraId="007C1609" w14:textId="7EC9F8C3" w:rsidR="00DC0DA9" w:rsidRDefault="00CC6FEE" w:rsidP="004F0E52">
      <w:pPr>
        <w:rPr>
          <w:rFonts w:cs="Arial"/>
        </w:rPr>
      </w:pPr>
      <w:r w:rsidRPr="007D2BEF">
        <w:rPr>
          <w:rFonts w:cs="Arial"/>
          <w:noProof/>
        </w:rPr>
        <w:lastRenderedPageBreak/>
        <w:drawing>
          <wp:inline distT="0" distB="0" distL="0" distR="0" wp14:anchorId="2559425C" wp14:editId="5537A75B">
            <wp:extent cx="5759450" cy="2943225"/>
            <wp:effectExtent l="0" t="0" r="0"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59450" cy="2943225"/>
                    </a:xfrm>
                    <a:prstGeom prst="rect">
                      <a:avLst/>
                    </a:prstGeom>
                  </pic:spPr>
                </pic:pic>
              </a:graphicData>
            </a:graphic>
          </wp:inline>
        </w:drawing>
      </w:r>
    </w:p>
    <w:p w14:paraId="33660DBE" w14:textId="77777777" w:rsidR="00DC0DA9" w:rsidRDefault="00DC0DA9" w:rsidP="004F0E52">
      <w:pPr>
        <w:rPr>
          <w:rFonts w:cs="Arial"/>
        </w:rPr>
      </w:pPr>
    </w:p>
    <w:p w14:paraId="6D2A0DE2" w14:textId="7E453128" w:rsidR="004F0E52" w:rsidRPr="003B72B5" w:rsidRDefault="004F0E52" w:rsidP="004F0E52">
      <w:pPr>
        <w:pStyle w:val="Abbildung"/>
        <w:spacing w:before="360" w:after="240"/>
        <w:rPr>
          <w:rFonts w:cs="Arial"/>
          <w:b/>
        </w:rPr>
      </w:pPr>
      <w:bookmarkStart w:id="2928" w:name="_Ref449517306"/>
      <w:bookmarkStart w:id="2929" w:name="_Toc111118639"/>
      <w:bookmarkStart w:id="2930" w:name="_Toc111196185"/>
      <w:r w:rsidRPr="00FD24EB">
        <w:rPr>
          <w:b/>
        </w:rPr>
        <w:t xml:space="preserve">Abbildung </w:t>
      </w:r>
      <w:r w:rsidR="00561FFA" w:rsidRPr="00FD24EB">
        <w:rPr>
          <w:b/>
        </w:rPr>
        <w:fldChar w:fldCharType="begin"/>
      </w:r>
      <w:r w:rsidRPr="00FD24EB">
        <w:rPr>
          <w:b/>
        </w:rPr>
        <w:instrText xml:space="preserve"> SEQ Abbildung \* ARABIC </w:instrText>
      </w:r>
      <w:r w:rsidR="00561FFA" w:rsidRPr="00FD24EB">
        <w:rPr>
          <w:b/>
        </w:rPr>
        <w:fldChar w:fldCharType="separate"/>
      </w:r>
      <w:r w:rsidR="007A098D">
        <w:rPr>
          <w:b/>
        </w:rPr>
        <w:t>56</w:t>
      </w:r>
      <w:r w:rsidR="00561FFA" w:rsidRPr="00FD24EB">
        <w:rPr>
          <w:b/>
        </w:rPr>
        <w:fldChar w:fldCharType="end"/>
      </w:r>
      <w:bookmarkEnd w:id="2928"/>
      <w:r w:rsidRPr="00FD24EB">
        <w:rPr>
          <w:b/>
        </w:rPr>
        <w:t xml:space="preserve">: Rückabwicklung der </w:t>
      </w:r>
      <w:r w:rsidR="00B14223">
        <w:rPr>
          <w:b/>
        </w:rPr>
        <w:t xml:space="preserve">Abrechnung nach der täglichen Netzkontosystematik als </w:t>
      </w:r>
      <w:r w:rsidR="009F696B">
        <w:rPr>
          <w:b/>
        </w:rPr>
        <w:t>Anreizsyste</w:t>
      </w:r>
      <w:r w:rsidR="00A21FA7">
        <w:rPr>
          <w:b/>
        </w:rPr>
        <w:t>m</w:t>
      </w:r>
      <w:r w:rsidRPr="00FD24EB">
        <w:rPr>
          <w:b/>
        </w:rPr>
        <w:t xml:space="preserve"> für Netzbetreiber mit Stichtagsablesung</w:t>
      </w:r>
      <w:bookmarkEnd w:id="2929"/>
      <w:bookmarkEnd w:id="2930"/>
    </w:p>
    <w:p w14:paraId="016396F9" w14:textId="117B0226" w:rsidR="004F0E52" w:rsidRPr="00FF3779" w:rsidRDefault="004F0E52" w:rsidP="004F0E52">
      <w:pPr>
        <w:spacing w:before="360"/>
        <w:rPr>
          <w:b/>
        </w:rPr>
      </w:pPr>
      <w:r w:rsidRPr="00FD24EB">
        <w:rPr>
          <w:b/>
        </w:rPr>
        <w:t xml:space="preserve">Fall 2: Rückabwicklung </w:t>
      </w:r>
      <w:r w:rsidR="005C1BAE" w:rsidRPr="00FD24EB">
        <w:rPr>
          <w:b/>
        </w:rPr>
        <w:t xml:space="preserve">der </w:t>
      </w:r>
      <w:r w:rsidR="005C1BAE">
        <w:rPr>
          <w:b/>
        </w:rPr>
        <w:t>Abrechnung</w:t>
      </w:r>
      <w:r w:rsidR="00B14223">
        <w:rPr>
          <w:b/>
        </w:rPr>
        <w:t xml:space="preserve"> nach der täglichen Netzkontosystematik als Anreizsystem</w:t>
      </w:r>
      <w:r w:rsidRPr="00FD24EB">
        <w:rPr>
          <w:b/>
        </w:rPr>
        <w:t xml:space="preserve"> für NB mit dem </w:t>
      </w:r>
      <w:r w:rsidR="00B14223" w:rsidRPr="00610DA6">
        <w:rPr>
          <w:b/>
        </w:rPr>
        <w:t>marktlokationsscharf</w:t>
      </w:r>
      <w:r w:rsidR="00B14223">
        <w:rPr>
          <w:b/>
        </w:rPr>
        <w:t>en</w:t>
      </w:r>
      <w:r w:rsidRPr="00FD24EB">
        <w:rPr>
          <w:b/>
        </w:rPr>
        <w:t>, rollierenden Verfahren bei rollierender Ablesung</w:t>
      </w:r>
    </w:p>
    <w:p w14:paraId="64A36DB3" w14:textId="77777777" w:rsidR="004F0E52" w:rsidRPr="00FF3779" w:rsidRDefault="004F0E52" w:rsidP="004F0E52">
      <w:r w:rsidRPr="00FD24EB">
        <w:t>Rückabwicklung der Monatsrechnungen:</w:t>
      </w:r>
    </w:p>
    <w:p w14:paraId="6CB4626A" w14:textId="4077DB55" w:rsidR="00173749" w:rsidRDefault="00173749" w:rsidP="00173749">
      <w:pPr>
        <w:autoSpaceDE w:val="0"/>
        <w:autoSpaceDN w:val="0"/>
        <w:adjustRightInd w:val="0"/>
      </w:pPr>
      <w:r w:rsidRPr="00880DC0">
        <w:t xml:space="preserve">Vom Netzbetreiber </w:t>
      </w:r>
      <w:r>
        <w:t>zu zahlende</w:t>
      </w:r>
      <w:r w:rsidR="00785966">
        <w:t>n</w:t>
      </w:r>
      <w:r>
        <w:t xml:space="preserve"> </w:t>
      </w:r>
      <w:r w:rsidRPr="00880DC0">
        <w:t>Beträge</w:t>
      </w:r>
      <w:r w:rsidR="00785966">
        <w:t>n</w:t>
      </w:r>
      <w:r w:rsidRPr="00880DC0">
        <w:t xml:space="preserve"> </w:t>
      </w:r>
      <w:r>
        <w:t xml:space="preserve">laut Beleg </w:t>
      </w:r>
      <w:r w:rsidRPr="00880DC0">
        <w:t xml:space="preserve">aus der </w:t>
      </w:r>
      <w:r w:rsidR="00B14223">
        <w:t xml:space="preserve">Abrechnung nach der täglichen Netzkontosystematik als Anreizsystem </w:t>
      </w:r>
      <w:r w:rsidRPr="00880DC0">
        <w:t>gemäß</w:t>
      </w:r>
      <w:r>
        <w:t xml:space="preserve"> 11.4.4</w:t>
      </w:r>
      <w:r w:rsidRPr="00880DC0">
        <w:t xml:space="preserve"> </w:t>
      </w:r>
      <w:proofErr w:type="spellStart"/>
      <w:r w:rsidRPr="00880DC0">
        <w:t>lit</w:t>
      </w:r>
      <w:proofErr w:type="spellEnd"/>
      <w:r w:rsidRPr="00880DC0">
        <w:t xml:space="preserve">. b) </w:t>
      </w:r>
      <w:r>
        <w:t xml:space="preserve">für den Monat M werden bis zum Ende M+8 Monate bei </w:t>
      </w:r>
      <w:r w:rsidRPr="00880DC0">
        <w:t>erfolgter SLP-Mehr-</w:t>
      </w:r>
      <w:r>
        <w:t>/</w:t>
      </w:r>
      <w:r w:rsidRPr="00880DC0">
        <w:t>Mindermengenabrechnung zwischen Marktgebietsverantwortlichen und Netzbe</w:t>
      </w:r>
      <w:r>
        <w:t xml:space="preserve">treiber für die </w:t>
      </w:r>
      <w:r w:rsidRPr="00880DC0">
        <w:t>Monat</w:t>
      </w:r>
      <w:r>
        <w:t xml:space="preserve">e M bis einschließlich M+5 Monate </w:t>
      </w:r>
      <w:r w:rsidRPr="00880DC0">
        <w:t>vom Marktgebietsverantwortlichen an den Netzbetreiber</w:t>
      </w:r>
      <w:r w:rsidRPr="00322DC8">
        <w:t xml:space="preserve"> </w:t>
      </w:r>
      <w:r w:rsidRPr="00880DC0">
        <w:t>erstattet</w:t>
      </w:r>
      <w:r>
        <w:t>.</w:t>
      </w:r>
    </w:p>
    <w:p w14:paraId="5F306182" w14:textId="31439F27" w:rsidR="001E6E9E" w:rsidRDefault="001E6E9E" w:rsidP="001E6E9E">
      <w:pPr>
        <w:rPr>
          <w:rFonts w:cs="Arial"/>
        </w:rPr>
      </w:pPr>
      <w:r w:rsidRPr="00FD24EB">
        <w:rPr>
          <w:rFonts w:cs="Arial"/>
        </w:rPr>
        <w:t xml:space="preserve">Das bedeutet, dass </w:t>
      </w:r>
      <w:r w:rsidRPr="00FF3779">
        <w:rPr>
          <w:rFonts w:cs="Arial"/>
        </w:rPr>
        <w:t xml:space="preserve">nach Durchführung </w:t>
      </w:r>
      <w:r>
        <w:rPr>
          <w:rFonts w:cs="Arial"/>
        </w:rPr>
        <w:t>dieser</w:t>
      </w:r>
      <w:r w:rsidRPr="00FD24EB">
        <w:rPr>
          <w:rFonts w:cs="Arial"/>
        </w:rPr>
        <w:t xml:space="preserve"> </w:t>
      </w:r>
      <w:r>
        <w:rPr>
          <w:rFonts w:cs="Arial"/>
        </w:rPr>
        <w:t>sechs</w:t>
      </w:r>
      <w:r w:rsidRPr="00FD24EB">
        <w:rPr>
          <w:rFonts w:cs="Arial"/>
        </w:rPr>
        <w:t xml:space="preserve"> SLP-</w:t>
      </w:r>
      <w:r w:rsidRPr="00FF3779">
        <w:rPr>
          <w:rFonts w:cs="Arial"/>
        </w:rPr>
        <w:t>Mehr-/</w:t>
      </w:r>
      <w:proofErr w:type="spellStart"/>
      <w:r w:rsidRPr="00FF3779">
        <w:rPr>
          <w:rFonts w:cs="Arial"/>
        </w:rPr>
        <w:t>Mindermengenabrechnun</w:t>
      </w:r>
      <w:proofErr w:type="spellEnd"/>
      <w:r>
        <w:rPr>
          <w:rFonts w:cs="Arial"/>
        </w:rPr>
        <w:t>-</w:t>
      </w:r>
      <w:r w:rsidRPr="00FF3779">
        <w:rPr>
          <w:rFonts w:cs="Arial"/>
        </w:rPr>
        <w:t>gen (unabhängig</w:t>
      </w:r>
      <w:r>
        <w:rPr>
          <w:rFonts w:cs="Arial"/>
        </w:rPr>
        <w:t>,</w:t>
      </w:r>
      <w:r w:rsidRPr="00FF3779">
        <w:rPr>
          <w:rFonts w:cs="Arial"/>
        </w:rPr>
        <w:t xml:space="preserve"> ob </w:t>
      </w:r>
      <w:r>
        <w:rPr>
          <w:rFonts w:cs="Arial"/>
        </w:rPr>
        <w:t>Mehrmengen oder Mindermengenabrechnung</w:t>
      </w:r>
      <w:r w:rsidRPr="00FF3779">
        <w:rPr>
          <w:rFonts w:cs="Arial"/>
        </w:rPr>
        <w:t>)</w:t>
      </w:r>
      <w:r w:rsidRPr="00FD24EB">
        <w:rPr>
          <w:rFonts w:cs="Arial"/>
        </w:rPr>
        <w:t xml:space="preserve"> der MGV für die erfolgte </w:t>
      </w:r>
      <w:r w:rsidR="00370686">
        <w:rPr>
          <w:rFonts w:cs="Arial"/>
        </w:rPr>
        <w:t xml:space="preserve">Abrechnung nach der täglichen Netzkontosystematik als Anreizsystem </w:t>
      </w:r>
      <w:r w:rsidRPr="00FD24EB">
        <w:rPr>
          <w:rFonts w:cs="Arial"/>
        </w:rPr>
        <w:t>des Monats M</w:t>
      </w:r>
      <w:r w:rsidRPr="00FF3779">
        <w:rPr>
          <w:rFonts w:cs="Arial"/>
        </w:rPr>
        <w:t xml:space="preserve"> </w:t>
      </w:r>
      <w:r>
        <w:rPr>
          <w:rFonts w:cs="Arial"/>
        </w:rPr>
        <w:t>eine Rückzahlung</w:t>
      </w:r>
      <w:r w:rsidRPr="00FF3779">
        <w:rPr>
          <w:rFonts w:cs="Arial"/>
        </w:rPr>
        <w:t xml:space="preserve"> </w:t>
      </w:r>
      <w:r w:rsidRPr="00FD24EB">
        <w:rPr>
          <w:rFonts w:cs="Arial"/>
        </w:rPr>
        <w:t>an den NB</w:t>
      </w:r>
      <w:r w:rsidRPr="00FF3779">
        <w:rPr>
          <w:rFonts w:cs="Arial"/>
        </w:rPr>
        <w:t xml:space="preserve"> </w:t>
      </w:r>
      <w:r>
        <w:rPr>
          <w:rFonts w:cs="Arial"/>
        </w:rPr>
        <w:t>durchführt</w:t>
      </w:r>
      <w:r w:rsidRPr="00FD24EB">
        <w:rPr>
          <w:rFonts w:cs="Arial"/>
        </w:rPr>
        <w:t xml:space="preserve">. Die </w:t>
      </w:r>
      <w:r>
        <w:rPr>
          <w:rFonts w:cs="Arial"/>
        </w:rPr>
        <w:t>Rückzahlung</w:t>
      </w:r>
      <w:r w:rsidRPr="00FD24EB">
        <w:rPr>
          <w:rFonts w:cs="Arial"/>
        </w:rPr>
        <w:t xml:space="preserve"> beinhaltet die gesamte Zahlung zur </w:t>
      </w:r>
      <w:r w:rsidR="00370686">
        <w:rPr>
          <w:rFonts w:cs="Arial"/>
        </w:rPr>
        <w:t xml:space="preserve">Abrechnung nach der täglichen Netzkontosystematik als Anreizsystem </w:t>
      </w:r>
      <w:r w:rsidRPr="00FD24EB">
        <w:rPr>
          <w:rFonts w:cs="Arial"/>
        </w:rPr>
        <w:t xml:space="preserve">des Monats M. </w:t>
      </w:r>
      <w:r w:rsidRPr="00FF3779">
        <w:rPr>
          <w:rFonts w:cs="Arial"/>
        </w:rPr>
        <w:t xml:space="preserve">Die </w:t>
      </w:r>
      <w:r>
        <w:rPr>
          <w:rFonts w:cs="Arial"/>
        </w:rPr>
        <w:t>Rückzahlung</w:t>
      </w:r>
      <w:r w:rsidRPr="00FF3779">
        <w:rPr>
          <w:rFonts w:cs="Arial"/>
        </w:rPr>
        <w:t xml:space="preserve"> erfolgt unter Angabe der Rechnungsnummer der gesamten Zahlung </w:t>
      </w:r>
      <w:r w:rsidR="005C1BAE" w:rsidRPr="00FF3779">
        <w:rPr>
          <w:rFonts w:cs="Arial"/>
        </w:rPr>
        <w:t xml:space="preserve">der </w:t>
      </w:r>
      <w:r w:rsidR="005C1BAE" w:rsidRPr="00370686">
        <w:rPr>
          <w:rFonts w:cs="Arial"/>
        </w:rPr>
        <w:t>Abrechnung</w:t>
      </w:r>
      <w:r w:rsidR="00370686">
        <w:rPr>
          <w:rFonts w:cs="Arial"/>
        </w:rPr>
        <w:t xml:space="preserve"> nach der täglichen Netzkontosystematik als Anreizsystem</w:t>
      </w:r>
      <w:r w:rsidRPr="00FF3779">
        <w:rPr>
          <w:rFonts w:cs="Arial"/>
        </w:rPr>
        <w:t xml:space="preserve">. </w:t>
      </w:r>
      <w:r>
        <w:rPr>
          <w:rFonts w:cs="Arial"/>
        </w:rPr>
        <w:t xml:space="preserve">Des Weiteren wird auf dem Beleg aufgeführt, dass die Rückzahlung aufgrund der durchgeführten </w:t>
      </w:r>
      <w:r w:rsidRPr="00FD24EB">
        <w:rPr>
          <w:rFonts w:cs="Arial"/>
        </w:rPr>
        <w:t>SLP-</w:t>
      </w:r>
      <w:r w:rsidRPr="00873364">
        <w:rPr>
          <w:rFonts w:cs="Arial"/>
        </w:rPr>
        <w:t>Mehr-/Mindermengenabrechnung</w:t>
      </w:r>
      <w:r w:rsidR="00875C6A">
        <w:rPr>
          <w:rFonts w:cs="Arial"/>
        </w:rPr>
        <w:t>en</w:t>
      </w:r>
      <w:r>
        <w:rPr>
          <w:rFonts w:cs="Arial"/>
        </w:rPr>
        <w:t xml:space="preserve"> erfolgt.</w:t>
      </w:r>
    </w:p>
    <w:p w14:paraId="5E19B2BC" w14:textId="77777777" w:rsidR="004F0E52" w:rsidRPr="00B1627E" w:rsidRDefault="004F0E52" w:rsidP="004F0E52">
      <w:pPr>
        <w:rPr>
          <w:rFonts w:cs="Arial"/>
        </w:rPr>
      </w:pPr>
      <w:r w:rsidRPr="00FD24EB">
        <w:rPr>
          <w:rFonts w:cs="Arial"/>
        </w:rPr>
        <w:lastRenderedPageBreak/>
        <w:t>Beispiel für die Rückabwicklung der Monatsrechnungen:</w:t>
      </w:r>
    </w:p>
    <w:p w14:paraId="1AEAAF77" w14:textId="64A05CAC" w:rsidR="004F0E52" w:rsidRPr="00B1627E" w:rsidRDefault="004F0E52" w:rsidP="004F0E52">
      <w:pPr>
        <w:rPr>
          <w:rFonts w:cs="Arial"/>
        </w:rPr>
      </w:pPr>
      <w:r w:rsidRPr="00FD24EB">
        <w:rPr>
          <w:rFonts w:cs="Arial"/>
        </w:rPr>
        <w:t xml:space="preserve">Ein NB wendet das </w:t>
      </w:r>
      <w:r w:rsidR="00370686">
        <w:rPr>
          <w:rFonts w:cs="Arial"/>
        </w:rPr>
        <w:t>marktlokationsscharfe</w:t>
      </w:r>
      <w:r w:rsidRPr="00FD24EB">
        <w:rPr>
          <w:rFonts w:cs="Arial"/>
        </w:rPr>
        <w:t xml:space="preserve">, rollierende Verfahren mit rollierender Ablesung an. </w:t>
      </w:r>
      <w:r w:rsidRPr="00B1627E">
        <w:rPr>
          <w:rFonts w:cs="Arial"/>
        </w:rPr>
        <w:t xml:space="preserve">Im Fall einer </w:t>
      </w:r>
      <w:r w:rsidRPr="00FD24EB">
        <w:rPr>
          <w:rFonts w:cs="Arial"/>
        </w:rPr>
        <w:t>Monatsrechnung für ein</w:t>
      </w:r>
      <w:r w:rsidRPr="00B1627E">
        <w:rPr>
          <w:rFonts w:cs="Arial"/>
        </w:rPr>
        <w:t xml:space="preserve"> Netzkonto </w:t>
      </w:r>
      <w:r w:rsidRPr="00FD24EB">
        <w:rPr>
          <w:rFonts w:cs="Arial"/>
        </w:rPr>
        <w:t>(</w:t>
      </w:r>
      <w:r>
        <w:rPr>
          <w:rFonts w:cs="Arial"/>
        </w:rPr>
        <w:t>Zahlung des NB an den MGV</w:t>
      </w:r>
      <w:r w:rsidRPr="00FD24EB">
        <w:rPr>
          <w:rFonts w:cs="Arial"/>
        </w:rPr>
        <w:t xml:space="preserve">), </w:t>
      </w:r>
      <w:r w:rsidRPr="00B1627E">
        <w:rPr>
          <w:rFonts w:cs="Arial"/>
        </w:rPr>
        <w:t xml:space="preserve">beispielsweise wie </w:t>
      </w:r>
      <w:r w:rsidRPr="00E36065">
        <w:rPr>
          <w:rFonts w:cs="Arial"/>
        </w:rPr>
        <w:t>in</w:t>
      </w:r>
      <w:r w:rsidR="00E36065" w:rsidRPr="00E36065">
        <w:rPr>
          <w:rFonts w:cs="Arial"/>
        </w:rPr>
        <w:t xml:space="preserve"> </w:t>
      </w:r>
      <w:r w:rsidR="0011373C">
        <w:fldChar w:fldCharType="begin"/>
      </w:r>
      <w:r w:rsidR="0011373C">
        <w:instrText xml:space="preserve"> REF _Ref449517452 \h  \* MERGEFORMAT </w:instrText>
      </w:r>
      <w:r w:rsidR="0011373C">
        <w:fldChar w:fldCharType="separate"/>
      </w:r>
      <w:r w:rsidR="00692E23" w:rsidRPr="00692E23">
        <w:t>Abbildung 57</w:t>
      </w:r>
      <w:r w:rsidR="0011373C">
        <w:fldChar w:fldCharType="end"/>
      </w:r>
      <w:r w:rsidR="00E36065">
        <w:rPr>
          <w:rFonts w:cs="Arial"/>
        </w:rPr>
        <w:t xml:space="preserve"> </w:t>
      </w:r>
      <w:r w:rsidRPr="00E36065">
        <w:rPr>
          <w:rFonts w:cs="Arial"/>
        </w:rPr>
        <w:t xml:space="preserve">für den Monat Januar 2017 (M), wird dieser Monat bereits als Zahlung der </w:t>
      </w:r>
      <w:r w:rsidR="00370686">
        <w:rPr>
          <w:rFonts w:cs="Arial"/>
        </w:rPr>
        <w:t xml:space="preserve">Abrechnung nach der täglichen Netzkontosystematik als Anreizsystem </w:t>
      </w:r>
      <w:r w:rsidRPr="00FD24EB">
        <w:rPr>
          <w:rFonts w:cs="Arial"/>
        </w:rPr>
        <w:t>im April 2017</w:t>
      </w:r>
      <w:r>
        <w:rPr>
          <w:rFonts w:cs="Arial"/>
        </w:rPr>
        <w:t>,</w:t>
      </w:r>
      <w:r w:rsidRPr="00FD24EB">
        <w:rPr>
          <w:rFonts w:cs="Arial"/>
        </w:rPr>
        <w:t xml:space="preserve"> nach Ablauf der Clearingfristen </w:t>
      </w:r>
      <w:r w:rsidRPr="00B1627E">
        <w:rPr>
          <w:rFonts w:cs="Arial"/>
        </w:rPr>
        <w:t xml:space="preserve">abgerechnet. Wird im </w:t>
      </w:r>
      <w:r w:rsidRPr="00FD24EB">
        <w:rPr>
          <w:rFonts w:cs="Arial"/>
        </w:rPr>
        <w:t>September 2017 (M+8M)</w:t>
      </w:r>
      <w:r w:rsidRPr="00B1627E">
        <w:rPr>
          <w:rFonts w:cs="Arial"/>
        </w:rPr>
        <w:t xml:space="preserve"> die Mehr-/Mindermengenabrechnung für den </w:t>
      </w:r>
      <w:r w:rsidRPr="00FD24EB">
        <w:rPr>
          <w:rFonts w:cs="Arial"/>
        </w:rPr>
        <w:t xml:space="preserve">Monat Juni 2017 (M+5M) fristgerecht </w:t>
      </w:r>
      <w:r w:rsidRPr="00B1627E">
        <w:rPr>
          <w:rFonts w:cs="Arial"/>
        </w:rPr>
        <w:t>durchgeführt</w:t>
      </w:r>
      <w:r w:rsidR="00734471">
        <w:rPr>
          <w:rFonts w:cs="Arial"/>
        </w:rPr>
        <w:t xml:space="preserve"> und liegen auch die Mehr-/Mindermengenabrechnung der Monate Januar 2017 bis einschließlich Mai 2017 vor und sind abgerechnet</w:t>
      </w:r>
      <w:r w:rsidRPr="00B1627E">
        <w:rPr>
          <w:rFonts w:cs="Arial"/>
        </w:rPr>
        <w:t xml:space="preserve">, </w:t>
      </w:r>
      <w:r w:rsidR="00BD0A68">
        <w:rPr>
          <w:rFonts w:cs="Arial"/>
        </w:rPr>
        <w:t>führt</w:t>
      </w:r>
      <w:r w:rsidR="00BD0A68" w:rsidRPr="00B1627E">
        <w:rPr>
          <w:rFonts w:cs="Arial"/>
        </w:rPr>
        <w:t xml:space="preserve"> </w:t>
      </w:r>
      <w:r w:rsidRPr="00B1627E">
        <w:rPr>
          <w:rFonts w:cs="Arial"/>
        </w:rPr>
        <w:t xml:space="preserve">der MGV </w:t>
      </w:r>
      <w:r w:rsidRPr="00FD24EB">
        <w:rPr>
          <w:rFonts w:cs="Arial"/>
        </w:rPr>
        <w:t>für die Zahlung/</w:t>
      </w:r>
      <w:r w:rsidR="00370686">
        <w:rPr>
          <w:rFonts w:cs="Arial"/>
        </w:rPr>
        <w:t xml:space="preserve">Abrechnung nach der täglichen Netzkontosystematik als Anreizsystem </w:t>
      </w:r>
      <w:r w:rsidRPr="00FD24EB">
        <w:rPr>
          <w:rFonts w:cs="Arial"/>
        </w:rPr>
        <w:t>des</w:t>
      </w:r>
      <w:r w:rsidRPr="00B1627E">
        <w:rPr>
          <w:rFonts w:cs="Arial"/>
        </w:rPr>
        <w:t xml:space="preserve"> </w:t>
      </w:r>
      <w:r>
        <w:rPr>
          <w:rFonts w:cs="Arial"/>
        </w:rPr>
        <w:t xml:space="preserve">Monats </w:t>
      </w:r>
      <w:r w:rsidRPr="00FD24EB">
        <w:rPr>
          <w:rFonts w:cs="Arial"/>
        </w:rPr>
        <w:t>Januar</w:t>
      </w:r>
      <w:r w:rsidR="00734471">
        <w:rPr>
          <w:rFonts w:cs="Arial"/>
        </w:rPr>
        <w:t xml:space="preserve"> 2017</w:t>
      </w:r>
      <w:r w:rsidRPr="00FD24EB">
        <w:rPr>
          <w:rFonts w:cs="Arial"/>
        </w:rPr>
        <w:t xml:space="preserve"> eine</w:t>
      </w:r>
      <w:r w:rsidRPr="00B1627E">
        <w:rPr>
          <w:rFonts w:cs="Arial"/>
        </w:rPr>
        <w:t xml:space="preserve"> </w:t>
      </w:r>
      <w:r w:rsidR="00BD0A68">
        <w:rPr>
          <w:rFonts w:cs="Arial"/>
        </w:rPr>
        <w:t>Rückzahlung</w:t>
      </w:r>
      <w:r w:rsidR="00BD0A68" w:rsidRPr="00FD24EB">
        <w:rPr>
          <w:rFonts w:cs="Arial"/>
        </w:rPr>
        <w:t xml:space="preserve"> </w:t>
      </w:r>
      <w:r w:rsidRPr="00FD24EB">
        <w:rPr>
          <w:rFonts w:cs="Arial"/>
        </w:rPr>
        <w:t>an den NB</w:t>
      </w:r>
      <w:r w:rsidR="00BD0A68">
        <w:rPr>
          <w:rFonts w:cs="Arial"/>
        </w:rPr>
        <w:t xml:space="preserve"> durch</w:t>
      </w:r>
      <w:r w:rsidRPr="00B1627E">
        <w:rPr>
          <w:rFonts w:cs="Arial"/>
        </w:rPr>
        <w:t>.</w:t>
      </w:r>
    </w:p>
    <w:p w14:paraId="385A218D" w14:textId="77777777" w:rsidR="004F0E52" w:rsidRPr="00B1627E" w:rsidRDefault="004F0E52" w:rsidP="004F0E52">
      <w:pPr>
        <w:rPr>
          <w:rFonts w:cs="Arial"/>
        </w:rPr>
      </w:pPr>
      <w:r w:rsidRPr="00FD24EB">
        <w:rPr>
          <w:rFonts w:cs="Arial"/>
        </w:rPr>
        <w:t>Rückabwicklung der Monatsgutschriften:</w:t>
      </w:r>
    </w:p>
    <w:p w14:paraId="74C5F656" w14:textId="3E1A85AF" w:rsidR="004F0E52" w:rsidRDefault="004F0E52" w:rsidP="004F0E52">
      <w:pPr>
        <w:rPr>
          <w:rFonts w:cs="Arial"/>
        </w:rPr>
      </w:pPr>
      <w:r w:rsidRPr="00FD24EB">
        <w:rPr>
          <w:rFonts w:cs="Arial"/>
        </w:rPr>
        <w:t xml:space="preserve">Die Rückabwicklung der Monatsgutschriften nach einer erstellten </w:t>
      </w:r>
      <w:r w:rsidR="00370686">
        <w:rPr>
          <w:rFonts w:cs="Arial"/>
        </w:rPr>
        <w:t>Abrechnung nach der täglichen Netzkontoabrechnung als Anreizsystem</w:t>
      </w:r>
      <w:r w:rsidR="000324C8" w:rsidRPr="00FD24EB">
        <w:rPr>
          <w:rFonts w:cs="Arial"/>
        </w:rPr>
        <w:t xml:space="preserve"> </w:t>
      </w:r>
      <w:r w:rsidRPr="00FD24EB">
        <w:rPr>
          <w:rFonts w:cs="Arial"/>
        </w:rPr>
        <w:t>erfolgt immer in M+8M</w:t>
      </w:r>
      <w:r>
        <w:rPr>
          <w:rFonts w:cs="Arial"/>
        </w:rPr>
        <w:t>,</w:t>
      </w:r>
      <w:r w:rsidRPr="00FD24EB">
        <w:rPr>
          <w:rFonts w:cs="Arial"/>
        </w:rPr>
        <w:t xml:space="preserve"> bezogen auf den Monat M der </w:t>
      </w:r>
      <w:r w:rsidR="00370686">
        <w:rPr>
          <w:rFonts w:cs="Arial"/>
        </w:rPr>
        <w:t>Abrechnung nach der täglichen Netzkontosystematik als Anreizsystem</w:t>
      </w:r>
      <w:r w:rsidRPr="00FD24EB">
        <w:rPr>
          <w:rFonts w:cs="Arial"/>
        </w:rPr>
        <w:t>, unabhängig davon, ob zuvor die monatlichen SLP</w:t>
      </w:r>
      <w:r>
        <w:rPr>
          <w:rFonts w:cs="Arial"/>
        </w:rPr>
        <w:t>-</w:t>
      </w:r>
      <w:r w:rsidRPr="00FD24EB">
        <w:rPr>
          <w:rFonts w:cs="Arial"/>
        </w:rPr>
        <w:t>M</w:t>
      </w:r>
      <w:r>
        <w:rPr>
          <w:rFonts w:cs="Arial"/>
        </w:rPr>
        <w:t>ehr-/Mindermengenabrechnungen</w:t>
      </w:r>
      <w:r w:rsidRPr="00FD24EB">
        <w:rPr>
          <w:rFonts w:cs="Arial"/>
        </w:rPr>
        <w:t xml:space="preserve"> vom NB gegenüber dem MGV durchgeführt wurden. Das bedeutet, dass </w:t>
      </w:r>
      <w:r w:rsidRPr="00B1627E">
        <w:rPr>
          <w:rFonts w:cs="Arial"/>
        </w:rPr>
        <w:t xml:space="preserve">der MGV eine </w:t>
      </w:r>
      <w:r w:rsidRPr="00FD24EB">
        <w:rPr>
          <w:rFonts w:cs="Arial"/>
        </w:rPr>
        <w:t xml:space="preserve">Rechnung für die erfolgte </w:t>
      </w:r>
      <w:r w:rsidR="00A9332F">
        <w:rPr>
          <w:rFonts w:cs="Arial"/>
        </w:rPr>
        <w:t xml:space="preserve">Abrechnung nach der täglichen Netzkontosystematik als Anreizsystem </w:t>
      </w:r>
      <w:r w:rsidRPr="00FD24EB">
        <w:rPr>
          <w:rFonts w:cs="Arial"/>
        </w:rPr>
        <w:t>des Monats M an den NB erstellt</w:t>
      </w:r>
      <w:r>
        <w:rPr>
          <w:rFonts w:cs="Arial"/>
        </w:rPr>
        <w:t>,</w:t>
      </w:r>
      <w:r w:rsidRPr="00FD24EB">
        <w:rPr>
          <w:rFonts w:cs="Arial"/>
        </w:rPr>
        <w:t xml:space="preserve"> auch wenn die relevanten monatlichen SLP</w:t>
      </w:r>
      <w:r>
        <w:rPr>
          <w:rFonts w:cs="Arial"/>
        </w:rPr>
        <w:t>-</w:t>
      </w:r>
      <w:r w:rsidRPr="00FD24EB">
        <w:rPr>
          <w:rFonts w:cs="Arial"/>
        </w:rPr>
        <w:t>M</w:t>
      </w:r>
      <w:r>
        <w:rPr>
          <w:rFonts w:cs="Arial"/>
        </w:rPr>
        <w:t xml:space="preserve">ehr-/Mindermengen </w:t>
      </w:r>
      <w:r w:rsidRPr="00FD24EB">
        <w:rPr>
          <w:rFonts w:cs="Arial"/>
        </w:rPr>
        <w:t>nicht (vollständig) vorliegen oder nicht abgerechnet worden sind. Die Rechnung beinhaltet die gesamt</w:t>
      </w:r>
      <w:r w:rsidR="00B21C0C">
        <w:rPr>
          <w:rFonts w:cs="Arial"/>
        </w:rPr>
        <w:t>e</w:t>
      </w:r>
      <w:r w:rsidRPr="00FD24EB">
        <w:rPr>
          <w:rFonts w:cs="Arial"/>
        </w:rPr>
        <w:t xml:space="preserve"> Zahlung der </w:t>
      </w:r>
      <w:r w:rsidR="00A9332F">
        <w:rPr>
          <w:rFonts w:cs="Arial"/>
        </w:rPr>
        <w:t xml:space="preserve">Abrechnung nach der täglichen Netzkontosystematik als Anreizsystem </w:t>
      </w:r>
      <w:r w:rsidRPr="00FD24EB">
        <w:rPr>
          <w:rFonts w:cs="Arial"/>
        </w:rPr>
        <w:t xml:space="preserve">des Monats M. </w:t>
      </w:r>
      <w:r w:rsidRPr="00B1627E">
        <w:rPr>
          <w:rFonts w:cs="Arial"/>
        </w:rPr>
        <w:t xml:space="preserve">Die </w:t>
      </w:r>
      <w:r w:rsidRPr="00FD24EB">
        <w:rPr>
          <w:rFonts w:cs="Arial"/>
        </w:rPr>
        <w:t>Rechnung</w:t>
      </w:r>
      <w:r w:rsidRPr="00B1627E">
        <w:rPr>
          <w:rFonts w:cs="Arial"/>
        </w:rPr>
        <w:t xml:space="preserve"> erfolgt unter Angabe der </w:t>
      </w:r>
      <w:r>
        <w:rPr>
          <w:rFonts w:cs="Arial"/>
        </w:rPr>
        <w:t>Gutschrift</w:t>
      </w:r>
      <w:r w:rsidRPr="00B1627E">
        <w:rPr>
          <w:rFonts w:cs="Arial"/>
        </w:rPr>
        <w:t xml:space="preserve">nummer der </w:t>
      </w:r>
      <w:r>
        <w:rPr>
          <w:rFonts w:cs="Arial"/>
        </w:rPr>
        <w:t>Zahlung</w:t>
      </w:r>
      <w:r w:rsidRPr="00B1627E">
        <w:rPr>
          <w:rFonts w:cs="Arial"/>
        </w:rPr>
        <w:t xml:space="preserve"> der </w:t>
      </w:r>
      <w:r w:rsidR="00A9332F">
        <w:rPr>
          <w:rFonts w:cs="Arial"/>
        </w:rPr>
        <w:t>Abrechnung nach der täglichen Netzkontosystematik als Anreizsystem</w:t>
      </w:r>
      <w:r w:rsidRPr="00B1627E">
        <w:rPr>
          <w:rFonts w:cs="Arial"/>
        </w:rPr>
        <w:t>.</w:t>
      </w:r>
    </w:p>
    <w:p w14:paraId="69883275" w14:textId="77777777" w:rsidR="004F0E52" w:rsidRPr="00B1627E" w:rsidRDefault="004F0E52" w:rsidP="004F0E52">
      <w:pPr>
        <w:rPr>
          <w:rFonts w:cs="Arial"/>
        </w:rPr>
      </w:pPr>
      <w:r w:rsidRPr="00FD24EB">
        <w:rPr>
          <w:rFonts w:cs="Arial"/>
        </w:rPr>
        <w:t>Beispiel</w:t>
      </w:r>
      <w:r>
        <w:rPr>
          <w:rFonts w:cs="Arial"/>
        </w:rPr>
        <w:t xml:space="preserve"> für </w:t>
      </w:r>
      <w:r w:rsidRPr="00FF3779">
        <w:rPr>
          <w:rFonts w:cs="Arial"/>
        </w:rPr>
        <w:t>die Rückabwicklung der Monatsgutschrift:</w:t>
      </w:r>
    </w:p>
    <w:p w14:paraId="29049E07" w14:textId="3DB1AA5C" w:rsidR="004F0E52" w:rsidRPr="00B1627E" w:rsidRDefault="004F0E52" w:rsidP="004F0E52">
      <w:pPr>
        <w:rPr>
          <w:rFonts w:cs="Arial"/>
        </w:rPr>
      </w:pPr>
      <w:r w:rsidRPr="00FD24EB">
        <w:rPr>
          <w:rFonts w:cs="Arial"/>
        </w:rPr>
        <w:t xml:space="preserve">Ein NB wendet das </w:t>
      </w:r>
      <w:r w:rsidR="003D0D71">
        <w:rPr>
          <w:rFonts w:cs="Arial"/>
        </w:rPr>
        <w:t>marktlokationsscharfe</w:t>
      </w:r>
      <w:r w:rsidRPr="00FD24EB">
        <w:rPr>
          <w:rFonts w:cs="Arial"/>
        </w:rPr>
        <w:t xml:space="preserve">, rollierende Verfahren mit rollierender Ablesung an. </w:t>
      </w:r>
      <w:r w:rsidRPr="00B1627E">
        <w:rPr>
          <w:rFonts w:cs="Arial"/>
        </w:rPr>
        <w:t xml:space="preserve">Im Fall einer </w:t>
      </w:r>
      <w:r w:rsidRPr="00FD24EB">
        <w:rPr>
          <w:rFonts w:cs="Arial"/>
        </w:rPr>
        <w:t xml:space="preserve">Monatsgutschrift </w:t>
      </w:r>
      <w:r w:rsidRPr="00B1627E">
        <w:rPr>
          <w:rFonts w:cs="Arial"/>
        </w:rPr>
        <w:t>für ein Netzkonto (MGV an NB)</w:t>
      </w:r>
      <w:r w:rsidRPr="00FD24EB">
        <w:rPr>
          <w:rFonts w:cs="Arial"/>
        </w:rPr>
        <w:t xml:space="preserve">, </w:t>
      </w:r>
      <w:r w:rsidRPr="00B1627E">
        <w:rPr>
          <w:rFonts w:cs="Arial"/>
        </w:rPr>
        <w:t xml:space="preserve">beispielsweise wie in </w:t>
      </w:r>
      <w:r w:rsidR="0011373C">
        <w:fldChar w:fldCharType="begin"/>
      </w:r>
      <w:r w:rsidR="0011373C">
        <w:instrText xml:space="preserve"> REF _Ref449517452 \h  \* MERGEFORMAT </w:instrText>
      </w:r>
      <w:r w:rsidR="0011373C">
        <w:fldChar w:fldCharType="separate"/>
      </w:r>
      <w:r w:rsidR="00692E23" w:rsidRPr="00692E23">
        <w:t>Abbildung 57</w:t>
      </w:r>
      <w:r w:rsidR="0011373C">
        <w:fldChar w:fldCharType="end"/>
      </w:r>
      <w:r w:rsidRPr="001E16BD">
        <w:rPr>
          <w:rFonts w:cs="Arial"/>
        </w:rPr>
        <w:t xml:space="preserve"> für den Monat Januar 2017 </w:t>
      </w:r>
      <w:r w:rsidRPr="00FD24EB">
        <w:rPr>
          <w:rFonts w:cs="Arial"/>
        </w:rPr>
        <w:t>(M)</w:t>
      </w:r>
      <w:r w:rsidRPr="00B1627E">
        <w:rPr>
          <w:rFonts w:cs="Arial"/>
        </w:rPr>
        <w:t xml:space="preserve">, wird dieser Monat bereits als Zahlung auf die </w:t>
      </w:r>
      <w:r w:rsidR="003D0D71">
        <w:rPr>
          <w:rFonts w:cs="Arial"/>
        </w:rPr>
        <w:t>Abrechnung nach der täglichen Netzkontosystematik als Anreizsystem</w:t>
      </w:r>
      <w:r w:rsidR="00B21C0C" w:rsidRPr="00B1627E">
        <w:rPr>
          <w:rFonts w:cs="Arial"/>
        </w:rPr>
        <w:t xml:space="preserve"> </w:t>
      </w:r>
      <w:r w:rsidRPr="00FD24EB">
        <w:rPr>
          <w:rFonts w:cs="Arial"/>
        </w:rPr>
        <w:t>im April 2017</w:t>
      </w:r>
      <w:r>
        <w:rPr>
          <w:rFonts w:cs="Arial"/>
        </w:rPr>
        <w:t>,</w:t>
      </w:r>
      <w:r w:rsidRPr="00FD24EB">
        <w:rPr>
          <w:rFonts w:cs="Arial"/>
        </w:rPr>
        <w:t xml:space="preserve"> nach Ablauf der Clearingfristen</w:t>
      </w:r>
      <w:r w:rsidRPr="00B1627E">
        <w:rPr>
          <w:rFonts w:cs="Arial"/>
        </w:rPr>
        <w:t xml:space="preserve"> </w:t>
      </w:r>
      <w:r w:rsidRPr="00FD24EB">
        <w:rPr>
          <w:rFonts w:cs="Arial"/>
        </w:rPr>
        <w:t>vergütet</w:t>
      </w:r>
      <w:r w:rsidRPr="00B1627E">
        <w:rPr>
          <w:rFonts w:cs="Arial"/>
        </w:rPr>
        <w:t xml:space="preserve">. In </w:t>
      </w:r>
      <w:r w:rsidRPr="00FD24EB">
        <w:rPr>
          <w:rFonts w:cs="Arial"/>
        </w:rPr>
        <w:t>M+8M (September 2017)</w:t>
      </w:r>
      <w:r>
        <w:rPr>
          <w:rFonts w:cs="Arial"/>
        </w:rPr>
        <w:t>,</w:t>
      </w:r>
      <w:r w:rsidRPr="00B1627E">
        <w:rPr>
          <w:rFonts w:cs="Arial"/>
        </w:rPr>
        <w:t xml:space="preserve"> </w:t>
      </w:r>
      <w:r w:rsidRPr="00FD24EB">
        <w:rPr>
          <w:rFonts w:cs="Arial"/>
        </w:rPr>
        <w:t xml:space="preserve">bezogen auf den Monat M (Januar 2017) der </w:t>
      </w:r>
      <w:r w:rsidR="003D0D71">
        <w:rPr>
          <w:rFonts w:cs="Arial"/>
        </w:rPr>
        <w:t>Abrechnung nach der täglichen Netzkontosystematik als Anreizsystem</w:t>
      </w:r>
      <w:r>
        <w:rPr>
          <w:rFonts w:cs="Arial"/>
        </w:rPr>
        <w:t>,</w:t>
      </w:r>
      <w:r w:rsidRPr="00FD24EB">
        <w:rPr>
          <w:rFonts w:cs="Arial"/>
        </w:rPr>
        <w:t xml:space="preserve"> wird </w:t>
      </w:r>
      <w:r w:rsidRPr="00B1627E">
        <w:rPr>
          <w:rFonts w:cs="Arial"/>
        </w:rPr>
        <w:t xml:space="preserve">vom MGV </w:t>
      </w:r>
      <w:r w:rsidRPr="00FD24EB">
        <w:rPr>
          <w:rFonts w:cs="Arial"/>
        </w:rPr>
        <w:t>eine</w:t>
      </w:r>
      <w:r w:rsidRPr="00B1627E">
        <w:rPr>
          <w:rFonts w:cs="Arial"/>
        </w:rPr>
        <w:t xml:space="preserve"> </w:t>
      </w:r>
      <w:r w:rsidRPr="00FD24EB">
        <w:rPr>
          <w:rFonts w:cs="Arial"/>
        </w:rPr>
        <w:t>Rechnung an den NB erstellt, auch wenn die relevanten monatlichen SLP</w:t>
      </w:r>
      <w:r>
        <w:rPr>
          <w:rFonts w:cs="Arial"/>
        </w:rPr>
        <w:t>-</w:t>
      </w:r>
      <w:r w:rsidRPr="00FD24EB">
        <w:rPr>
          <w:rFonts w:cs="Arial"/>
        </w:rPr>
        <w:t>M</w:t>
      </w:r>
      <w:r>
        <w:rPr>
          <w:rFonts w:cs="Arial"/>
        </w:rPr>
        <w:t xml:space="preserve">ehr-/Mindermengen </w:t>
      </w:r>
      <w:r w:rsidRPr="00FD24EB">
        <w:rPr>
          <w:rFonts w:cs="Arial"/>
        </w:rPr>
        <w:t>(Januar 2017 (M) bis Juni 2017 (M+5M)) nicht (vollständig) vorliegen oder nicht abgerechnet worden sind.</w:t>
      </w:r>
    </w:p>
    <w:p w14:paraId="312F3F1F" w14:textId="7775EAF8" w:rsidR="004F0E52" w:rsidRDefault="004F0E52" w:rsidP="004F0E52">
      <w:pPr>
        <w:spacing w:before="120" w:after="0"/>
      </w:pPr>
    </w:p>
    <w:p w14:paraId="7C955429" w14:textId="77777777" w:rsidR="00DC0DA9" w:rsidRDefault="00DC0DA9" w:rsidP="004F0E52">
      <w:pPr>
        <w:spacing w:before="120" w:after="0"/>
      </w:pPr>
    </w:p>
    <w:p w14:paraId="07CAA92D" w14:textId="5E77CE4D" w:rsidR="00DC0DA9" w:rsidRDefault="00DC0DA9" w:rsidP="004F0E52">
      <w:pPr>
        <w:spacing w:before="120" w:after="0"/>
      </w:pPr>
    </w:p>
    <w:p w14:paraId="04C8D5A1" w14:textId="77777777" w:rsidR="0064066F" w:rsidRDefault="0064066F" w:rsidP="004F0E52">
      <w:pPr>
        <w:spacing w:before="120" w:after="0"/>
      </w:pPr>
    </w:p>
    <w:p w14:paraId="27B83065" w14:textId="14D55FF9" w:rsidR="00DC0DA9" w:rsidRDefault="00CC6FEE" w:rsidP="004F0E52">
      <w:pPr>
        <w:spacing w:before="120" w:after="0"/>
      </w:pPr>
      <w:r w:rsidRPr="007D2BEF">
        <w:rPr>
          <w:rFonts w:cs="Arial"/>
          <w:noProof/>
        </w:rPr>
        <w:lastRenderedPageBreak/>
        <w:drawing>
          <wp:inline distT="0" distB="0" distL="0" distR="0" wp14:anchorId="58CF9C5D" wp14:editId="6B13C436">
            <wp:extent cx="5759450" cy="295402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759450" cy="2954020"/>
                    </a:xfrm>
                    <a:prstGeom prst="rect">
                      <a:avLst/>
                    </a:prstGeom>
                  </pic:spPr>
                </pic:pic>
              </a:graphicData>
            </a:graphic>
          </wp:inline>
        </w:drawing>
      </w:r>
    </w:p>
    <w:p w14:paraId="6025614A" w14:textId="57369C00" w:rsidR="004F0E52" w:rsidRDefault="004F0E52" w:rsidP="004F0E52">
      <w:pPr>
        <w:pStyle w:val="Abbildung"/>
        <w:spacing w:before="360" w:after="0"/>
        <w:rPr>
          <w:b/>
        </w:rPr>
      </w:pPr>
      <w:bookmarkStart w:id="2931" w:name="_Ref449517452"/>
      <w:bookmarkStart w:id="2932" w:name="_Toc111118640"/>
      <w:bookmarkStart w:id="2933" w:name="_Toc111196186"/>
      <w:r w:rsidRPr="00B158E5">
        <w:rPr>
          <w:b/>
        </w:rPr>
        <w:t xml:space="preserve">Abbildung </w:t>
      </w:r>
      <w:r w:rsidR="00561FFA" w:rsidRPr="00B158E5">
        <w:rPr>
          <w:b/>
        </w:rPr>
        <w:fldChar w:fldCharType="begin"/>
      </w:r>
      <w:r w:rsidRPr="00B158E5">
        <w:rPr>
          <w:b/>
        </w:rPr>
        <w:instrText xml:space="preserve"> SEQ Abbildung \* ARABIC </w:instrText>
      </w:r>
      <w:r w:rsidR="00561FFA" w:rsidRPr="00B158E5">
        <w:rPr>
          <w:b/>
        </w:rPr>
        <w:fldChar w:fldCharType="separate"/>
      </w:r>
      <w:r w:rsidR="007A098D">
        <w:rPr>
          <w:b/>
        </w:rPr>
        <w:t>57</w:t>
      </w:r>
      <w:r w:rsidR="00561FFA" w:rsidRPr="00B158E5">
        <w:rPr>
          <w:b/>
        </w:rPr>
        <w:fldChar w:fldCharType="end"/>
      </w:r>
      <w:bookmarkEnd w:id="2931"/>
      <w:r w:rsidRPr="00B158E5">
        <w:rPr>
          <w:b/>
        </w:rPr>
        <w:t xml:space="preserve">: Rückabwicklung der </w:t>
      </w:r>
      <w:r w:rsidR="003D0D71">
        <w:rPr>
          <w:b/>
        </w:rPr>
        <w:t xml:space="preserve">Abrechnung nach der täglichen Netzkontosystematik als Anreizsystem </w:t>
      </w:r>
      <w:r w:rsidRPr="00B158E5">
        <w:rPr>
          <w:b/>
        </w:rPr>
        <w:t>für NB mit rollierender Ablesung</w:t>
      </w:r>
      <w:bookmarkEnd w:id="2932"/>
      <w:bookmarkEnd w:id="2933"/>
    </w:p>
    <w:p w14:paraId="1512427B" w14:textId="77777777" w:rsidR="004F0E52" w:rsidRDefault="004F0E52" w:rsidP="002F1B40">
      <w:pPr>
        <w:spacing w:after="0"/>
      </w:pPr>
    </w:p>
    <w:p w14:paraId="788D200D" w14:textId="77777777" w:rsidR="000F3299" w:rsidRDefault="000F3299" w:rsidP="00FC79DC">
      <w:pPr>
        <w:pStyle w:val="berschrift2"/>
        <w:spacing w:before="480"/>
        <w:ind w:left="851" w:hanging="851"/>
      </w:pPr>
      <w:bookmarkStart w:id="2934" w:name="_Toc318089252"/>
      <w:bookmarkStart w:id="2935" w:name="_Toc318089077"/>
      <w:bookmarkStart w:id="2936" w:name="_Toc285005380"/>
      <w:bookmarkStart w:id="2937" w:name="_Toc284334406"/>
      <w:bookmarkStart w:id="2938" w:name="_Toc284323729"/>
      <w:bookmarkStart w:id="2939" w:name="_Toc269915222"/>
      <w:bookmarkStart w:id="2940" w:name="_Toc319931985"/>
      <w:bookmarkStart w:id="2941" w:name="_Toc296694196"/>
      <w:bookmarkStart w:id="2942" w:name="_Toc391540266"/>
      <w:bookmarkStart w:id="2943" w:name="_Toc412661457"/>
      <w:bookmarkStart w:id="2944" w:name="_Toc111118581"/>
      <w:r w:rsidRPr="00A75BA1">
        <w:t>Meldesystem an die BNetzA</w:t>
      </w:r>
      <w:bookmarkEnd w:id="2934"/>
      <w:bookmarkEnd w:id="2935"/>
      <w:bookmarkEnd w:id="2936"/>
      <w:bookmarkEnd w:id="2937"/>
      <w:bookmarkEnd w:id="2938"/>
      <w:bookmarkEnd w:id="2939"/>
      <w:bookmarkEnd w:id="2940"/>
      <w:bookmarkEnd w:id="2941"/>
      <w:bookmarkEnd w:id="2942"/>
      <w:bookmarkEnd w:id="2943"/>
      <w:r w:rsidR="00B21C0C">
        <w:t xml:space="preserve"> </w:t>
      </w:r>
      <w:r w:rsidR="003D0D71">
        <w:t>nach der täglichen Netzkontosystematik als Anreizsystem</w:t>
      </w:r>
      <w:bookmarkEnd w:id="2944"/>
      <w:r w:rsidR="003D0D71">
        <w:t xml:space="preserve"> </w:t>
      </w:r>
    </w:p>
    <w:p w14:paraId="59139BD7" w14:textId="35325397" w:rsidR="000F3299" w:rsidRDefault="000F3299" w:rsidP="003C2438">
      <w:pPr>
        <w:rPr>
          <w:rFonts w:cs="Arial"/>
        </w:rPr>
      </w:pPr>
      <w:r>
        <w:rPr>
          <w:rFonts w:cs="Arial"/>
        </w:rPr>
        <w:t xml:space="preserve">Der MGV ist verpflichtet, monatlich </w:t>
      </w:r>
      <w:r w:rsidR="00F73953">
        <w:rPr>
          <w:rFonts w:cs="Arial"/>
        </w:rPr>
        <w:t>alle Z</w:t>
      </w:r>
      <w:r>
        <w:rPr>
          <w:rFonts w:cs="Arial"/>
        </w:rPr>
        <w:t>eitreihentypen aller NB tagesscharf</w:t>
      </w:r>
      <w:r w:rsidR="00F73953">
        <w:rPr>
          <w:rFonts w:cs="Arial"/>
        </w:rPr>
        <w:t xml:space="preserve"> je Netzkonto</w:t>
      </w:r>
      <w:r>
        <w:rPr>
          <w:rFonts w:cs="Arial"/>
        </w:rPr>
        <w:t xml:space="preserve"> der BNetzA zur Verfügung zu stellen. Die sichere Bereitstellung der Daten wird zwischen de</w:t>
      </w:r>
      <w:r w:rsidR="00CC6FEE">
        <w:rPr>
          <w:rFonts w:cs="Arial"/>
        </w:rPr>
        <w:t>m</w:t>
      </w:r>
      <w:r>
        <w:rPr>
          <w:rFonts w:cs="Arial"/>
        </w:rPr>
        <w:t xml:space="preserve"> MGV und der </w:t>
      </w:r>
      <w:r w:rsidR="00B21C0C">
        <w:rPr>
          <w:rFonts w:cs="Arial"/>
        </w:rPr>
        <w:t xml:space="preserve">BNetzA </w:t>
      </w:r>
      <w:r>
        <w:rPr>
          <w:rFonts w:cs="Arial"/>
        </w:rPr>
        <w:t>bilateral vereinbart.</w:t>
      </w:r>
    </w:p>
    <w:p w14:paraId="604E7087" w14:textId="6B76C88A" w:rsidR="000F3299" w:rsidRDefault="000F3299" w:rsidP="00FC79DC">
      <w:pPr>
        <w:pStyle w:val="berschrift2"/>
        <w:spacing w:before="480"/>
        <w:ind w:left="0"/>
      </w:pPr>
      <w:bookmarkStart w:id="2945" w:name="_Toc319931986"/>
      <w:bookmarkStart w:id="2946" w:name="_Toc391540268"/>
      <w:bookmarkStart w:id="2947" w:name="_Toc412661459"/>
      <w:bookmarkStart w:id="2948" w:name="_Toc111118582"/>
      <w:r>
        <w:t xml:space="preserve">Veröffentlichung </w:t>
      </w:r>
      <w:r w:rsidR="003D0D71">
        <w:t xml:space="preserve">nach der täglichen Netzkontosystematik als Anreizsystem </w:t>
      </w:r>
      <w:r>
        <w:t xml:space="preserve">von NB auf der </w:t>
      </w:r>
      <w:r w:rsidR="005C2920">
        <w:t xml:space="preserve">Internetseite </w:t>
      </w:r>
      <w:r>
        <w:t>des MGV</w:t>
      </w:r>
      <w:bookmarkEnd w:id="2945"/>
      <w:bookmarkEnd w:id="2946"/>
      <w:bookmarkEnd w:id="2947"/>
      <w:bookmarkEnd w:id="2948"/>
    </w:p>
    <w:p w14:paraId="3C3FDAB0" w14:textId="57921D0C" w:rsidR="00800B93" w:rsidRDefault="00800B93" w:rsidP="003C2438">
      <w:r>
        <w:t xml:space="preserve">Die Veröffentlichung </w:t>
      </w:r>
      <w:r w:rsidR="003D0D71">
        <w:t>nach der täglichen Netzkontosystematik als Anreizsystem</w:t>
      </w:r>
      <w:r w:rsidR="00B21C0C">
        <w:t xml:space="preserve"> </w:t>
      </w:r>
      <w:r>
        <w:t>von NB basiert auf der Berechnung der täglichen</w:t>
      </w:r>
      <w:r w:rsidR="00734471">
        <w:t xml:space="preserve"> prozentualen</w:t>
      </w:r>
      <w:r>
        <w:t xml:space="preserve"> Netzkontoabweichungen nach </w:t>
      </w:r>
      <w:r w:rsidRPr="00EC4DA6">
        <w:t>Kap</w:t>
      </w:r>
      <w:r w:rsidRPr="00B727B6">
        <w:t xml:space="preserve">. </w:t>
      </w:r>
      <w:r w:rsidR="0011373C">
        <w:fldChar w:fldCharType="begin"/>
      </w:r>
      <w:r w:rsidR="0011373C">
        <w:instrText xml:space="preserve"> REF _Ref436730513 \r \h  \* MERGEFORMAT </w:instrText>
      </w:r>
      <w:r w:rsidR="0011373C">
        <w:fldChar w:fldCharType="separate"/>
      </w:r>
      <w:r w:rsidR="00692E23">
        <w:t>11.3</w:t>
      </w:r>
      <w:r w:rsidR="0011373C">
        <w:fldChar w:fldCharType="end"/>
      </w:r>
      <w:r>
        <w:t xml:space="preserve">. NB, </w:t>
      </w:r>
      <w:r w:rsidR="003D0D71">
        <w:t xml:space="preserve">die </w:t>
      </w:r>
      <w:r>
        <w:t xml:space="preserve">in einem Monat mindestens 10 Fehlertage durch eine tägliche </w:t>
      </w:r>
      <w:r w:rsidR="00734471">
        <w:t>prozentuale Netzkontoabweichung</w:t>
      </w:r>
      <w:r>
        <w:t xml:space="preserve"> in ihrem Netzkonto von mehr als 50 % bzw. weniger als -50% aufweisen, werden auf der Internetseite des MGV im öffentlich zugänglichen Bereich veröffentlicht. Diese 10 Fehlertage</w:t>
      </w:r>
      <w:r w:rsidDel="002B5C27">
        <w:t xml:space="preserve"> </w:t>
      </w:r>
      <w:r>
        <w:t>gelten allgemein für Tage mit Über- und Unterallokation.</w:t>
      </w:r>
    </w:p>
    <w:p w14:paraId="60E95A80" w14:textId="60FBD93E" w:rsidR="00800B93" w:rsidRDefault="00800B93" w:rsidP="003C2438">
      <w:pPr>
        <w:rPr>
          <w:color w:val="000000" w:themeColor="text1"/>
        </w:rPr>
      </w:pPr>
      <w:r w:rsidRPr="007E0FEC">
        <w:rPr>
          <w:color w:val="000000" w:themeColor="text1"/>
        </w:rPr>
        <w:t xml:space="preserve">Die Veröffentlichung von NB durch </w:t>
      </w:r>
      <w:r w:rsidR="00CC6FEE">
        <w:rPr>
          <w:color w:val="000000" w:themeColor="text1"/>
        </w:rPr>
        <w:t>den</w:t>
      </w:r>
      <w:r w:rsidR="00CC6FEE" w:rsidRPr="007E0FEC">
        <w:rPr>
          <w:color w:val="000000" w:themeColor="text1"/>
        </w:rPr>
        <w:t xml:space="preserve"> </w:t>
      </w:r>
      <w:r w:rsidRPr="007E0FEC">
        <w:rPr>
          <w:color w:val="000000" w:themeColor="text1"/>
        </w:rPr>
        <w:t>MGV erfolgt rollierend, wobei jeweils die Listen der vergangenen 12 Monate historisiert zur Verfügung gestellt werden.</w:t>
      </w:r>
    </w:p>
    <w:p w14:paraId="307A4590" w14:textId="0E5316CC" w:rsidR="00D46C64" w:rsidRDefault="00D46C64" w:rsidP="003C2438">
      <w:pPr>
        <w:rPr>
          <w:color w:val="000000" w:themeColor="text1"/>
        </w:rPr>
      </w:pPr>
    </w:p>
    <w:p w14:paraId="249E3B7F" w14:textId="5B3B27E0" w:rsidR="00D46C64" w:rsidRPr="009360DD" w:rsidRDefault="00D46C64" w:rsidP="009360DD">
      <w:pPr>
        <w:pStyle w:val="berschrift2"/>
        <w:spacing w:before="480"/>
        <w:ind w:left="0"/>
      </w:pPr>
      <w:bookmarkStart w:id="2949" w:name="_Toc111118583"/>
      <w:r>
        <w:lastRenderedPageBreak/>
        <w:t>Prüfungspflicht bei dauerhaft unüblicher Netzkontoabweichung</w:t>
      </w:r>
      <w:bookmarkEnd w:id="2949"/>
    </w:p>
    <w:p w14:paraId="30C8D4F1" w14:textId="0D525999" w:rsidR="00EE541B" w:rsidRDefault="00EE541B" w:rsidP="000D1C90">
      <w:r>
        <w:t xml:space="preserve">Netzbetreiber mit Netzkonten, die SLP-Allokationsmengen enthalten, sind zur Prüfung von Maßnahmen zur Verbesserung der Anwendung von Standardlastprofilen verpflichtet, wenn sich die kumulierte absolute Netzkontoabweichung über den Zeitraum von 12 Monaten bezogen auf </w:t>
      </w:r>
      <w:r w:rsidRPr="00764D24">
        <w:t xml:space="preserve">das </w:t>
      </w:r>
      <w:r>
        <w:t xml:space="preserve">Kalenderjahr, </w:t>
      </w:r>
      <w:r w:rsidR="00BC3779" w:rsidRPr="00A339AA">
        <w:rPr>
          <w:rFonts w:cs="Arial"/>
          <w:color w:val="000000"/>
        </w:rPr>
        <w:t>außerhalb des 90% Quantils</w:t>
      </w:r>
      <w:r w:rsidR="00BC3779">
        <w:t xml:space="preserve"> </w:t>
      </w:r>
      <w:r>
        <w:t>der nachstehenden Größengruppen befindet. Hierzu werden die Netzkonten anhand der kalenderjährlichen SLP-Ausspeiseallokation im Betrachtungszeitraum in folgende Größengruppen eingeteilt:</w:t>
      </w:r>
    </w:p>
    <w:p w14:paraId="239DE969" w14:textId="344BDEB3" w:rsidR="00EE541B" w:rsidRPr="004C7697" w:rsidRDefault="000D1C90" w:rsidP="00EE541B">
      <w:r>
        <w:tab/>
      </w:r>
      <w:r w:rsidR="00EE541B">
        <w:t xml:space="preserve">Klein: SLP </w:t>
      </w:r>
      <w:r w:rsidR="00EE541B" w:rsidRPr="004C7697">
        <w:t>Ausspeiseallokation &lt; 100 Mio. kWh/Kalenderjahr</w:t>
      </w:r>
    </w:p>
    <w:p w14:paraId="7C101C09" w14:textId="134050DD" w:rsidR="00EE541B" w:rsidRPr="004C7697" w:rsidRDefault="000D1C90" w:rsidP="00EE541B">
      <w:r w:rsidRPr="004C7697">
        <w:tab/>
      </w:r>
      <w:r w:rsidR="00EE541B" w:rsidRPr="004C7697">
        <w:t xml:space="preserve">Mittel: SLP Ausspeiseallokation </w:t>
      </w:r>
      <w:r w:rsidR="005F5D4E" w:rsidRPr="004C7697">
        <w:rPr>
          <w:rFonts w:cs="Arial"/>
        </w:rPr>
        <w:t xml:space="preserve">≥ 100 </w:t>
      </w:r>
      <w:r w:rsidR="00A56A84" w:rsidRPr="004C7697">
        <w:rPr>
          <w:rFonts w:cs="Arial"/>
        </w:rPr>
        <w:t>Mio.</w:t>
      </w:r>
      <w:r w:rsidR="005F5D4E" w:rsidRPr="004C7697">
        <w:rPr>
          <w:rFonts w:cs="Arial"/>
        </w:rPr>
        <w:t xml:space="preserve"> bis</w:t>
      </w:r>
      <w:r w:rsidR="005F5D4E" w:rsidRPr="004C7697">
        <w:rPr>
          <w:rFonts w:cs="Arial"/>
          <w:sz w:val="24"/>
          <w:szCs w:val="24"/>
        </w:rPr>
        <w:t xml:space="preserve"> </w:t>
      </w:r>
      <w:r w:rsidR="00EE541B" w:rsidRPr="004C7697">
        <w:t>&lt; 250 Mio. kWh/Kalenderjahr</w:t>
      </w:r>
    </w:p>
    <w:p w14:paraId="11107CA2" w14:textId="0571B546" w:rsidR="00EE541B" w:rsidRPr="004C7697" w:rsidRDefault="000D1C90" w:rsidP="00EE541B">
      <w:r w:rsidRPr="004C7697">
        <w:tab/>
      </w:r>
      <w:r w:rsidR="00EE541B" w:rsidRPr="004C7697">
        <w:t>Groß: SLP Ausspeiseallokation</w:t>
      </w:r>
      <w:r w:rsidR="005F5D4E" w:rsidRPr="004C7697">
        <w:t xml:space="preserve"> </w:t>
      </w:r>
      <w:r w:rsidR="005F5D4E" w:rsidRPr="004C7697">
        <w:rPr>
          <w:rFonts w:cs="Arial"/>
        </w:rPr>
        <w:t>≥</w:t>
      </w:r>
      <w:r w:rsidR="00EE541B" w:rsidRPr="004C7697">
        <w:t xml:space="preserve"> 250 Mio. kWh/Kalenderjahr</w:t>
      </w:r>
    </w:p>
    <w:p w14:paraId="408A13F7" w14:textId="501CF8CB" w:rsidR="00EE541B" w:rsidRDefault="00EE541B" w:rsidP="000D1C90">
      <w:r w:rsidRPr="00A808F0">
        <w:t>N</w:t>
      </w:r>
      <w:r>
        <w:t xml:space="preserve">etzbetreiber mit einer kumulierten absoluten Netzkontoabweichung je Kalenderjahr unterhalb von 130 kWh/MWh je betrachtetem Kalenderjahr unterliegen nicht der Prüfungspflicht, auch wenn diese sich </w:t>
      </w:r>
      <w:r w:rsidR="00BC3779" w:rsidRPr="00A339AA">
        <w:rPr>
          <w:rFonts w:cs="Arial"/>
          <w:color w:val="000000"/>
        </w:rPr>
        <w:t>außerhalb des 90% Quantils</w:t>
      </w:r>
      <w:r w:rsidR="00BC3779">
        <w:t xml:space="preserve"> </w:t>
      </w:r>
      <w:r>
        <w:t>ihrer jeweiligen Größengruppe befinden.</w:t>
      </w:r>
    </w:p>
    <w:p w14:paraId="7FC55760" w14:textId="665F8842" w:rsidR="00CC6FEE" w:rsidRDefault="00EE541B" w:rsidP="00CC6FEE">
      <w:r>
        <w:t xml:space="preserve">Netzkonten von Netzbetreibern in der Marktraumumstellung werden bezüglich der Ermittlung der kumulierten absoluten Netzkontoabweichung aggregiert betrachtet und entsprechend der Größengruppe zugeordnet. </w:t>
      </w:r>
      <w:r w:rsidR="00CC6FEE">
        <w:t xml:space="preserve">Dies gilt auch </w:t>
      </w:r>
      <w:r w:rsidR="00CC6FEE" w:rsidRPr="00791192">
        <w:t>für Netzbetreiber die vor der Marktgebietszusammenlegung getrennte Netzkonten</w:t>
      </w:r>
      <w:r w:rsidR="00CC6FEE">
        <w:t xml:space="preserve"> gleicher Gasqualität</w:t>
      </w:r>
      <w:r w:rsidR="00CC6FEE" w:rsidRPr="00791192">
        <w:t xml:space="preserve"> in </w:t>
      </w:r>
      <w:r w:rsidR="00CC6FEE">
        <w:t xml:space="preserve">den </w:t>
      </w:r>
      <w:r w:rsidR="00CC6FEE" w:rsidRPr="00791192">
        <w:t>beiden Marktgebieten besaßen</w:t>
      </w:r>
      <w:r w:rsidR="00CC6FEE">
        <w:t>.</w:t>
      </w:r>
    </w:p>
    <w:p w14:paraId="2B9AD0EE" w14:textId="77777777" w:rsidR="00EE541B" w:rsidRDefault="00EE541B" w:rsidP="000D1C90">
      <w:r>
        <w:t>Die Prüfungspflicht bezieht sich immer auf das vom Netzbetreiber angewandte synthetische oder analytische Lastprofilverfahren.</w:t>
      </w:r>
    </w:p>
    <w:p w14:paraId="6D4E0024" w14:textId="330D319A" w:rsidR="00EE541B" w:rsidRDefault="00EE541B" w:rsidP="000D1C90">
      <w:r>
        <w:t xml:space="preserve">Der </w:t>
      </w:r>
      <w:r w:rsidR="00CC6FEE">
        <w:t xml:space="preserve">MGV </w:t>
      </w:r>
      <w:r>
        <w:t xml:space="preserve">ermittelt nach Abschluss der relevanten Clearingzeiträume die Netzkonten je Größengruppe, die der </w:t>
      </w:r>
      <w:r w:rsidRPr="00BA782F">
        <w:t>oben genannten</w:t>
      </w:r>
      <w:r>
        <w:t xml:space="preserve"> Prüf</w:t>
      </w:r>
      <w:r w:rsidRPr="001B081E">
        <w:t>ungs</w:t>
      </w:r>
      <w:r>
        <w:t>pflicht unterliegen</w:t>
      </w:r>
      <w:r w:rsidR="00EE43D1">
        <w:t>. Netzkonten von Netzbetreibern</w:t>
      </w:r>
      <w:r w:rsidR="003F4EF3">
        <w:t>,</w:t>
      </w:r>
      <w:r w:rsidR="00EE43D1">
        <w:t xml:space="preserve"> die in den zu überprüfenden Kalenderjahren das Allokationsverfahren gewechselt haben und Netzkonten von Netzbetreibern, die weniger als 24 Monate eigenständiger Netzbetreiber sind, werden vom </w:t>
      </w:r>
      <w:proofErr w:type="spellStart"/>
      <w:r w:rsidR="00EE43D1">
        <w:t>Marktgebietsverantlichen</w:t>
      </w:r>
      <w:proofErr w:type="spellEnd"/>
      <w:r w:rsidR="00EE43D1">
        <w:t xml:space="preserve"> bei der Ermittlung der Netzkonten, die der Prüfungspflicht unterliegen, nicht betrachtet.</w:t>
      </w:r>
      <w:r w:rsidR="00C81602">
        <w:t xml:space="preserve"> </w:t>
      </w:r>
      <w:r w:rsidR="00E4495C">
        <w:t>Der MGV</w:t>
      </w:r>
      <w:r>
        <w:t xml:space="preserve"> fordert die betroffenen Netzbetreiber bis zum 1. April des Jahres auf, die Prüfungspflicht unter Verwendung der im BDEW/VKU/GEODE-Leitfaden Abwicklung von Standardlastprofilen Gas hinterlegten Prüfroutine zu erfüllen. </w:t>
      </w:r>
      <w:r w:rsidRPr="00BA782F">
        <w:t>Die Prüfungen umfassen zwei Kalenderjahre und erfolgen auf Basis von bereinigten Daten M+2M+10WT. D</w:t>
      </w:r>
      <w:r>
        <w:t xml:space="preserve">ie betroffenen Netzbetreiber informieren den </w:t>
      </w:r>
      <w:r w:rsidR="00CC6FEE">
        <w:t xml:space="preserve">MGV </w:t>
      </w:r>
      <w:r>
        <w:t>bis zum 1. Juli des gleichen Jahres über die Ergebnisse der Prüfungen</w:t>
      </w:r>
      <w:r w:rsidRPr="00BA782F">
        <w:t>. Ergeben sich Erkenntnisse mit Auswirkung auf die Datenbasis der Prüfung, z</w:t>
      </w:r>
      <w:r w:rsidRPr="00CE20DF">
        <w:t xml:space="preserve">.B. aufgrund von nachträglichen Allokationskorrekturen gemäß Kapitel 8.3 oderzukünftig geplanten Marktraumumstellungen, so ist dies vom NB im Ergebnis der Prüfung zu vermerken. Die Prüfungsergebnisse, die zugrundeliegenden ausgefüllten Tools </w:t>
      </w:r>
      <w:r w:rsidR="005F5D4E" w:rsidRPr="00CE20DF">
        <w:t>(</w:t>
      </w:r>
      <w:r w:rsidR="005F5D4E" w:rsidRPr="00CE20DF">
        <w:rPr>
          <w:rFonts w:cs="Arial"/>
        </w:rPr>
        <w:t>Anlage 2 oder Anlage 3 zum Leitfaden SLP)</w:t>
      </w:r>
      <w:r w:rsidR="005F5D4E" w:rsidRPr="00CE20DF">
        <w:rPr>
          <w:rFonts w:cs="Arial"/>
          <w:sz w:val="24"/>
          <w:szCs w:val="24"/>
        </w:rPr>
        <w:t xml:space="preserve"> </w:t>
      </w:r>
      <w:r w:rsidRPr="00CE20DF">
        <w:t xml:space="preserve">sowie die ausgefüllte </w:t>
      </w:r>
      <w:r w:rsidR="0099445C" w:rsidRPr="00CE20DF">
        <w:t xml:space="preserve">Prüfroutine </w:t>
      </w:r>
      <w:r w:rsidRPr="00CE20DF">
        <w:t>SLP-Checkliste</w:t>
      </w:r>
      <w:r w:rsidR="0099445C" w:rsidRPr="00CE20DF">
        <w:t xml:space="preserve"> </w:t>
      </w:r>
      <w:r w:rsidR="0099445C" w:rsidRPr="00CE20DF">
        <w:rPr>
          <w:rFonts w:cs="Arial"/>
        </w:rPr>
        <w:t>(Anlage 1 zum Leitfaden SLP)</w:t>
      </w:r>
      <w:r w:rsidR="0099445C" w:rsidRPr="00CE20DF">
        <w:rPr>
          <w:rFonts w:cs="Arial"/>
          <w:sz w:val="24"/>
          <w:szCs w:val="24"/>
        </w:rPr>
        <w:t xml:space="preserve"> </w:t>
      </w:r>
      <w:r w:rsidRPr="00CE20DF">
        <w:t>sind vom Netzbetreiber per E-Mail an den Marktgebietsverantwortlichen zu übermitteln.</w:t>
      </w:r>
      <w:r w:rsidR="00037AD6" w:rsidRPr="00CE20DF">
        <w:t xml:space="preserve"> </w:t>
      </w:r>
      <w:r w:rsidR="00E4495C">
        <w:t xml:space="preserve">Der Netzbetreiber informiert </w:t>
      </w:r>
      <w:r w:rsidR="00E4495C">
        <w:lastRenderedPageBreak/>
        <w:t>den Marktgebietsverantwortlichen in einer separaten Mail über den erfolgten Versand der Prüfungsergebnisse, der zugrundeliegenden ausgefüllten Prüfroutine synthetisches Verfahren</w:t>
      </w:r>
      <w:r w:rsidR="003F4EF3">
        <w:t xml:space="preserve"> </w:t>
      </w:r>
      <w:r w:rsidR="00E4495C">
        <w:t xml:space="preserve">oder Prüfroutine analytisches Verfahren (Anlage 2 oder Anlage 3 zum Leitfaden SLP) sowie der ausgefüllte Prüfroutine Checkliste (Anlage 1 zum Leitfaden SLP). </w:t>
      </w:r>
      <w:r w:rsidR="00CC6FEE">
        <w:rPr>
          <w:rFonts w:cs="Arial"/>
        </w:rPr>
        <w:t>Der MGV verwendet</w:t>
      </w:r>
      <w:r w:rsidR="00CC6FEE" w:rsidRPr="00CE20DF">
        <w:rPr>
          <w:rFonts w:cs="Arial"/>
        </w:rPr>
        <w:t xml:space="preserve"> </w:t>
      </w:r>
      <w:r w:rsidR="00037AD6" w:rsidRPr="00CE20DF">
        <w:rPr>
          <w:rFonts w:cs="Arial"/>
        </w:rPr>
        <w:t>die von den Netzbetreibern im Rahmen des vorstehend beschriebenen Verfahrens erhaltenen Daten ausschließlich zum Zweck der Durchführung dieses Verfahrens.</w:t>
      </w:r>
    </w:p>
    <w:p w14:paraId="6468626E" w14:textId="7A90A97D" w:rsidR="00EE541B" w:rsidRDefault="00EE541B" w:rsidP="000D1C90">
      <w:r>
        <w:t xml:space="preserve">Ergibt die Prüfung ein signifikantes und nachhaltiges Verbesserungspotenzial, hat der Netzbetreiber die entsprechenden Maßnahmen zur Verbesserung bis zum 1. Juli des Folgejahres zu implementieren. In begründeten Einzelfällen kann in Absprache mit dem </w:t>
      </w:r>
      <w:r w:rsidR="00CC6FEE">
        <w:t xml:space="preserve">MGV </w:t>
      </w:r>
      <w:r>
        <w:t>eine längere Implementierungsfrist vereinbart werden.</w:t>
      </w:r>
    </w:p>
    <w:p w14:paraId="139511D2" w14:textId="562BA077" w:rsidR="00EE541B" w:rsidRDefault="00EE541B" w:rsidP="000D1C90">
      <w:r w:rsidRPr="00344CB3">
        <w:t>Von einem signifikanten und nachhaltigen Verbesserungspotenzial wird ausgegangen, sofern die Prüfung eine mögliche Verringerung der kumulierten absoluten Netzkontoabweichung von durchschnittlich 10</w:t>
      </w:r>
      <w:r w:rsidR="00213172">
        <w:t xml:space="preserve"> </w:t>
      </w:r>
      <w:r w:rsidRPr="00344CB3">
        <w:t xml:space="preserve">% über die beiden betrachteten </w:t>
      </w:r>
      <w:r w:rsidRPr="004661CC">
        <w:t>Kalenderjahre ergibt. Ebenfalls muss sich in beiden betrachteten Kalenderjahren eine Verringerung der kumulierten</w:t>
      </w:r>
      <w:r w:rsidRPr="00344CB3">
        <w:t xml:space="preserve"> absoluten Netzkontoabweichung im jeweiligen Kalenderjahr ergeben.</w:t>
      </w:r>
    </w:p>
    <w:p w14:paraId="58D9626E" w14:textId="77777777" w:rsidR="00EE541B" w:rsidRDefault="00EE541B" w:rsidP="000D1C90">
      <w:r>
        <w:t>Folgende Beispiele verdeutlichen ein signifikantes und nachhaltiges Verbesserungspotenzial:</w:t>
      </w:r>
    </w:p>
    <w:p w14:paraId="26A1F832" w14:textId="77777777" w:rsidR="00EE541B" w:rsidRDefault="00EE541B" w:rsidP="00EE541B">
      <w:pPr>
        <w:ind w:left="567"/>
      </w:pPr>
      <w:r>
        <w:t>Beispiel 1:</w:t>
      </w:r>
    </w:p>
    <w:p w14:paraId="2EBB4EA9" w14:textId="6AAFA09A" w:rsidR="00EE541B" w:rsidRPr="00AF68F5" w:rsidRDefault="00EE541B" w:rsidP="000D1C90">
      <w:r>
        <w:t xml:space="preserve">NB A könnte im Betrachtungsjahr 1 seine </w:t>
      </w:r>
      <w:r w:rsidRPr="00344CB3">
        <w:t>kumulierte absolute Netzkontoabweichung</w:t>
      </w:r>
      <w:r w:rsidRPr="00310370">
        <w:t xml:space="preserve"> um 8% und im </w:t>
      </w:r>
      <w:r w:rsidRPr="003754F1">
        <w:t>Betrachtungsjahr 2 um 13</w:t>
      </w:r>
      <w:r w:rsidR="00213172">
        <w:t xml:space="preserve"> </w:t>
      </w:r>
      <w:r w:rsidRPr="003754F1">
        <w:t xml:space="preserve">% </w:t>
      </w:r>
      <w:r w:rsidRPr="00AF68F5">
        <w:t>verringern. Im Durchschnitt über die zwei Jahre betrachtet, liegt das Verbesserungspotenzial der</w:t>
      </w:r>
      <w:r w:rsidRPr="00344CB3">
        <w:t xml:space="preserve"> kumulierten absoluten Netzkontoabweichung</w:t>
      </w:r>
      <w:r w:rsidRPr="00310370">
        <w:t xml:space="preserve"> </w:t>
      </w:r>
      <w:r>
        <w:t xml:space="preserve">bei </w:t>
      </w:r>
      <w:r w:rsidRPr="00310370">
        <w:t>über 10</w:t>
      </w:r>
      <w:r w:rsidR="00213172">
        <w:t xml:space="preserve"> </w:t>
      </w:r>
      <w:r w:rsidRPr="00310370">
        <w:t>%</w:t>
      </w:r>
      <w:r>
        <w:t>. D</w:t>
      </w:r>
      <w:r w:rsidRPr="003754F1">
        <w:t>aher m</w:t>
      </w:r>
      <w:r w:rsidRPr="00AF68F5">
        <w:t xml:space="preserve">üssen </w:t>
      </w:r>
      <w:r>
        <w:t xml:space="preserve">die </w:t>
      </w:r>
      <w:r w:rsidRPr="00AF68F5">
        <w:t>entsprechende</w:t>
      </w:r>
      <w:r>
        <w:t>n</w:t>
      </w:r>
      <w:r w:rsidRPr="00AF68F5">
        <w:t xml:space="preserve"> Maßnahmen zur Verbesserung implementiert werden.</w:t>
      </w:r>
    </w:p>
    <w:p w14:paraId="62C58195" w14:textId="77777777" w:rsidR="00EE541B" w:rsidRPr="00344CB3" w:rsidRDefault="00EE541B" w:rsidP="00EE541B">
      <w:pPr>
        <w:ind w:left="567"/>
      </w:pPr>
      <w:r w:rsidRPr="00344CB3">
        <w:t>Beispiel 2:</w:t>
      </w:r>
    </w:p>
    <w:p w14:paraId="4E092950" w14:textId="1F4A9B47" w:rsidR="00EE541B" w:rsidRDefault="00EE541B" w:rsidP="000D1C90">
      <w:r w:rsidRPr="00344CB3">
        <w:t>NB B könnte im Betrachtungsjahr 1 seine kumulierte absolute Netzkontoabweichung</w:t>
      </w:r>
      <w:r w:rsidRPr="00310370">
        <w:t xml:space="preserve"> nicht verbessern, sondern um 8</w:t>
      </w:r>
      <w:r w:rsidR="00213172">
        <w:t xml:space="preserve"> </w:t>
      </w:r>
      <w:r w:rsidRPr="00310370">
        <w:t>%</w:t>
      </w:r>
      <w:r w:rsidRPr="003754F1">
        <w:t xml:space="preserve"> erhöhen </w:t>
      </w:r>
      <w:r w:rsidRPr="00AF68F5">
        <w:t>und im Betrachtungsjahr 2 um 23</w:t>
      </w:r>
      <w:r w:rsidR="00213172">
        <w:t xml:space="preserve"> </w:t>
      </w:r>
      <w:r w:rsidRPr="00AF68F5">
        <w:t>% verringern. Da das Verbesserungspotenzial nicht in beiden Jahren positiv ist, müssen keine Maßnahmen</w:t>
      </w:r>
      <w:r w:rsidRPr="00344CB3">
        <w:t xml:space="preserve"> gemäß der o.g. Logik zur Verbesserung der </w:t>
      </w:r>
      <w:r w:rsidRPr="002D23C3">
        <w:t>kumulierten absoluten Netzkontoabweichung</w:t>
      </w:r>
      <w:r w:rsidRPr="00310370">
        <w:t xml:space="preserve"> </w:t>
      </w:r>
      <w:r w:rsidRPr="003754F1">
        <w:t>implementiert werden.</w:t>
      </w:r>
    </w:p>
    <w:p w14:paraId="5082C963" w14:textId="77777777" w:rsidR="00EE541B" w:rsidRDefault="00EE541B" w:rsidP="00EE541B">
      <w:pPr>
        <w:ind w:left="567"/>
      </w:pPr>
      <w:r>
        <w:t>Beispiel 3:</w:t>
      </w:r>
    </w:p>
    <w:p w14:paraId="4474C750" w14:textId="04EA88E5" w:rsidR="00EE541B" w:rsidRPr="000D1DC3" w:rsidRDefault="00EE541B" w:rsidP="000D1C90">
      <w:r>
        <w:t xml:space="preserve">NB C könnte im Betrachtungsjahr 1 seine </w:t>
      </w:r>
      <w:r w:rsidRPr="00310370">
        <w:t>kumulierte absolute Netzkontoabweichung um 4</w:t>
      </w:r>
      <w:r w:rsidR="00213172">
        <w:t xml:space="preserve"> </w:t>
      </w:r>
      <w:r w:rsidRPr="00310370">
        <w:t>% und im Betrachtungsjahr 2 um 13</w:t>
      </w:r>
      <w:r w:rsidR="00213172">
        <w:t xml:space="preserve"> </w:t>
      </w:r>
      <w:r w:rsidRPr="00310370">
        <w:t xml:space="preserve">% verbessern. Im Durchschnitt über die zwei Jahre betrachtet, liegt das Verbesserungspotenzial der kumulierten absoluten Netzkontoabweichung </w:t>
      </w:r>
      <w:r>
        <w:t xml:space="preserve">bei </w:t>
      </w:r>
      <w:r w:rsidRPr="00310370">
        <w:t>unter 10</w:t>
      </w:r>
      <w:r w:rsidR="00213172">
        <w:t xml:space="preserve"> </w:t>
      </w:r>
      <w:r w:rsidRPr="00310370">
        <w:t>%</w:t>
      </w:r>
      <w:r>
        <w:t>.</w:t>
      </w:r>
      <w:r w:rsidRPr="00310370">
        <w:t xml:space="preserve"> </w:t>
      </w:r>
      <w:r>
        <w:t>D</w:t>
      </w:r>
      <w:r w:rsidRPr="00310370">
        <w:t>aher müssen keine Maßnahmen gemäß der o.g. Logik zur Verbesserung der kumulierten absoluten Netzkontoabweichung implementiert werden.</w:t>
      </w:r>
      <w:r>
        <w:t xml:space="preserve"> Zweifelt der </w:t>
      </w:r>
      <w:r w:rsidR="00CC6FEE">
        <w:t xml:space="preserve">MGV </w:t>
      </w:r>
      <w:r>
        <w:t xml:space="preserve">die Inhalte und / oder Ergebnisse der Prüfung an und können diese Zweifel nicht ausgeräumt werden, so stimmen sich der Netzbetreiber und der </w:t>
      </w:r>
      <w:r w:rsidR="00CC6FEE">
        <w:t xml:space="preserve">MGV </w:t>
      </w:r>
      <w:r>
        <w:t xml:space="preserve">über einen unabhängigen Sachverständigen ab, damit dieser die Ergebnisse der Prüfung überprüft. Der </w:t>
      </w:r>
      <w:r w:rsidR="00CC6FEE">
        <w:t xml:space="preserve">MGV </w:t>
      </w:r>
      <w:r>
        <w:t xml:space="preserve">trägt die Kosten </w:t>
      </w:r>
      <w:r>
        <w:lastRenderedPageBreak/>
        <w:t>für die Beauftragung dieses unabhängigen Sachverständigen, sofern der Sachverständige die Richtigkeit der Prüfung bestätigt; ansonsten trägt der Netzbetreiber die Kosten.</w:t>
      </w:r>
      <w:r w:rsidRPr="000D1DC3">
        <w:t xml:space="preserve"> </w:t>
      </w:r>
      <w:r>
        <w:t>Für den Fall, dass der Sachverständige die Richtigkeit der Prüfung nicht bestätigt, ist der Netzbetreiber verpflichtet, unverzüglich eine erneute Prüfung durchzuführen.</w:t>
      </w:r>
    </w:p>
    <w:p w14:paraId="4F0F1490" w14:textId="292747E1" w:rsidR="00EE541B" w:rsidRDefault="00EE541B" w:rsidP="000D1C90">
      <w:r>
        <w:t xml:space="preserve">Hat der Netzbetreiber ausreichend dargelegt, dass eine Verbesserung strukturell </w:t>
      </w:r>
      <w:proofErr w:type="gramStart"/>
      <w:r>
        <w:t>bedingt</w:t>
      </w:r>
      <w:proofErr w:type="gramEnd"/>
      <w:r>
        <w:t xml:space="preserve"> nicht möglich ist und wurde dies vom </w:t>
      </w:r>
      <w:r w:rsidR="00CC6FEE">
        <w:t xml:space="preserve">MGV </w:t>
      </w:r>
      <w:r>
        <w:t>akzeptiert, so gilt dieses Ergebnis für die beiden folgenden Kalenderjahre, sofern sich diese strukturellen Bedingungen nicht geändert haben.</w:t>
      </w:r>
    </w:p>
    <w:p w14:paraId="1094C39D" w14:textId="69FB3A33" w:rsidR="00EE541B" w:rsidRDefault="00EE541B" w:rsidP="000D1C90">
      <w:r>
        <w:t xml:space="preserve">Kommt der Netzbetreiber der Pflicht zur Prüfung und Vorlage der Ergebnisse nicht oder nicht ausreichend nach oder werden die Maßnahmen zur Verbesserung entsprechend des durch die Prüfung festgestellten </w:t>
      </w:r>
      <w:r w:rsidRPr="004661CC">
        <w:t xml:space="preserve">signifikanten und nachhalten Verbesserungspotentials </w:t>
      </w:r>
      <w:r>
        <w:t xml:space="preserve">nicht innerhalb der vorgesehenen oder vereinbarten Implementierungsfrist umgesetzt, erhebt der </w:t>
      </w:r>
      <w:r w:rsidR="00CC6FEE">
        <w:t xml:space="preserve">MGV </w:t>
      </w:r>
      <w:proofErr w:type="gramStart"/>
      <w:r>
        <w:t>eine Pönale</w:t>
      </w:r>
      <w:proofErr w:type="gramEnd"/>
      <w:r>
        <w:t xml:space="preserve">, die vom betroffenen Netzbetreiber innerhalb von 10 Werktagen nach Zugang der Abrechnung des </w:t>
      </w:r>
      <w:r w:rsidR="00CC6FEE">
        <w:t xml:space="preserve">MGV </w:t>
      </w:r>
      <w:r>
        <w:t>zu entrichten ist. Die Höhe der Pönalzahlung bemisst sich an der kalenderjährlichen SLP-Ausspeiseallokation des betroffenen Netzbetreibers im Betrachtungsjahr:</w:t>
      </w:r>
    </w:p>
    <w:p w14:paraId="362115B5" w14:textId="77777777" w:rsidR="00EE541B" w:rsidRPr="00014CFF" w:rsidRDefault="00EE541B" w:rsidP="00EE541B">
      <w:r>
        <w:t xml:space="preserve">Bis einschließlich </w:t>
      </w:r>
      <w:r w:rsidRPr="00014CFF">
        <w:t>100 Mio. kWh:</w:t>
      </w:r>
      <w:r w:rsidRPr="00014CFF">
        <w:tab/>
      </w:r>
      <w:r w:rsidRPr="00014CFF">
        <w:tab/>
      </w:r>
      <w:r>
        <w:tab/>
      </w:r>
      <w:r>
        <w:tab/>
      </w:r>
      <w:r w:rsidRPr="00014CFF">
        <w:t>3.000 EUR</w:t>
      </w:r>
    </w:p>
    <w:p w14:paraId="2E4A9905" w14:textId="44FD9A64" w:rsidR="00EE541B" w:rsidRPr="00640FFB" w:rsidRDefault="00EE541B" w:rsidP="00EE541B">
      <w:r w:rsidRPr="00640FFB">
        <w:t xml:space="preserve">Von </w:t>
      </w:r>
      <w:r w:rsidR="0099445C" w:rsidRPr="0099445C">
        <w:rPr>
          <w:rFonts w:cs="Arial"/>
        </w:rPr>
        <w:t>&gt;</w:t>
      </w:r>
      <w:r w:rsidR="0099445C" w:rsidRPr="002212DD">
        <w:rPr>
          <w:rFonts w:cs="Arial"/>
          <w:sz w:val="24"/>
          <w:szCs w:val="24"/>
        </w:rPr>
        <w:t xml:space="preserve"> </w:t>
      </w:r>
      <w:r w:rsidRPr="00640FFB">
        <w:t>100</w:t>
      </w:r>
      <w:r>
        <w:t xml:space="preserve"> Mio. kWh bis einschließlich </w:t>
      </w:r>
      <w:r w:rsidR="000D1C90">
        <w:t>175 Mio. kWh:</w:t>
      </w:r>
      <w:r w:rsidR="000D1C90">
        <w:tab/>
      </w:r>
      <w:r w:rsidRPr="00640FFB">
        <w:t>5.000 EUR</w:t>
      </w:r>
    </w:p>
    <w:p w14:paraId="7EDD2D9A" w14:textId="297EF5CE" w:rsidR="00EE541B" w:rsidRPr="000C63CB" w:rsidRDefault="00EE541B" w:rsidP="00EE541B">
      <w:r w:rsidRPr="000C63CB">
        <w:t xml:space="preserve">Von </w:t>
      </w:r>
      <w:r w:rsidR="0099445C" w:rsidRPr="000C63CB">
        <w:t xml:space="preserve">&gt; </w:t>
      </w:r>
      <w:r w:rsidRPr="000C63CB">
        <w:t>175 Mio. kWh bis einschließlich 2</w:t>
      </w:r>
      <w:r w:rsidR="000D1C90" w:rsidRPr="000C63CB">
        <w:t>50 Mio. kWh:</w:t>
      </w:r>
      <w:r w:rsidR="000D1C90" w:rsidRPr="000C63CB">
        <w:tab/>
      </w:r>
      <w:r w:rsidRPr="000C63CB">
        <w:t>7.500 EUR</w:t>
      </w:r>
    </w:p>
    <w:p w14:paraId="062B7684" w14:textId="4A43133E" w:rsidR="00EE541B" w:rsidRPr="000C63CB" w:rsidRDefault="00EE541B" w:rsidP="00EE541B">
      <w:r w:rsidRPr="000C63CB">
        <w:t xml:space="preserve">Von </w:t>
      </w:r>
      <w:r w:rsidR="0099445C" w:rsidRPr="000C63CB">
        <w:t xml:space="preserve">&gt; </w:t>
      </w:r>
      <w:r w:rsidRPr="000C63CB">
        <w:t xml:space="preserve">250 Mio. kWh bis einschließlich 1.000 Mio. </w:t>
      </w:r>
      <w:r w:rsidR="00A46009" w:rsidRPr="000C63CB">
        <w:t>kWh:</w:t>
      </w:r>
      <w:r w:rsidR="00A46009" w:rsidRPr="000C63CB">
        <w:tab/>
      </w:r>
      <w:r w:rsidRPr="000C63CB">
        <w:t>10.000 EUR</w:t>
      </w:r>
    </w:p>
    <w:p w14:paraId="4C6E6C4F" w14:textId="0F6498D2" w:rsidR="00EE541B" w:rsidRPr="00014CFF" w:rsidRDefault="00EE541B" w:rsidP="00EE541B">
      <w:r>
        <w:t xml:space="preserve">Von </w:t>
      </w:r>
      <w:r w:rsidR="0099445C">
        <w:t xml:space="preserve">&gt; </w:t>
      </w:r>
      <w:r>
        <w:t>1.000 Mio. kWh bis einschl</w:t>
      </w:r>
      <w:r w:rsidR="00A46009">
        <w:t>ießlich 5.000 Mio. kWh:</w:t>
      </w:r>
      <w:r w:rsidR="00A46009">
        <w:tab/>
      </w:r>
      <w:r w:rsidRPr="00014CFF">
        <w:t>15.000 EUR</w:t>
      </w:r>
    </w:p>
    <w:p w14:paraId="433E020B" w14:textId="029CFC42" w:rsidR="00EE541B" w:rsidRPr="007D3188" w:rsidRDefault="00EE541B" w:rsidP="00EE541B">
      <w:pPr>
        <w:spacing w:after="0" w:line="240" w:lineRule="auto"/>
        <w:rPr>
          <w:rFonts w:ascii="Calibri" w:hAnsi="Calibri" w:cs="Calibri"/>
        </w:rPr>
      </w:pPr>
      <w:r>
        <w:t xml:space="preserve">Ab </w:t>
      </w:r>
      <w:r w:rsidR="0099445C">
        <w:t xml:space="preserve">&gt; </w:t>
      </w:r>
      <w:r>
        <w:t>5.</w:t>
      </w:r>
      <w:r w:rsidRPr="00014CFF">
        <w:t>000 Mio. kWh:</w:t>
      </w:r>
      <w:r w:rsidRPr="00014CFF">
        <w:tab/>
      </w:r>
      <w:r w:rsidR="00A46009">
        <w:tab/>
      </w:r>
      <w:r w:rsidR="00A46009">
        <w:tab/>
      </w:r>
      <w:r w:rsidR="00A46009">
        <w:tab/>
      </w:r>
      <w:r w:rsidR="00A46009">
        <w:tab/>
      </w:r>
      <w:r w:rsidRPr="00014CFF">
        <w:t>20.000 EUR</w:t>
      </w:r>
    </w:p>
    <w:p w14:paraId="3CE136B0" w14:textId="5E675907" w:rsidR="00EE541B" w:rsidRDefault="00EE541B" w:rsidP="00EE541B"/>
    <w:p w14:paraId="3DCF3A1C" w14:textId="264F88A3" w:rsidR="00CC6FEE" w:rsidRDefault="00CC6FEE" w:rsidP="00EE541B">
      <w:r>
        <w:t xml:space="preserve">Der Marktgebietsverantwortliche übermittelt die Abrechnung in Form von elektronischen Rechnungen gem. </w:t>
      </w:r>
      <w:r w:rsidR="00815124">
        <w:t>§ </w:t>
      </w:r>
      <w:r>
        <w:t>14 Abs. 1 Satz 8 UstG.</w:t>
      </w:r>
    </w:p>
    <w:p w14:paraId="26FBDDD9" w14:textId="7521D77C" w:rsidR="00EE541B" w:rsidRPr="004661CC" w:rsidRDefault="00EE541B" w:rsidP="00EE541B">
      <w:r>
        <w:t xml:space="preserve">Der </w:t>
      </w:r>
      <w:r w:rsidR="00CC6FEE">
        <w:t xml:space="preserve">MGV </w:t>
      </w:r>
      <w:r>
        <w:t xml:space="preserve">erfasst die entsprechenden Erlöspositionen auf dem SLP-Bilanzierungsumlagekonto, meldet die betroffenen Netzbetreiber an die Bundesnetzagentur und veröffentlicht </w:t>
      </w:r>
      <w:r w:rsidR="0099445C" w:rsidRPr="001964E8">
        <w:rPr>
          <w:rFonts w:cs="Arial"/>
        </w:rPr>
        <w:t>für den betroffenen Betrachtungszeitraum</w:t>
      </w:r>
      <w:r w:rsidR="0099445C" w:rsidRPr="001964E8">
        <w:rPr>
          <w:rFonts w:cs="Arial"/>
          <w:sz w:val="24"/>
          <w:szCs w:val="24"/>
        </w:rPr>
        <w:t xml:space="preserve"> </w:t>
      </w:r>
      <w:r>
        <w:t xml:space="preserve">die Namen der pönalisierten Netzbetreiber unter Angabe des Grundes der Pönalisierung auf seiner Internetseite. Darüber hinaus erstellt und veröffentlicht der </w:t>
      </w:r>
      <w:r w:rsidR="00E713F0">
        <w:t xml:space="preserve">MGV </w:t>
      </w:r>
      <w:r>
        <w:t>einmal pro Jahr einen Kurzbericht über die in diesem Kapitel beschriebenen Vorgänge auf seiner Internetseite</w:t>
      </w:r>
      <w:r w:rsidRPr="004661CC">
        <w:t>. In diesem Bericht sind folgende Informationen darzustellen:</w:t>
      </w:r>
    </w:p>
    <w:p w14:paraId="277A947E" w14:textId="77777777" w:rsidR="00EE541B" w:rsidRPr="004661CC" w:rsidRDefault="00EE541B" w:rsidP="007F76BC">
      <w:pPr>
        <w:pStyle w:val="Listenabsatz"/>
        <w:numPr>
          <w:ilvl w:val="0"/>
          <w:numId w:val="66"/>
        </w:numPr>
        <w:spacing w:before="120"/>
        <w:ind w:left="425" w:hanging="357"/>
        <w:contextualSpacing w:val="0"/>
      </w:pPr>
      <w:r w:rsidRPr="004661CC">
        <w:t>Grenzwerte der 10 %Quantile je Größengruppe</w:t>
      </w:r>
    </w:p>
    <w:p w14:paraId="249F6444" w14:textId="77777777" w:rsidR="00EE541B" w:rsidRPr="004661CC" w:rsidRDefault="00EE541B" w:rsidP="007F76BC">
      <w:pPr>
        <w:pStyle w:val="Listenabsatz"/>
        <w:numPr>
          <w:ilvl w:val="0"/>
          <w:numId w:val="66"/>
        </w:numPr>
        <w:spacing w:before="120"/>
        <w:ind w:left="425" w:hanging="357"/>
        <w:contextualSpacing w:val="0"/>
      </w:pPr>
      <w:r w:rsidRPr="004661CC">
        <w:t>Anzahl der angeschriebenen Netzbetreiber</w:t>
      </w:r>
    </w:p>
    <w:p w14:paraId="11D64AEA" w14:textId="77777777" w:rsidR="00EE541B" w:rsidRPr="004661CC" w:rsidRDefault="00EE541B" w:rsidP="007F76BC">
      <w:pPr>
        <w:pStyle w:val="Listenabsatz"/>
        <w:numPr>
          <w:ilvl w:val="0"/>
          <w:numId w:val="66"/>
        </w:numPr>
        <w:spacing w:before="120"/>
        <w:ind w:left="425" w:hanging="357"/>
        <w:contextualSpacing w:val="0"/>
      </w:pPr>
      <w:r w:rsidRPr="004661CC">
        <w:t>Anzahl der Netzbetreiber, für die ein signifikantes und nachhaltiges Verbesserungspotenzial ermittelt werden konnte</w:t>
      </w:r>
    </w:p>
    <w:p w14:paraId="6504AE0D" w14:textId="77777777" w:rsidR="00EE541B" w:rsidRPr="004661CC" w:rsidRDefault="00EE541B" w:rsidP="007F76BC">
      <w:pPr>
        <w:pStyle w:val="Listenabsatz"/>
        <w:numPr>
          <w:ilvl w:val="0"/>
          <w:numId w:val="66"/>
        </w:numPr>
        <w:spacing w:before="120"/>
        <w:ind w:left="425" w:hanging="357"/>
        <w:contextualSpacing w:val="0"/>
      </w:pPr>
      <w:r w:rsidRPr="004661CC">
        <w:lastRenderedPageBreak/>
        <w:t>Anonymisierte Information über das identifizierte relative und absolute signifikante und nachhaltige Verbesserungspotenzial je Netzbetreiber</w:t>
      </w:r>
    </w:p>
    <w:p w14:paraId="7F9607A7" w14:textId="1AA7FC83" w:rsidR="00EE541B" w:rsidRPr="004661CC" w:rsidRDefault="00EE541B" w:rsidP="007F76BC">
      <w:pPr>
        <w:pStyle w:val="Listenabsatz"/>
        <w:numPr>
          <w:ilvl w:val="0"/>
          <w:numId w:val="66"/>
        </w:numPr>
        <w:spacing w:before="120"/>
        <w:ind w:left="425" w:hanging="357"/>
        <w:contextualSpacing w:val="0"/>
      </w:pPr>
      <w:r w:rsidRPr="004661CC">
        <w:t>Identifizierte Verbesserungsansätze</w:t>
      </w:r>
    </w:p>
    <w:p w14:paraId="39B09731" w14:textId="77777777" w:rsidR="00EE541B" w:rsidRPr="004661CC" w:rsidRDefault="00EE541B" w:rsidP="007F76BC">
      <w:pPr>
        <w:pStyle w:val="Listenabsatz"/>
        <w:numPr>
          <w:ilvl w:val="0"/>
          <w:numId w:val="66"/>
        </w:numPr>
        <w:spacing w:before="120"/>
        <w:ind w:left="425" w:hanging="357"/>
        <w:contextualSpacing w:val="0"/>
      </w:pPr>
      <w:r w:rsidRPr="004661CC">
        <w:t xml:space="preserve">Anonymisiert die kumulierten absoluten Netzkontoabweichungen der Netzkonten </w:t>
      </w:r>
      <w:r>
        <w:t>der letzten</w:t>
      </w:r>
      <w:r w:rsidRPr="004661CC">
        <w:t xml:space="preserve"> zwei Jahre</w:t>
      </w:r>
    </w:p>
    <w:p w14:paraId="55F86350" w14:textId="51A88118" w:rsidR="00FA58B2" w:rsidRDefault="00EE541B" w:rsidP="0023173F">
      <w:pPr>
        <w:rPr>
          <w:rFonts w:cs="Arial"/>
        </w:rPr>
      </w:pPr>
      <w:r>
        <w:t>Die Fernleitungsnetzbetreiber sind von dieser Thematik ausgenommen.</w:t>
      </w:r>
      <w:bookmarkStart w:id="2950" w:name="_Toc285390053"/>
      <w:bookmarkStart w:id="2951" w:name="_Toc285686829"/>
      <w:bookmarkStart w:id="2952" w:name="_Toc285686972"/>
      <w:bookmarkStart w:id="2953" w:name="_PictureBullets"/>
      <w:bookmarkEnd w:id="2746"/>
      <w:bookmarkEnd w:id="2747"/>
      <w:bookmarkEnd w:id="2748"/>
      <w:bookmarkEnd w:id="2749"/>
      <w:bookmarkEnd w:id="2750"/>
      <w:bookmarkEnd w:id="2751"/>
      <w:bookmarkEnd w:id="2752"/>
      <w:bookmarkEnd w:id="2950"/>
      <w:bookmarkEnd w:id="2951"/>
      <w:bookmarkEnd w:id="2952"/>
      <w:bookmarkEnd w:id="2953"/>
    </w:p>
    <w:sectPr w:rsidR="00FA58B2" w:rsidSect="00C8173A">
      <w:footerReference w:type="first" r:id="rId235"/>
      <w:type w:val="continuous"/>
      <w:pgSz w:w="11906" w:h="16838" w:code="9"/>
      <w:pgMar w:top="1418" w:right="1418" w:bottom="136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CF89E" w14:textId="77777777" w:rsidR="00696368" w:rsidRDefault="00696368">
      <w:r>
        <w:separator/>
      </w:r>
    </w:p>
    <w:p w14:paraId="18EABD49" w14:textId="77777777" w:rsidR="00696368" w:rsidRDefault="00696368"/>
  </w:endnote>
  <w:endnote w:type="continuationSeparator" w:id="0">
    <w:p w14:paraId="596A7AEC" w14:textId="77777777" w:rsidR="00696368" w:rsidRDefault="00696368">
      <w:r>
        <w:continuationSeparator/>
      </w:r>
    </w:p>
    <w:p w14:paraId="64FAA11A" w14:textId="77777777" w:rsidR="00696368" w:rsidRDefault="00696368"/>
  </w:endnote>
  <w:endnote w:type="continuationNotice" w:id="1">
    <w:p w14:paraId="5DDEC62C" w14:textId="77777777" w:rsidR="00696368" w:rsidRDefault="00696368">
      <w:pPr>
        <w:spacing w:after="0" w:line="240" w:lineRule="auto"/>
      </w:pPr>
    </w:p>
    <w:p w14:paraId="46656C69" w14:textId="77777777" w:rsidR="00696368" w:rsidRDefault="00696368"/>
    <w:p w14:paraId="3BFCDD99" w14:textId="77777777" w:rsidR="00696368" w:rsidRDefault="00696368">
      <w:r>
        <w:rPr>
          <w:rStyle w:val="Seitenzahl"/>
        </w:rPr>
        <w:t xml:space="preserve">PAGE  </w:t>
      </w:r>
    </w:p>
    <w:p w14:paraId="6ECE0E2C" w14:textId="77777777" w:rsidR="00696368" w:rsidRDefault="00696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7679" w14:textId="62EEA568" w:rsidR="0095266D" w:rsidRDefault="0095266D" w:rsidP="002B5794">
    <w:pPr>
      <w:pStyle w:val="Fuzeile"/>
    </w:pPr>
    <w:r>
      <w:t xml:space="preserve">BDEW/VKU/GEODE-Leitfaden „Bilanzkreismanagement Gas, Teil 1“, Stand </w:t>
    </w:r>
    <w:r w:rsidR="00AF5C81">
      <w:t>12.08</w:t>
    </w:r>
    <w:r>
      <w:t>.2022</w:t>
    </w:r>
    <w:r>
      <w:tab/>
    </w:r>
    <w:r>
      <w:rPr>
        <w:noProof/>
      </w:rPr>
      <w:fldChar w:fldCharType="begin"/>
    </w:r>
    <w:r>
      <w:rPr>
        <w:noProof/>
      </w:rPr>
      <w:instrText>PAGE   \* MERGEFORMAT</w:instrText>
    </w:r>
    <w:r>
      <w:rPr>
        <w:noProof/>
      </w:rPr>
      <w:fldChar w:fldCharType="separate"/>
    </w:r>
    <w:r>
      <w:rPr>
        <w:noProof/>
      </w:rPr>
      <w:t>31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F159DC6" w14:paraId="57345C8A" w14:textId="77777777" w:rsidTr="00E62FB0">
      <w:tc>
        <w:tcPr>
          <w:tcW w:w="3020" w:type="dxa"/>
        </w:tcPr>
        <w:p w14:paraId="0CF621E0" w14:textId="1DA5888D" w:rsidR="5F159DC6" w:rsidRDefault="5F159DC6" w:rsidP="00E62FB0">
          <w:pPr>
            <w:pStyle w:val="Kopfzeile"/>
            <w:ind w:left="-115"/>
            <w:rPr>
              <w:szCs w:val="24"/>
            </w:rPr>
          </w:pPr>
        </w:p>
      </w:tc>
      <w:tc>
        <w:tcPr>
          <w:tcW w:w="3020" w:type="dxa"/>
        </w:tcPr>
        <w:p w14:paraId="463B2D09" w14:textId="1E9B3910" w:rsidR="5F159DC6" w:rsidRDefault="5F159DC6" w:rsidP="00E62FB0">
          <w:pPr>
            <w:pStyle w:val="Kopfzeile"/>
            <w:jc w:val="center"/>
            <w:rPr>
              <w:szCs w:val="24"/>
            </w:rPr>
          </w:pPr>
        </w:p>
      </w:tc>
      <w:tc>
        <w:tcPr>
          <w:tcW w:w="3020" w:type="dxa"/>
        </w:tcPr>
        <w:p w14:paraId="1D036CFD" w14:textId="438E5447" w:rsidR="5F159DC6" w:rsidRDefault="5F159DC6" w:rsidP="00E62FB0">
          <w:pPr>
            <w:pStyle w:val="Kopfzeile"/>
            <w:ind w:right="-115"/>
            <w:jc w:val="right"/>
            <w:rPr>
              <w:szCs w:val="24"/>
            </w:rPr>
          </w:pPr>
        </w:p>
      </w:tc>
    </w:tr>
  </w:tbl>
  <w:p w14:paraId="3A528AA7" w14:textId="0643292E" w:rsidR="004D4E8F" w:rsidRDefault="004D4E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8654" w14:textId="77777777" w:rsidR="0095266D" w:rsidRPr="005C4E5C" w:rsidRDefault="0095266D" w:rsidP="005C4E5C">
    <w:pPr>
      <w:pStyle w:val="Fuzeile"/>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A6005" w14:textId="77777777" w:rsidR="00696368" w:rsidRDefault="00696368">
      <w:r>
        <w:separator/>
      </w:r>
    </w:p>
    <w:p w14:paraId="4AB28605" w14:textId="77777777" w:rsidR="00696368" w:rsidRDefault="00696368"/>
  </w:footnote>
  <w:footnote w:type="continuationSeparator" w:id="0">
    <w:p w14:paraId="5F8159BD" w14:textId="77777777" w:rsidR="00696368" w:rsidRDefault="00696368">
      <w:r>
        <w:continuationSeparator/>
      </w:r>
    </w:p>
    <w:p w14:paraId="005C8D58" w14:textId="77777777" w:rsidR="00696368" w:rsidRDefault="00696368"/>
  </w:footnote>
  <w:footnote w:type="continuationNotice" w:id="1">
    <w:p w14:paraId="1807151A" w14:textId="77777777" w:rsidR="00696368" w:rsidRDefault="00696368">
      <w:pPr>
        <w:spacing w:after="0" w:line="240" w:lineRule="auto"/>
      </w:pPr>
    </w:p>
    <w:p w14:paraId="62C15199" w14:textId="77777777" w:rsidR="00696368" w:rsidRDefault="00696368"/>
  </w:footnote>
  <w:footnote w:id="2">
    <w:p w14:paraId="209D4BCA" w14:textId="77777777" w:rsidR="0095266D" w:rsidRPr="00C83A56" w:rsidRDefault="0095266D" w:rsidP="00A46009">
      <w:pPr>
        <w:pStyle w:val="Funotentext"/>
        <w:keepLines/>
        <w:rPr>
          <w:sz w:val="20"/>
        </w:rPr>
      </w:pPr>
      <w:r>
        <w:rPr>
          <w:rStyle w:val="Funotenzeichen"/>
        </w:rPr>
        <w:footnoteRef/>
      </w:r>
      <w:r>
        <w:t xml:space="preserve"> </w:t>
      </w:r>
      <w:r w:rsidRPr="00C83A56">
        <w:rPr>
          <w:sz w:val="20"/>
        </w:rPr>
        <w:t xml:space="preserve">Für die Institute Ausspeisepunkt, Zählpunkt, Lieferstelle sowie Messstelle wurden auf Grundlage der BNetzA BK7 -16-142 </w:t>
      </w:r>
      <w:proofErr w:type="spellStart"/>
      <w:r w:rsidRPr="00C83A56">
        <w:rPr>
          <w:sz w:val="20"/>
        </w:rPr>
        <w:t>GeLi</w:t>
      </w:r>
      <w:proofErr w:type="spellEnd"/>
      <w:r w:rsidRPr="00C83A56">
        <w:rPr>
          <w:sz w:val="20"/>
        </w:rPr>
        <w:t xml:space="preserve"> Gas zur Anpassung der elektronischen Marktkommunikation, die Begrifflichkeiten der Marktlokation sowie der Messlokation eingeführt. Ziel der Begrifflichkeiten ist es, ein einheitliches Verständnis der prozessrelevanten Institute zu erhalten. Die Marktlokation stellt in diesem Zusammenhang stets die kaufmännisch bilanzielle Größe, die Messlokation eine technische Größe dar.</w:t>
      </w:r>
    </w:p>
  </w:footnote>
  <w:footnote w:id="3">
    <w:p w14:paraId="4D713B28" w14:textId="77777777" w:rsidR="0095266D" w:rsidRPr="00C83A56" w:rsidRDefault="0095266D">
      <w:pPr>
        <w:pStyle w:val="Funotentext"/>
        <w:rPr>
          <w:sz w:val="20"/>
        </w:rPr>
      </w:pPr>
      <w:r>
        <w:rPr>
          <w:rStyle w:val="Funotenzeichen"/>
        </w:rPr>
        <w:footnoteRef/>
      </w:r>
      <w:r>
        <w:t xml:space="preserve"> </w:t>
      </w:r>
      <w:r w:rsidRPr="00C83A56">
        <w:rPr>
          <w:sz w:val="20"/>
        </w:rPr>
        <w:t xml:space="preserve">Für die Institute Ausspeisepunkt, Zählpunkt, Lieferstelle sowie Messstelle wurden auf Grundlage der BNetzA BK7 -16-142 </w:t>
      </w:r>
      <w:proofErr w:type="spellStart"/>
      <w:r w:rsidRPr="00C83A56">
        <w:rPr>
          <w:sz w:val="20"/>
        </w:rPr>
        <w:t>GeLi</w:t>
      </w:r>
      <w:proofErr w:type="spellEnd"/>
      <w:r w:rsidRPr="00C83A56">
        <w:rPr>
          <w:sz w:val="20"/>
        </w:rPr>
        <w:t xml:space="preserve"> Gas zur Anpassung der elektronischen Marktkommunikation, die Begrifflichkeiten der Marktlokation sowie der Messlokation eingeführt. Ziel der Begrifflichkeiten ist es, ein einheitliches Verständnis der prozessrelevanten Institute zu erhalten. Die Marktlokation stellt in diesem Zusammenhang stets die kaufmännisch bilanzielle Größe, die Messlokation eine technische Größe dar.</w:t>
      </w:r>
    </w:p>
  </w:footnote>
  <w:footnote w:id="4">
    <w:p w14:paraId="56DB83E1" w14:textId="106C9A6B" w:rsidR="00B257F4" w:rsidRDefault="00B257F4">
      <w:pPr>
        <w:pStyle w:val="Funotentext"/>
      </w:pPr>
      <w:r w:rsidRPr="00CE763B">
        <w:rPr>
          <w:rStyle w:val="Funotenzeichen"/>
        </w:rPr>
        <w:footnoteRef/>
      </w:r>
      <w:r w:rsidRPr="00CE763B">
        <w:t xml:space="preserve"> Ab </w:t>
      </w:r>
      <w:r w:rsidR="00FA6825">
        <w:t xml:space="preserve">dem </w:t>
      </w:r>
      <w:r w:rsidRPr="00CE763B">
        <w:t>Zeitpunkt der Anwendbarkeit</w:t>
      </w:r>
    </w:p>
  </w:footnote>
  <w:footnote w:id="5">
    <w:p w14:paraId="62B10EFF" w14:textId="5D61CA59" w:rsidR="00B257F4" w:rsidRDefault="00B257F4">
      <w:pPr>
        <w:pStyle w:val="Funotentext"/>
      </w:pPr>
      <w:r w:rsidRPr="00A437B2">
        <w:rPr>
          <w:rStyle w:val="Funotenzeichen"/>
        </w:rPr>
        <w:footnoteRef/>
      </w:r>
      <w:r w:rsidRPr="00A437B2">
        <w:t xml:space="preserve"> </w:t>
      </w:r>
      <w:r w:rsidRPr="00CE763B">
        <w:t xml:space="preserve">Ab </w:t>
      </w:r>
      <w:r w:rsidR="00FA6825">
        <w:t xml:space="preserve">dem </w:t>
      </w:r>
      <w:r w:rsidRPr="00CE763B">
        <w:t>Zeitpunkt der Anwendbarkeit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670" w14:textId="166F1B3A" w:rsidR="0095266D" w:rsidRDefault="0095266D">
    <w:pPr>
      <w:pStyle w:val="Kopfzeile"/>
    </w:pPr>
    <w:r>
      <w:rPr>
        <w:noProof/>
      </w:rPr>
      <w:drawing>
        <wp:anchor distT="0" distB="467995" distL="114300" distR="114300" simplePos="0" relativeHeight="251658245" behindDoc="0" locked="0" layoutInCell="1" allowOverlap="1" wp14:anchorId="73E2A2D4" wp14:editId="449611BC">
          <wp:simplePos x="0" y="0"/>
          <wp:positionH relativeFrom="page">
            <wp:posOffset>3257550</wp:posOffset>
          </wp:positionH>
          <wp:positionV relativeFrom="page">
            <wp:posOffset>327025</wp:posOffset>
          </wp:positionV>
          <wp:extent cx="734060" cy="869950"/>
          <wp:effectExtent l="0" t="0" r="8890" b="6350"/>
          <wp:wrapTopAndBottom/>
          <wp:docPr id="3"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
                  <a:srcRect/>
                  <a:stretch>
                    <a:fillRect/>
                  </a:stretch>
                </pic:blipFill>
                <pic:spPr bwMode="auto">
                  <a:xfrm>
                    <a:off x="0" y="0"/>
                    <a:ext cx="734060" cy="869950"/>
                  </a:xfrm>
                  <a:prstGeom prst="rect">
                    <a:avLst/>
                  </a:prstGeom>
                  <a:noFill/>
                  <a:ln w="9525">
                    <a:noFill/>
                    <a:miter lim="800000"/>
                    <a:headEnd/>
                    <a:tailEnd/>
                  </a:ln>
                </pic:spPr>
              </pic:pic>
            </a:graphicData>
          </a:graphic>
        </wp:anchor>
      </w:drawing>
    </w:r>
    <w:r>
      <w:rPr>
        <w:noProof/>
      </w:rPr>
      <w:drawing>
        <wp:anchor distT="0" distB="0" distL="114300" distR="114300" simplePos="0" relativeHeight="251658244" behindDoc="0" locked="0" layoutInCell="1" allowOverlap="1" wp14:anchorId="4D444BF4" wp14:editId="5022AECD">
          <wp:simplePos x="0" y="0"/>
          <wp:positionH relativeFrom="column">
            <wp:posOffset>1270</wp:posOffset>
          </wp:positionH>
          <wp:positionV relativeFrom="paragraph">
            <wp:posOffset>67945</wp:posOffset>
          </wp:positionV>
          <wp:extent cx="1250950" cy="755650"/>
          <wp:effectExtent l="19050" t="0" r="6350" b="0"/>
          <wp:wrapThrough wrapText="bothSides">
            <wp:wrapPolygon edited="0">
              <wp:start x="-329" y="0"/>
              <wp:lineTo x="-329" y="21237"/>
              <wp:lineTo x="21710" y="21237"/>
              <wp:lineTo x="21710" y="0"/>
              <wp:lineTo x="-329" y="0"/>
            </wp:wrapPolygon>
          </wp:wrapThrough>
          <wp:docPr id="4"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2" cstate="print"/>
                  <a:srcRect/>
                  <a:stretch>
                    <a:fillRect/>
                  </a:stretch>
                </pic:blipFill>
                <pic:spPr bwMode="auto">
                  <a:xfrm>
                    <a:off x="0" y="0"/>
                    <a:ext cx="1250950" cy="7556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B01E" w14:textId="784C7273" w:rsidR="0095266D" w:rsidRDefault="0095266D">
    <w:pPr>
      <w:pStyle w:val="Kopfzeile"/>
    </w:pPr>
    <w:r>
      <w:rPr>
        <w:noProof/>
      </w:rPr>
      <w:drawing>
        <wp:anchor distT="0" distB="467995" distL="114300" distR="114300" simplePos="0" relativeHeight="251658241" behindDoc="0" locked="0" layoutInCell="1" allowOverlap="1" wp14:anchorId="59CDE166" wp14:editId="09D939E0">
          <wp:simplePos x="0" y="0"/>
          <wp:positionH relativeFrom="page">
            <wp:posOffset>3378835</wp:posOffset>
          </wp:positionH>
          <wp:positionV relativeFrom="page">
            <wp:posOffset>415925</wp:posOffset>
          </wp:positionV>
          <wp:extent cx="749935" cy="887095"/>
          <wp:effectExtent l="0" t="0" r="0" b="8255"/>
          <wp:wrapTopAndBottom/>
          <wp:docPr id="6"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
                  <a:srcRect/>
                  <a:stretch>
                    <a:fillRect/>
                  </a:stretch>
                </pic:blipFill>
                <pic:spPr bwMode="auto">
                  <a:xfrm>
                    <a:off x="0" y="0"/>
                    <a:ext cx="749935" cy="887095"/>
                  </a:xfrm>
                  <a:prstGeom prst="rect">
                    <a:avLst/>
                  </a:prstGeom>
                  <a:noFill/>
                  <a:ln w="9525">
                    <a:noFill/>
                    <a:miter lim="800000"/>
                    <a:headEnd/>
                    <a:tailEnd/>
                  </a:ln>
                </pic:spPr>
              </pic:pic>
            </a:graphicData>
          </a:graphic>
        </wp:anchor>
      </w:drawing>
    </w:r>
    <w:r w:rsidRPr="00C23259">
      <w:rPr>
        <w:noProof/>
      </w:rPr>
      <w:drawing>
        <wp:anchor distT="0" distB="0" distL="114300" distR="114300" simplePos="0" relativeHeight="251658243" behindDoc="0" locked="0" layoutInCell="1" allowOverlap="1" wp14:anchorId="02DFBE3D" wp14:editId="48C336C9">
          <wp:simplePos x="0" y="0"/>
          <wp:positionH relativeFrom="column">
            <wp:posOffset>0</wp:posOffset>
          </wp:positionH>
          <wp:positionV relativeFrom="paragraph">
            <wp:posOffset>223520</wp:posOffset>
          </wp:positionV>
          <wp:extent cx="1250950" cy="749300"/>
          <wp:effectExtent l="19050" t="0" r="6350" b="0"/>
          <wp:wrapThrough wrapText="bothSides">
            <wp:wrapPolygon edited="0">
              <wp:start x="-329" y="0"/>
              <wp:lineTo x="-329" y="20868"/>
              <wp:lineTo x="21710" y="20868"/>
              <wp:lineTo x="21710" y="0"/>
              <wp:lineTo x="-329" y="0"/>
            </wp:wrapPolygon>
          </wp:wrapThrough>
          <wp:docPr id="7"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2" cstate="print"/>
                  <a:srcRect/>
                  <a:stretch>
                    <a:fillRect/>
                  </a:stretch>
                </pic:blipFill>
                <pic:spPr bwMode="auto">
                  <a:xfrm>
                    <a:off x="0" y="0"/>
                    <a:ext cx="1250950" cy="749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1E4976"/>
    <w:lvl w:ilvl="0">
      <w:start w:val="1"/>
      <w:numFmt w:val="decimal"/>
      <w:pStyle w:val="Listennumm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C0A31C"/>
    <w:lvl w:ilvl="0">
      <w:start w:val="1"/>
      <w:numFmt w:val="decimal"/>
      <w:pStyle w:val="Listennummer4"/>
      <w:lvlText w:val="%1.)"/>
      <w:lvlJc w:val="left"/>
      <w:pPr>
        <w:tabs>
          <w:tab w:val="num" w:pos="431"/>
        </w:tabs>
        <w:ind w:left="431" w:hanging="431"/>
      </w:pPr>
      <w:rPr>
        <w:rFonts w:cs="Times New Roman" w:hint="default"/>
      </w:rPr>
    </w:lvl>
  </w:abstractNum>
  <w:abstractNum w:abstractNumId="2" w15:restartNumberingAfterBreak="0">
    <w:nsid w:val="FFFFFF7E"/>
    <w:multiLevelType w:val="singleLevel"/>
    <w:tmpl w:val="E04E9852"/>
    <w:lvl w:ilvl="0">
      <w:start w:val="1"/>
      <w:numFmt w:val="lowerLetter"/>
      <w:pStyle w:val="Listennummer3"/>
      <w:lvlText w:val="%1)"/>
      <w:lvlJc w:val="left"/>
      <w:pPr>
        <w:tabs>
          <w:tab w:val="num" w:pos="431"/>
        </w:tabs>
        <w:ind w:left="431" w:hanging="431"/>
      </w:pPr>
      <w:rPr>
        <w:rFonts w:cs="Times New Roman" w:hint="default"/>
      </w:rPr>
    </w:lvl>
  </w:abstractNum>
  <w:abstractNum w:abstractNumId="3" w15:restartNumberingAfterBreak="0">
    <w:nsid w:val="FFFFFF7F"/>
    <w:multiLevelType w:val="singleLevel"/>
    <w:tmpl w:val="339A1B8A"/>
    <w:lvl w:ilvl="0">
      <w:start w:val="1"/>
      <w:numFmt w:val="upperRoman"/>
      <w:pStyle w:val="Listennummer2"/>
      <w:lvlText w:val="%1."/>
      <w:lvlJc w:val="left"/>
      <w:pPr>
        <w:tabs>
          <w:tab w:val="num" w:pos="431"/>
        </w:tabs>
        <w:ind w:left="431" w:hanging="431"/>
      </w:pPr>
      <w:rPr>
        <w:rFonts w:cs="Times New Roman" w:hint="default"/>
      </w:rPr>
    </w:lvl>
  </w:abstractNum>
  <w:abstractNum w:abstractNumId="4" w15:restartNumberingAfterBreak="0">
    <w:nsid w:val="FFFFFF88"/>
    <w:multiLevelType w:val="singleLevel"/>
    <w:tmpl w:val="CD9EBA1A"/>
    <w:lvl w:ilvl="0">
      <w:start w:val="1"/>
      <w:numFmt w:val="decimal"/>
      <w:pStyle w:val="Listennummer"/>
      <w:lvlText w:val="%1."/>
      <w:lvlJc w:val="left"/>
      <w:pPr>
        <w:tabs>
          <w:tab w:val="num" w:pos="360"/>
        </w:tabs>
        <w:ind w:left="360" w:hanging="360"/>
      </w:pPr>
      <w:rPr>
        <w:rFonts w:cs="Times New Roman"/>
      </w:rPr>
    </w:lvl>
  </w:abstractNum>
  <w:abstractNum w:abstractNumId="5" w15:restartNumberingAfterBreak="0">
    <w:nsid w:val="01124A11"/>
    <w:multiLevelType w:val="singleLevel"/>
    <w:tmpl w:val="6B5C0274"/>
    <w:lvl w:ilvl="0">
      <w:start w:val="1"/>
      <w:numFmt w:val="bullet"/>
      <w:pStyle w:val="Aufzhlungszeichen5"/>
      <w:lvlText w:val="-"/>
      <w:lvlJc w:val="left"/>
      <w:pPr>
        <w:tabs>
          <w:tab w:val="num" w:pos="431"/>
        </w:tabs>
        <w:ind w:left="431" w:hanging="431"/>
      </w:pPr>
      <w:rPr>
        <w:rFonts w:ascii="Arial" w:hAnsi="Arial" w:hint="default"/>
      </w:rPr>
    </w:lvl>
  </w:abstractNum>
  <w:abstractNum w:abstractNumId="6" w15:restartNumberingAfterBreak="0">
    <w:nsid w:val="01F77F81"/>
    <w:multiLevelType w:val="hybridMultilevel"/>
    <w:tmpl w:val="164CD63C"/>
    <w:lvl w:ilvl="0" w:tplc="544C7E46">
      <w:start w:val="1"/>
      <w:numFmt w:val="lowerLetter"/>
      <w:pStyle w:val="AlphabetischeListeGrobuchstaben"/>
      <w:lvlText w:val="%1)"/>
      <w:lvlJc w:val="left"/>
      <w:pPr>
        <w:ind w:left="360" w:hanging="360"/>
      </w:pPr>
      <w:rPr>
        <w:rFonts w:cs="Times New Roman" w:hint="default"/>
        <w:caps/>
      </w:rPr>
    </w:lvl>
    <w:lvl w:ilvl="1" w:tplc="2258E9E8">
      <w:start w:val="1"/>
      <w:numFmt w:val="bullet"/>
      <w:lvlText w:val=""/>
      <w:lvlJc w:val="left"/>
      <w:pPr>
        <w:tabs>
          <w:tab w:val="num" w:pos="1080"/>
        </w:tabs>
        <w:ind w:left="1080" w:hanging="360"/>
      </w:pPr>
      <w:rPr>
        <w:rFonts w:ascii="Wingdings" w:hAnsi="Wingdings" w:hint="default"/>
        <w:color w:val="808080"/>
      </w:rPr>
    </w:lvl>
    <w:lvl w:ilvl="2" w:tplc="0407001B">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7" w15:restartNumberingAfterBreak="0">
    <w:nsid w:val="024534E7"/>
    <w:multiLevelType w:val="hybridMultilevel"/>
    <w:tmpl w:val="7E82AEB0"/>
    <w:lvl w:ilvl="0" w:tplc="B9E66142">
      <w:numFmt w:val="bullet"/>
      <w:lvlText w:val="-"/>
      <w:lvlJc w:val="left"/>
      <w:pPr>
        <w:ind w:left="360" w:hanging="360"/>
      </w:pPr>
      <w:rPr>
        <w:rFonts w:ascii="Arial" w:eastAsia="Times New Roman" w:hAnsi="Arial" w:cs="Arial" w:hint="default"/>
        <w:color w:val="333333"/>
        <w:sz w:val="21"/>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36A2236"/>
    <w:multiLevelType w:val="multilevel"/>
    <w:tmpl w:val="E94A7AB2"/>
    <w:styleLink w:val="Gliederung2"/>
    <w:lvl w:ilvl="0">
      <w:start w:val="1"/>
      <w:numFmt w:val="decimal"/>
      <w:lvlText w:val="%1."/>
      <w:lvlJc w:val="left"/>
      <w:pPr>
        <w:tabs>
          <w:tab w:val="num" w:pos="567"/>
        </w:tabs>
        <w:ind w:left="567" w:hanging="567"/>
      </w:pPr>
      <w:rPr>
        <w:rFonts w:ascii="Arial" w:eastAsia="Times New Roman" w:hAnsi="Arial" w:cs="Times New Roman" w:hint="default"/>
        <w:b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15:restartNumberingAfterBreak="0">
    <w:nsid w:val="06412745"/>
    <w:multiLevelType w:val="hybridMultilevel"/>
    <w:tmpl w:val="7BE81104"/>
    <w:lvl w:ilvl="0" w:tplc="247AE00A">
      <w:start w:val="1"/>
      <w:numFmt w:val="decimal"/>
      <w:pStyle w:val="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BEA4FD7"/>
    <w:multiLevelType w:val="multilevel"/>
    <w:tmpl w:val="04070023"/>
    <w:styleLink w:val="ArticleSection1"/>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0CD73AFC"/>
    <w:multiLevelType w:val="hybridMultilevel"/>
    <w:tmpl w:val="195EA10C"/>
    <w:lvl w:ilvl="0" w:tplc="7654F20C">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D9E0ED6"/>
    <w:multiLevelType w:val="multilevel"/>
    <w:tmpl w:val="B388D850"/>
    <w:numStyleLink w:val="NummerierteListe"/>
  </w:abstractNum>
  <w:abstractNum w:abstractNumId="13" w15:restartNumberingAfterBreak="0">
    <w:nsid w:val="0EA21449"/>
    <w:multiLevelType w:val="hybridMultilevel"/>
    <w:tmpl w:val="09B82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7347F1"/>
    <w:multiLevelType w:val="hybridMultilevel"/>
    <w:tmpl w:val="4C72183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08E42B7"/>
    <w:multiLevelType w:val="hybridMultilevel"/>
    <w:tmpl w:val="5C6860A4"/>
    <w:lvl w:ilvl="0" w:tplc="F78A1B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22D0A53"/>
    <w:multiLevelType w:val="multilevel"/>
    <w:tmpl w:val="6900A7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4AB189E"/>
    <w:multiLevelType w:val="hybridMultilevel"/>
    <w:tmpl w:val="8D3CDCA4"/>
    <w:lvl w:ilvl="0" w:tplc="FAC60642">
      <w:numFmt w:val="bullet"/>
      <w:lvlText w:val="-"/>
      <w:lvlJc w:val="left"/>
      <w:pPr>
        <w:ind w:left="2064" w:hanging="360"/>
      </w:pPr>
      <w:rPr>
        <w:rFonts w:ascii="Arial" w:eastAsia="Times New Roman" w:hAnsi="Arial" w:cs="Arial" w:hint="default"/>
      </w:rPr>
    </w:lvl>
    <w:lvl w:ilvl="1" w:tplc="04070003" w:tentative="1">
      <w:start w:val="1"/>
      <w:numFmt w:val="bullet"/>
      <w:lvlText w:val="o"/>
      <w:lvlJc w:val="left"/>
      <w:pPr>
        <w:ind w:left="2784" w:hanging="360"/>
      </w:pPr>
      <w:rPr>
        <w:rFonts w:ascii="Courier New" w:hAnsi="Courier New" w:cs="Courier New" w:hint="default"/>
      </w:rPr>
    </w:lvl>
    <w:lvl w:ilvl="2" w:tplc="04070005" w:tentative="1">
      <w:start w:val="1"/>
      <w:numFmt w:val="bullet"/>
      <w:lvlText w:val=""/>
      <w:lvlJc w:val="left"/>
      <w:pPr>
        <w:ind w:left="3504" w:hanging="360"/>
      </w:pPr>
      <w:rPr>
        <w:rFonts w:ascii="Wingdings" w:hAnsi="Wingdings" w:hint="default"/>
      </w:rPr>
    </w:lvl>
    <w:lvl w:ilvl="3" w:tplc="04070001" w:tentative="1">
      <w:start w:val="1"/>
      <w:numFmt w:val="bullet"/>
      <w:lvlText w:val=""/>
      <w:lvlJc w:val="left"/>
      <w:pPr>
        <w:ind w:left="4224" w:hanging="360"/>
      </w:pPr>
      <w:rPr>
        <w:rFonts w:ascii="Symbol" w:hAnsi="Symbol" w:hint="default"/>
      </w:rPr>
    </w:lvl>
    <w:lvl w:ilvl="4" w:tplc="04070003" w:tentative="1">
      <w:start w:val="1"/>
      <w:numFmt w:val="bullet"/>
      <w:lvlText w:val="o"/>
      <w:lvlJc w:val="left"/>
      <w:pPr>
        <w:ind w:left="4944" w:hanging="360"/>
      </w:pPr>
      <w:rPr>
        <w:rFonts w:ascii="Courier New" w:hAnsi="Courier New" w:cs="Courier New" w:hint="default"/>
      </w:rPr>
    </w:lvl>
    <w:lvl w:ilvl="5" w:tplc="04070005" w:tentative="1">
      <w:start w:val="1"/>
      <w:numFmt w:val="bullet"/>
      <w:lvlText w:val=""/>
      <w:lvlJc w:val="left"/>
      <w:pPr>
        <w:ind w:left="5664" w:hanging="360"/>
      </w:pPr>
      <w:rPr>
        <w:rFonts w:ascii="Wingdings" w:hAnsi="Wingdings" w:hint="default"/>
      </w:rPr>
    </w:lvl>
    <w:lvl w:ilvl="6" w:tplc="04070001" w:tentative="1">
      <w:start w:val="1"/>
      <w:numFmt w:val="bullet"/>
      <w:lvlText w:val=""/>
      <w:lvlJc w:val="left"/>
      <w:pPr>
        <w:ind w:left="6384" w:hanging="360"/>
      </w:pPr>
      <w:rPr>
        <w:rFonts w:ascii="Symbol" w:hAnsi="Symbol" w:hint="default"/>
      </w:rPr>
    </w:lvl>
    <w:lvl w:ilvl="7" w:tplc="04070003" w:tentative="1">
      <w:start w:val="1"/>
      <w:numFmt w:val="bullet"/>
      <w:lvlText w:val="o"/>
      <w:lvlJc w:val="left"/>
      <w:pPr>
        <w:ind w:left="7104" w:hanging="360"/>
      </w:pPr>
      <w:rPr>
        <w:rFonts w:ascii="Courier New" w:hAnsi="Courier New" w:cs="Courier New" w:hint="default"/>
      </w:rPr>
    </w:lvl>
    <w:lvl w:ilvl="8" w:tplc="04070005" w:tentative="1">
      <w:start w:val="1"/>
      <w:numFmt w:val="bullet"/>
      <w:lvlText w:val=""/>
      <w:lvlJc w:val="left"/>
      <w:pPr>
        <w:ind w:left="7824" w:hanging="360"/>
      </w:pPr>
      <w:rPr>
        <w:rFonts w:ascii="Wingdings" w:hAnsi="Wingdings" w:hint="default"/>
      </w:rPr>
    </w:lvl>
  </w:abstractNum>
  <w:abstractNum w:abstractNumId="18" w15:restartNumberingAfterBreak="0">
    <w:nsid w:val="156E5B18"/>
    <w:multiLevelType w:val="hybridMultilevel"/>
    <w:tmpl w:val="EC227528"/>
    <w:lvl w:ilvl="0" w:tplc="0AE2D648">
      <w:start w:val="7"/>
      <w:numFmt w:val="bullet"/>
      <w:lvlText w:val="-"/>
      <w:lvlJc w:val="left"/>
      <w:pPr>
        <w:ind w:left="360" w:hanging="360"/>
      </w:pPr>
      <w:rPr>
        <w:rFonts w:ascii="Arial" w:eastAsia="Times New Roman" w:hAnsi="Arial" w:hint="default"/>
      </w:rPr>
    </w:lvl>
    <w:lvl w:ilvl="1" w:tplc="070EE406" w:tentative="1">
      <w:start w:val="1"/>
      <w:numFmt w:val="bullet"/>
      <w:lvlText w:val="o"/>
      <w:lvlJc w:val="left"/>
      <w:pPr>
        <w:ind w:left="1080" w:hanging="360"/>
      </w:pPr>
      <w:rPr>
        <w:rFonts w:ascii="Courier New" w:hAnsi="Courier New" w:hint="default"/>
      </w:rPr>
    </w:lvl>
    <w:lvl w:ilvl="2" w:tplc="602046E4" w:tentative="1">
      <w:start w:val="1"/>
      <w:numFmt w:val="bullet"/>
      <w:lvlText w:val=""/>
      <w:lvlJc w:val="left"/>
      <w:pPr>
        <w:ind w:left="1800" w:hanging="360"/>
      </w:pPr>
      <w:rPr>
        <w:rFonts w:ascii="Wingdings" w:hAnsi="Wingdings" w:hint="default"/>
      </w:rPr>
    </w:lvl>
    <w:lvl w:ilvl="3" w:tplc="11262502" w:tentative="1">
      <w:start w:val="1"/>
      <w:numFmt w:val="bullet"/>
      <w:lvlText w:val=""/>
      <w:lvlJc w:val="left"/>
      <w:pPr>
        <w:ind w:left="2520" w:hanging="360"/>
      </w:pPr>
      <w:rPr>
        <w:rFonts w:ascii="Symbol" w:hAnsi="Symbol" w:hint="default"/>
      </w:rPr>
    </w:lvl>
    <w:lvl w:ilvl="4" w:tplc="0DDC0D74" w:tentative="1">
      <w:start w:val="1"/>
      <w:numFmt w:val="bullet"/>
      <w:lvlText w:val="o"/>
      <w:lvlJc w:val="left"/>
      <w:pPr>
        <w:ind w:left="3240" w:hanging="360"/>
      </w:pPr>
      <w:rPr>
        <w:rFonts w:ascii="Courier New" w:hAnsi="Courier New" w:hint="default"/>
      </w:rPr>
    </w:lvl>
    <w:lvl w:ilvl="5" w:tplc="5972DA9C" w:tentative="1">
      <w:start w:val="1"/>
      <w:numFmt w:val="bullet"/>
      <w:lvlText w:val=""/>
      <w:lvlJc w:val="left"/>
      <w:pPr>
        <w:ind w:left="3960" w:hanging="360"/>
      </w:pPr>
      <w:rPr>
        <w:rFonts w:ascii="Wingdings" w:hAnsi="Wingdings" w:hint="default"/>
      </w:rPr>
    </w:lvl>
    <w:lvl w:ilvl="6" w:tplc="1FEAA8E6" w:tentative="1">
      <w:start w:val="1"/>
      <w:numFmt w:val="bullet"/>
      <w:lvlText w:val=""/>
      <w:lvlJc w:val="left"/>
      <w:pPr>
        <w:ind w:left="4680" w:hanging="360"/>
      </w:pPr>
      <w:rPr>
        <w:rFonts w:ascii="Symbol" w:hAnsi="Symbol" w:hint="default"/>
      </w:rPr>
    </w:lvl>
    <w:lvl w:ilvl="7" w:tplc="05B4337A" w:tentative="1">
      <w:start w:val="1"/>
      <w:numFmt w:val="bullet"/>
      <w:lvlText w:val="o"/>
      <w:lvlJc w:val="left"/>
      <w:pPr>
        <w:ind w:left="5400" w:hanging="360"/>
      </w:pPr>
      <w:rPr>
        <w:rFonts w:ascii="Courier New" w:hAnsi="Courier New" w:hint="default"/>
      </w:rPr>
    </w:lvl>
    <w:lvl w:ilvl="8" w:tplc="2F12282C" w:tentative="1">
      <w:start w:val="1"/>
      <w:numFmt w:val="bullet"/>
      <w:lvlText w:val=""/>
      <w:lvlJc w:val="left"/>
      <w:pPr>
        <w:ind w:left="6120" w:hanging="360"/>
      </w:pPr>
      <w:rPr>
        <w:rFonts w:ascii="Wingdings" w:hAnsi="Wingdings" w:hint="default"/>
      </w:rPr>
    </w:lvl>
  </w:abstractNum>
  <w:abstractNum w:abstractNumId="19" w15:restartNumberingAfterBreak="0">
    <w:nsid w:val="180D538F"/>
    <w:multiLevelType w:val="hybridMultilevel"/>
    <w:tmpl w:val="B02ABFC2"/>
    <w:lvl w:ilvl="0" w:tplc="6AACDA3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8B74AE8"/>
    <w:multiLevelType w:val="hybridMultilevel"/>
    <w:tmpl w:val="1E4CADF4"/>
    <w:lvl w:ilvl="0" w:tplc="A484CE24">
      <w:start w:val="1"/>
      <w:numFmt w:val="bullet"/>
      <w:lvlText w:val=""/>
      <w:lvlJc w:val="left"/>
      <w:pPr>
        <w:ind w:left="360" w:hanging="360"/>
      </w:pPr>
      <w:rPr>
        <w:rFonts w:ascii="Symbol" w:hAnsi="Symbol" w:hint="default"/>
      </w:rPr>
    </w:lvl>
    <w:lvl w:ilvl="1" w:tplc="DC461842">
      <w:start w:val="1"/>
      <w:numFmt w:val="bullet"/>
      <w:lvlText w:val="o"/>
      <w:lvlJc w:val="left"/>
      <w:pPr>
        <w:ind w:left="1080" w:hanging="360"/>
      </w:pPr>
      <w:rPr>
        <w:rFonts w:ascii="Courier New" w:hAnsi="Courier New" w:cs="Courier New" w:hint="default"/>
      </w:rPr>
    </w:lvl>
    <w:lvl w:ilvl="2" w:tplc="FE6E6FB8" w:tentative="1">
      <w:start w:val="1"/>
      <w:numFmt w:val="bullet"/>
      <w:lvlText w:val=""/>
      <w:lvlJc w:val="left"/>
      <w:pPr>
        <w:ind w:left="1800" w:hanging="360"/>
      </w:pPr>
      <w:rPr>
        <w:rFonts w:ascii="Wingdings" w:hAnsi="Wingdings" w:hint="default"/>
      </w:rPr>
    </w:lvl>
    <w:lvl w:ilvl="3" w:tplc="5150E880" w:tentative="1">
      <w:start w:val="1"/>
      <w:numFmt w:val="bullet"/>
      <w:lvlText w:val=""/>
      <w:lvlJc w:val="left"/>
      <w:pPr>
        <w:ind w:left="2520" w:hanging="360"/>
      </w:pPr>
      <w:rPr>
        <w:rFonts w:ascii="Symbol" w:hAnsi="Symbol" w:hint="default"/>
      </w:rPr>
    </w:lvl>
    <w:lvl w:ilvl="4" w:tplc="2FE823E4" w:tentative="1">
      <w:start w:val="1"/>
      <w:numFmt w:val="bullet"/>
      <w:lvlText w:val="o"/>
      <w:lvlJc w:val="left"/>
      <w:pPr>
        <w:ind w:left="3240" w:hanging="360"/>
      </w:pPr>
      <w:rPr>
        <w:rFonts w:ascii="Courier New" w:hAnsi="Courier New" w:cs="Courier New" w:hint="default"/>
      </w:rPr>
    </w:lvl>
    <w:lvl w:ilvl="5" w:tplc="68C0E68A" w:tentative="1">
      <w:start w:val="1"/>
      <w:numFmt w:val="bullet"/>
      <w:lvlText w:val=""/>
      <w:lvlJc w:val="left"/>
      <w:pPr>
        <w:ind w:left="3960" w:hanging="360"/>
      </w:pPr>
      <w:rPr>
        <w:rFonts w:ascii="Wingdings" w:hAnsi="Wingdings" w:hint="default"/>
      </w:rPr>
    </w:lvl>
    <w:lvl w:ilvl="6" w:tplc="D4E262F6" w:tentative="1">
      <w:start w:val="1"/>
      <w:numFmt w:val="bullet"/>
      <w:lvlText w:val=""/>
      <w:lvlJc w:val="left"/>
      <w:pPr>
        <w:ind w:left="4680" w:hanging="360"/>
      </w:pPr>
      <w:rPr>
        <w:rFonts w:ascii="Symbol" w:hAnsi="Symbol" w:hint="default"/>
      </w:rPr>
    </w:lvl>
    <w:lvl w:ilvl="7" w:tplc="CD362E40" w:tentative="1">
      <w:start w:val="1"/>
      <w:numFmt w:val="bullet"/>
      <w:lvlText w:val="o"/>
      <w:lvlJc w:val="left"/>
      <w:pPr>
        <w:ind w:left="5400" w:hanging="360"/>
      </w:pPr>
      <w:rPr>
        <w:rFonts w:ascii="Courier New" w:hAnsi="Courier New" w:cs="Courier New" w:hint="default"/>
      </w:rPr>
    </w:lvl>
    <w:lvl w:ilvl="8" w:tplc="B846C78C" w:tentative="1">
      <w:start w:val="1"/>
      <w:numFmt w:val="bullet"/>
      <w:lvlText w:val=""/>
      <w:lvlJc w:val="left"/>
      <w:pPr>
        <w:ind w:left="6120" w:hanging="360"/>
      </w:pPr>
      <w:rPr>
        <w:rFonts w:ascii="Wingdings" w:hAnsi="Wingdings" w:hint="default"/>
      </w:rPr>
    </w:lvl>
  </w:abstractNum>
  <w:abstractNum w:abstractNumId="21" w15:restartNumberingAfterBreak="0">
    <w:nsid w:val="19F21EB8"/>
    <w:multiLevelType w:val="hybridMultilevel"/>
    <w:tmpl w:val="DE4225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A0B5ACE"/>
    <w:multiLevelType w:val="hybridMultilevel"/>
    <w:tmpl w:val="C57A4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A2B13F3"/>
    <w:multiLevelType w:val="hybridMultilevel"/>
    <w:tmpl w:val="EDDCA284"/>
    <w:lvl w:ilvl="0" w:tplc="25C45D3A">
      <w:start w:val="1"/>
      <w:numFmt w:val="bullet"/>
      <w:lvlText w:val="-"/>
      <w:lvlJc w:val="left"/>
      <w:pPr>
        <w:ind w:left="720" w:hanging="360"/>
      </w:pPr>
      <w:rPr>
        <w:rFonts w:ascii="Symbol" w:hAnsi="Symbol" w:hint="default"/>
      </w:rPr>
    </w:lvl>
    <w:lvl w:ilvl="1" w:tplc="F8FA362C" w:tentative="1">
      <w:start w:val="1"/>
      <w:numFmt w:val="bullet"/>
      <w:lvlText w:val="o"/>
      <w:lvlJc w:val="left"/>
      <w:pPr>
        <w:ind w:left="1440" w:hanging="360"/>
      </w:pPr>
      <w:rPr>
        <w:rFonts w:ascii="Courier New" w:hAnsi="Courier New" w:cs="Courier New" w:hint="default"/>
      </w:rPr>
    </w:lvl>
    <w:lvl w:ilvl="2" w:tplc="B1105E8A" w:tentative="1">
      <w:start w:val="1"/>
      <w:numFmt w:val="bullet"/>
      <w:lvlText w:val=""/>
      <w:lvlJc w:val="left"/>
      <w:pPr>
        <w:ind w:left="2160" w:hanging="360"/>
      </w:pPr>
      <w:rPr>
        <w:rFonts w:ascii="Wingdings" w:hAnsi="Wingdings" w:hint="default"/>
      </w:rPr>
    </w:lvl>
    <w:lvl w:ilvl="3" w:tplc="62C6AEB4" w:tentative="1">
      <w:start w:val="1"/>
      <w:numFmt w:val="bullet"/>
      <w:lvlText w:val=""/>
      <w:lvlJc w:val="left"/>
      <w:pPr>
        <w:ind w:left="2880" w:hanging="360"/>
      </w:pPr>
      <w:rPr>
        <w:rFonts w:ascii="Symbol" w:hAnsi="Symbol" w:hint="default"/>
      </w:rPr>
    </w:lvl>
    <w:lvl w:ilvl="4" w:tplc="D9F07A2A" w:tentative="1">
      <w:start w:val="1"/>
      <w:numFmt w:val="bullet"/>
      <w:lvlText w:val="o"/>
      <w:lvlJc w:val="left"/>
      <w:pPr>
        <w:ind w:left="3600" w:hanging="360"/>
      </w:pPr>
      <w:rPr>
        <w:rFonts w:ascii="Courier New" w:hAnsi="Courier New" w:cs="Courier New" w:hint="default"/>
      </w:rPr>
    </w:lvl>
    <w:lvl w:ilvl="5" w:tplc="430ED0A8" w:tentative="1">
      <w:start w:val="1"/>
      <w:numFmt w:val="bullet"/>
      <w:lvlText w:val=""/>
      <w:lvlJc w:val="left"/>
      <w:pPr>
        <w:ind w:left="4320" w:hanging="360"/>
      </w:pPr>
      <w:rPr>
        <w:rFonts w:ascii="Wingdings" w:hAnsi="Wingdings" w:hint="default"/>
      </w:rPr>
    </w:lvl>
    <w:lvl w:ilvl="6" w:tplc="47B439C4" w:tentative="1">
      <w:start w:val="1"/>
      <w:numFmt w:val="bullet"/>
      <w:lvlText w:val=""/>
      <w:lvlJc w:val="left"/>
      <w:pPr>
        <w:ind w:left="5040" w:hanging="360"/>
      </w:pPr>
      <w:rPr>
        <w:rFonts w:ascii="Symbol" w:hAnsi="Symbol" w:hint="default"/>
      </w:rPr>
    </w:lvl>
    <w:lvl w:ilvl="7" w:tplc="9A1828EA" w:tentative="1">
      <w:start w:val="1"/>
      <w:numFmt w:val="bullet"/>
      <w:lvlText w:val="o"/>
      <w:lvlJc w:val="left"/>
      <w:pPr>
        <w:ind w:left="5760" w:hanging="360"/>
      </w:pPr>
      <w:rPr>
        <w:rFonts w:ascii="Courier New" w:hAnsi="Courier New" w:cs="Courier New" w:hint="default"/>
      </w:rPr>
    </w:lvl>
    <w:lvl w:ilvl="8" w:tplc="DCFE9356" w:tentative="1">
      <w:start w:val="1"/>
      <w:numFmt w:val="bullet"/>
      <w:lvlText w:val=""/>
      <w:lvlJc w:val="left"/>
      <w:pPr>
        <w:ind w:left="6480" w:hanging="360"/>
      </w:pPr>
      <w:rPr>
        <w:rFonts w:ascii="Wingdings" w:hAnsi="Wingdings" w:hint="default"/>
      </w:rPr>
    </w:lvl>
  </w:abstractNum>
  <w:abstractNum w:abstractNumId="24" w15:restartNumberingAfterBreak="0">
    <w:nsid w:val="1AC645F5"/>
    <w:multiLevelType w:val="hybridMultilevel"/>
    <w:tmpl w:val="40F2D3E4"/>
    <w:lvl w:ilvl="0" w:tplc="0C268F48">
      <w:start w:val="1"/>
      <w:numFmt w:val="upperRoman"/>
      <w:lvlText w:val="%1."/>
      <w:lvlJc w:val="left"/>
      <w:pPr>
        <w:ind w:left="360" w:hanging="360"/>
      </w:pPr>
      <w:rPr>
        <w:rFonts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3CD1C5F"/>
    <w:multiLevelType w:val="hybridMultilevel"/>
    <w:tmpl w:val="B014833A"/>
    <w:lvl w:ilvl="0" w:tplc="6AACDA3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48112C0"/>
    <w:multiLevelType w:val="hybridMultilevel"/>
    <w:tmpl w:val="18FAB2F0"/>
    <w:lvl w:ilvl="0" w:tplc="F78A1B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5490EAD"/>
    <w:multiLevelType w:val="hybridMultilevel"/>
    <w:tmpl w:val="552AC662"/>
    <w:lvl w:ilvl="0" w:tplc="04070019">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6C17116"/>
    <w:multiLevelType w:val="hybridMultilevel"/>
    <w:tmpl w:val="95824980"/>
    <w:lvl w:ilvl="0" w:tplc="82F20942">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ADF56B9"/>
    <w:multiLevelType w:val="multilevel"/>
    <w:tmpl w:val="A366272A"/>
    <w:lvl w:ilvl="0">
      <w:start w:val="1"/>
      <w:numFmt w:val="decimal"/>
      <w:lvlText w:val="%1."/>
      <w:lvlJc w:val="left"/>
      <w:pPr>
        <w:ind w:left="284" w:hanging="28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0793F27"/>
    <w:multiLevelType w:val="singleLevel"/>
    <w:tmpl w:val="04070019"/>
    <w:lvl w:ilvl="0">
      <w:start w:val="1"/>
      <w:numFmt w:val="lowerLetter"/>
      <w:lvlText w:val="%1."/>
      <w:lvlJc w:val="left"/>
      <w:pPr>
        <w:ind w:left="284" w:hanging="284"/>
      </w:pPr>
      <w:rPr>
        <w:rFonts w:hint="default"/>
        <w:color w:val="auto"/>
      </w:rPr>
    </w:lvl>
  </w:abstractNum>
  <w:abstractNum w:abstractNumId="31" w15:restartNumberingAfterBreak="0">
    <w:nsid w:val="31CD42B4"/>
    <w:multiLevelType w:val="multilevel"/>
    <w:tmpl w:val="372E49FE"/>
    <w:lvl w:ilvl="0">
      <w:start w:val="1"/>
      <w:numFmt w:val="decimal"/>
      <w:pStyle w:val="Numerierung2"/>
      <w:lvlText w:val="(%1)"/>
      <w:lvlJc w:val="left"/>
      <w:pPr>
        <w:tabs>
          <w:tab w:val="num" w:pos="720"/>
        </w:tabs>
        <w:ind w:left="340" w:hanging="340"/>
      </w:pPr>
      <w:rPr>
        <w:rFonts w:cs="Times New Roman" w:hint="default"/>
      </w:rPr>
    </w:lvl>
    <w:lvl w:ilvl="1">
      <w:start w:val="1"/>
      <w:numFmt w:val="decimal"/>
      <w:lvlText w:val="(%2)"/>
      <w:lvlJc w:val="left"/>
      <w:pPr>
        <w:tabs>
          <w:tab w:val="num" w:pos="907"/>
        </w:tabs>
        <w:ind w:left="907" w:hanging="510"/>
      </w:pPr>
      <w:rPr>
        <w:rFonts w:cs="Times New Roman" w:hint="default"/>
      </w:rPr>
    </w:lvl>
    <w:lvl w:ilvl="2">
      <w:start w:val="1"/>
      <w:numFmt w:val="decimal"/>
      <w:lvlText w:val="%3)"/>
      <w:lvlJc w:val="left"/>
      <w:pPr>
        <w:tabs>
          <w:tab w:val="num" w:pos="1304"/>
        </w:tabs>
        <w:ind w:left="1304" w:hanging="397"/>
      </w:pPr>
      <w:rPr>
        <w:rFonts w:cs="Times New Roman" w:hint="default"/>
      </w:rPr>
    </w:lvl>
    <w:lvl w:ilvl="3">
      <w:start w:val="1"/>
      <w:numFmt w:val="decimal"/>
      <w:lvlText w:val="%1.%2.%3.%4."/>
      <w:lvlJc w:val="left"/>
      <w:pPr>
        <w:tabs>
          <w:tab w:val="num" w:pos="1647"/>
        </w:tabs>
        <w:ind w:left="567"/>
      </w:pPr>
      <w:rPr>
        <w:rFonts w:cs="Times New Roman" w:hint="default"/>
      </w:rPr>
    </w:lvl>
    <w:lvl w:ilvl="4">
      <w:start w:val="1"/>
      <w:numFmt w:val="decimal"/>
      <w:lvlText w:val="%1.%2.%3.%4.%5."/>
      <w:lvlJc w:val="left"/>
      <w:pPr>
        <w:tabs>
          <w:tab w:val="num" w:pos="2651"/>
        </w:tabs>
        <w:ind w:left="567" w:firstLine="284"/>
      </w:pPr>
      <w:rPr>
        <w:rFonts w:cs="Times New Roman" w:hint="default"/>
      </w:rPr>
    </w:lvl>
    <w:lvl w:ilvl="5">
      <w:start w:val="1"/>
      <w:numFmt w:val="decimal"/>
      <w:lvlText w:val="%1.%2.%3.%4.%5.%6."/>
      <w:lvlJc w:val="left"/>
      <w:pPr>
        <w:tabs>
          <w:tab w:val="num" w:pos="3294"/>
        </w:tabs>
        <w:ind w:left="567" w:firstLine="567"/>
      </w:pPr>
      <w:rPr>
        <w:rFonts w:cs="Times New Roman" w:hint="default"/>
      </w:rPr>
    </w:lvl>
    <w:lvl w:ilvl="6">
      <w:start w:val="1"/>
      <w:numFmt w:val="decimal"/>
      <w:lvlText w:val="%1.%2.%3.%4.%5.%6.%7."/>
      <w:lvlJc w:val="left"/>
      <w:pPr>
        <w:tabs>
          <w:tab w:val="num" w:pos="3938"/>
        </w:tabs>
        <w:ind w:left="567" w:firstLine="851"/>
      </w:pPr>
      <w:rPr>
        <w:rFonts w:cs="Times New Roman" w:hint="default"/>
      </w:rPr>
    </w:lvl>
    <w:lvl w:ilvl="7">
      <w:start w:val="1"/>
      <w:numFmt w:val="decimal"/>
      <w:lvlText w:val="%1.%2.%3.%4.%5.%6.%7.%8."/>
      <w:lvlJc w:val="left"/>
      <w:pPr>
        <w:tabs>
          <w:tab w:val="num" w:pos="4581"/>
        </w:tabs>
        <w:ind w:left="567" w:firstLine="1134"/>
      </w:pPr>
      <w:rPr>
        <w:rFonts w:cs="Times New Roman" w:hint="default"/>
      </w:rPr>
    </w:lvl>
    <w:lvl w:ilvl="8">
      <w:start w:val="1"/>
      <w:numFmt w:val="decimal"/>
      <w:lvlText w:val="%1.%2.%3.%4.%5.%6.%7.%8.%9."/>
      <w:lvlJc w:val="left"/>
      <w:pPr>
        <w:tabs>
          <w:tab w:val="num" w:pos="4865"/>
        </w:tabs>
        <w:ind w:left="567" w:firstLine="1418"/>
      </w:pPr>
      <w:rPr>
        <w:rFonts w:cs="Times New Roman" w:hint="default"/>
      </w:rPr>
    </w:lvl>
  </w:abstractNum>
  <w:abstractNum w:abstractNumId="32" w15:restartNumberingAfterBreak="0">
    <w:nsid w:val="367014EC"/>
    <w:multiLevelType w:val="hybridMultilevel"/>
    <w:tmpl w:val="E1DC3B3E"/>
    <w:lvl w:ilvl="0" w:tplc="E0A6C9C2">
      <w:start w:val="1"/>
      <w:numFmt w:val="bullet"/>
      <w:lvlRestart w:val="0"/>
      <w:pStyle w:val="Aufzhlungszeichen"/>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A04839"/>
    <w:multiLevelType w:val="hybridMultilevel"/>
    <w:tmpl w:val="E19EF6A6"/>
    <w:lvl w:ilvl="0" w:tplc="DC16E56A">
      <w:start w:val="1"/>
      <w:numFmt w:val="bullet"/>
      <w:lvlText w:val=""/>
      <w:lvlJc w:val="left"/>
      <w:pPr>
        <w:ind w:left="360" w:hanging="360"/>
      </w:pPr>
      <w:rPr>
        <w:rFonts w:ascii="Symbol" w:hAnsi="Symbol" w:hint="default"/>
      </w:rPr>
    </w:lvl>
    <w:lvl w:ilvl="1" w:tplc="BB90F69E" w:tentative="1">
      <w:start w:val="1"/>
      <w:numFmt w:val="bullet"/>
      <w:lvlText w:val="o"/>
      <w:lvlJc w:val="left"/>
      <w:pPr>
        <w:ind w:left="1080" w:hanging="360"/>
      </w:pPr>
      <w:rPr>
        <w:rFonts w:ascii="Courier New" w:hAnsi="Courier New" w:cs="Courier New" w:hint="default"/>
      </w:rPr>
    </w:lvl>
    <w:lvl w:ilvl="2" w:tplc="D0D8931C" w:tentative="1">
      <w:start w:val="1"/>
      <w:numFmt w:val="bullet"/>
      <w:lvlText w:val=""/>
      <w:lvlJc w:val="left"/>
      <w:pPr>
        <w:ind w:left="1800" w:hanging="360"/>
      </w:pPr>
      <w:rPr>
        <w:rFonts w:ascii="Wingdings" w:hAnsi="Wingdings" w:hint="default"/>
      </w:rPr>
    </w:lvl>
    <w:lvl w:ilvl="3" w:tplc="0430F3AE" w:tentative="1">
      <w:start w:val="1"/>
      <w:numFmt w:val="bullet"/>
      <w:lvlText w:val=""/>
      <w:lvlJc w:val="left"/>
      <w:pPr>
        <w:ind w:left="2520" w:hanging="360"/>
      </w:pPr>
      <w:rPr>
        <w:rFonts w:ascii="Symbol" w:hAnsi="Symbol" w:hint="default"/>
      </w:rPr>
    </w:lvl>
    <w:lvl w:ilvl="4" w:tplc="059206CA" w:tentative="1">
      <w:start w:val="1"/>
      <w:numFmt w:val="bullet"/>
      <w:lvlText w:val="o"/>
      <w:lvlJc w:val="left"/>
      <w:pPr>
        <w:ind w:left="3240" w:hanging="360"/>
      </w:pPr>
      <w:rPr>
        <w:rFonts w:ascii="Courier New" w:hAnsi="Courier New" w:cs="Courier New" w:hint="default"/>
      </w:rPr>
    </w:lvl>
    <w:lvl w:ilvl="5" w:tplc="F06C29F6" w:tentative="1">
      <w:start w:val="1"/>
      <w:numFmt w:val="bullet"/>
      <w:lvlText w:val=""/>
      <w:lvlJc w:val="left"/>
      <w:pPr>
        <w:ind w:left="3960" w:hanging="360"/>
      </w:pPr>
      <w:rPr>
        <w:rFonts w:ascii="Wingdings" w:hAnsi="Wingdings" w:hint="default"/>
      </w:rPr>
    </w:lvl>
    <w:lvl w:ilvl="6" w:tplc="411AEB2E" w:tentative="1">
      <w:start w:val="1"/>
      <w:numFmt w:val="bullet"/>
      <w:lvlText w:val=""/>
      <w:lvlJc w:val="left"/>
      <w:pPr>
        <w:ind w:left="4680" w:hanging="360"/>
      </w:pPr>
      <w:rPr>
        <w:rFonts w:ascii="Symbol" w:hAnsi="Symbol" w:hint="default"/>
      </w:rPr>
    </w:lvl>
    <w:lvl w:ilvl="7" w:tplc="F808CBA2" w:tentative="1">
      <w:start w:val="1"/>
      <w:numFmt w:val="bullet"/>
      <w:lvlText w:val="o"/>
      <w:lvlJc w:val="left"/>
      <w:pPr>
        <w:ind w:left="5400" w:hanging="360"/>
      </w:pPr>
      <w:rPr>
        <w:rFonts w:ascii="Courier New" w:hAnsi="Courier New" w:cs="Courier New" w:hint="default"/>
      </w:rPr>
    </w:lvl>
    <w:lvl w:ilvl="8" w:tplc="9C281988" w:tentative="1">
      <w:start w:val="1"/>
      <w:numFmt w:val="bullet"/>
      <w:lvlText w:val=""/>
      <w:lvlJc w:val="left"/>
      <w:pPr>
        <w:ind w:left="6120" w:hanging="360"/>
      </w:pPr>
      <w:rPr>
        <w:rFonts w:ascii="Wingdings" w:hAnsi="Wingdings" w:hint="default"/>
      </w:rPr>
    </w:lvl>
  </w:abstractNum>
  <w:abstractNum w:abstractNumId="34" w15:restartNumberingAfterBreak="0">
    <w:nsid w:val="37A91DEC"/>
    <w:multiLevelType w:val="hybridMultilevel"/>
    <w:tmpl w:val="54B284D2"/>
    <w:styleLink w:val="ArticleSection11"/>
    <w:lvl w:ilvl="0" w:tplc="8EA4D358">
      <w:start w:val="1"/>
      <w:numFmt w:val="decimal"/>
      <w:lvlText w:val="%1."/>
      <w:lvlJc w:val="left"/>
      <w:pPr>
        <w:tabs>
          <w:tab w:val="num" w:pos="720"/>
        </w:tabs>
        <w:ind w:left="720" w:hanging="360"/>
      </w:pPr>
      <w:rPr>
        <w:rFonts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C46A8E"/>
    <w:multiLevelType w:val="multilevel"/>
    <w:tmpl w:val="976804DE"/>
    <w:styleLink w:val="Gliederung3"/>
    <w:lvl w:ilvl="0">
      <w:start w:val="1"/>
      <w:numFmt w:val="lowerLetter"/>
      <w:lvlText w:val="%1)"/>
      <w:lvlJc w:val="left"/>
      <w:pPr>
        <w:tabs>
          <w:tab w:val="num" w:pos="567"/>
        </w:tabs>
        <w:ind w:left="851" w:hanging="284"/>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6" w15:restartNumberingAfterBreak="0">
    <w:nsid w:val="3B0F7E22"/>
    <w:multiLevelType w:val="hybridMultilevel"/>
    <w:tmpl w:val="6A9201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3BDC3296"/>
    <w:multiLevelType w:val="multilevel"/>
    <w:tmpl w:val="04070023"/>
    <w:styleLink w:val="ArtikelAbschnitt"/>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8" w15:restartNumberingAfterBreak="0">
    <w:nsid w:val="3DAE025D"/>
    <w:multiLevelType w:val="hybridMultilevel"/>
    <w:tmpl w:val="BE5C4288"/>
    <w:lvl w:ilvl="0" w:tplc="04070017">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3F0C70EE"/>
    <w:multiLevelType w:val="hybridMultilevel"/>
    <w:tmpl w:val="F5EA9F56"/>
    <w:lvl w:ilvl="0" w:tplc="04070001">
      <w:start w:val="1"/>
      <w:numFmt w:val="bullet"/>
      <w:lvlText w:val=""/>
      <w:lvlJc w:val="left"/>
      <w:pPr>
        <w:ind w:left="720" w:hanging="360"/>
      </w:pPr>
      <w:rPr>
        <w:rFonts w:ascii="Symbol" w:hAnsi="Symbol"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41A345F7"/>
    <w:multiLevelType w:val="hybridMultilevel"/>
    <w:tmpl w:val="8A00B62E"/>
    <w:lvl w:ilvl="0" w:tplc="0407000F">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41" w15:restartNumberingAfterBreak="0">
    <w:nsid w:val="449F5D6F"/>
    <w:multiLevelType w:val="multilevel"/>
    <w:tmpl w:val="B388D850"/>
    <w:styleLink w:val="NummerierteListe"/>
    <w:lvl w:ilvl="0">
      <w:start w:val="1"/>
      <w:numFmt w:val="bullet"/>
      <w:lvlText w:val=""/>
      <w:lvlJc w:val="left"/>
      <w:pPr>
        <w:ind w:left="284" w:hanging="284"/>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4A830ED"/>
    <w:multiLevelType w:val="hybridMultilevel"/>
    <w:tmpl w:val="E06C28B0"/>
    <w:lvl w:ilvl="0" w:tplc="865038CE">
      <w:start w:val="1"/>
      <w:numFmt w:val="bullet"/>
      <w:pStyle w:val="Aufzhlungszeichen4"/>
      <w:lvlText w:val="+"/>
      <w:lvlJc w:val="left"/>
      <w:pPr>
        <w:tabs>
          <w:tab w:val="num" w:pos="431"/>
        </w:tabs>
        <w:ind w:left="431" w:hanging="431"/>
      </w:pPr>
      <w:rPr>
        <w:rFonts w:ascii="Arial" w:hAnsi="Arial" w:hint="default"/>
      </w:rPr>
    </w:lvl>
    <w:lvl w:ilvl="1" w:tplc="9CE0BBE4" w:tentative="1">
      <w:start w:val="1"/>
      <w:numFmt w:val="bullet"/>
      <w:lvlText w:val="o"/>
      <w:lvlJc w:val="left"/>
      <w:pPr>
        <w:tabs>
          <w:tab w:val="num" w:pos="1440"/>
        </w:tabs>
        <w:ind w:left="1440" w:hanging="360"/>
      </w:pPr>
      <w:rPr>
        <w:rFonts w:ascii="Courier New" w:hAnsi="Courier New" w:hint="default"/>
      </w:rPr>
    </w:lvl>
    <w:lvl w:ilvl="2" w:tplc="9EAEF964" w:tentative="1">
      <w:start w:val="1"/>
      <w:numFmt w:val="bullet"/>
      <w:lvlText w:val=""/>
      <w:lvlJc w:val="left"/>
      <w:pPr>
        <w:tabs>
          <w:tab w:val="num" w:pos="2160"/>
        </w:tabs>
        <w:ind w:left="2160" w:hanging="360"/>
      </w:pPr>
      <w:rPr>
        <w:rFonts w:ascii="Wingdings" w:hAnsi="Wingdings" w:hint="default"/>
      </w:rPr>
    </w:lvl>
    <w:lvl w:ilvl="3" w:tplc="13E0CDFA" w:tentative="1">
      <w:start w:val="1"/>
      <w:numFmt w:val="bullet"/>
      <w:lvlText w:val=""/>
      <w:lvlJc w:val="left"/>
      <w:pPr>
        <w:tabs>
          <w:tab w:val="num" w:pos="2880"/>
        </w:tabs>
        <w:ind w:left="2880" w:hanging="360"/>
      </w:pPr>
      <w:rPr>
        <w:rFonts w:ascii="Symbol" w:hAnsi="Symbol" w:hint="default"/>
      </w:rPr>
    </w:lvl>
    <w:lvl w:ilvl="4" w:tplc="A1B2C880" w:tentative="1">
      <w:start w:val="1"/>
      <w:numFmt w:val="bullet"/>
      <w:lvlText w:val="o"/>
      <w:lvlJc w:val="left"/>
      <w:pPr>
        <w:tabs>
          <w:tab w:val="num" w:pos="3600"/>
        </w:tabs>
        <w:ind w:left="3600" w:hanging="360"/>
      </w:pPr>
      <w:rPr>
        <w:rFonts w:ascii="Courier New" w:hAnsi="Courier New" w:hint="default"/>
      </w:rPr>
    </w:lvl>
    <w:lvl w:ilvl="5" w:tplc="8E168BAE" w:tentative="1">
      <w:start w:val="1"/>
      <w:numFmt w:val="bullet"/>
      <w:lvlText w:val=""/>
      <w:lvlJc w:val="left"/>
      <w:pPr>
        <w:tabs>
          <w:tab w:val="num" w:pos="4320"/>
        </w:tabs>
        <w:ind w:left="4320" w:hanging="360"/>
      </w:pPr>
      <w:rPr>
        <w:rFonts w:ascii="Wingdings" w:hAnsi="Wingdings" w:hint="default"/>
      </w:rPr>
    </w:lvl>
    <w:lvl w:ilvl="6" w:tplc="3AB6E966" w:tentative="1">
      <w:start w:val="1"/>
      <w:numFmt w:val="bullet"/>
      <w:lvlText w:val=""/>
      <w:lvlJc w:val="left"/>
      <w:pPr>
        <w:tabs>
          <w:tab w:val="num" w:pos="5040"/>
        </w:tabs>
        <w:ind w:left="5040" w:hanging="360"/>
      </w:pPr>
      <w:rPr>
        <w:rFonts w:ascii="Symbol" w:hAnsi="Symbol" w:hint="default"/>
      </w:rPr>
    </w:lvl>
    <w:lvl w:ilvl="7" w:tplc="A5961D18" w:tentative="1">
      <w:start w:val="1"/>
      <w:numFmt w:val="bullet"/>
      <w:lvlText w:val="o"/>
      <w:lvlJc w:val="left"/>
      <w:pPr>
        <w:tabs>
          <w:tab w:val="num" w:pos="5760"/>
        </w:tabs>
        <w:ind w:left="5760" w:hanging="360"/>
      </w:pPr>
      <w:rPr>
        <w:rFonts w:ascii="Courier New" w:hAnsi="Courier New" w:hint="default"/>
      </w:rPr>
    </w:lvl>
    <w:lvl w:ilvl="8" w:tplc="9C8ADF7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E96379"/>
    <w:multiLevelType w:val="hybridMultilevel"/>
    <w:tmpl w:val="D83E70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47693D36"/>
    <w:multiLevelType w:val="hybridMultilevel"/>
    <w:tmpl w:val="FB3A87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4D796925"/>
    <w:multiLevelType w:val="hybridMultilevel"/>
    <w:tmpl w:val="BA8C4594"/>
    <w:lvl w:ilvl="0" w:tplc="0407000F">
      <w:start w:val="1"/>
      <w:numFmt w:val="decimal"/>
      <w:lvlText w:val="%1."/>
      <w:lvlJc w:val="left"/>
      <w:pPr>
        <w:ind w:left="360" w:hanging="360"/>
      </w:pPr>
      <w:rPr>
        <w:rFonts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4D8774E5"/>
    <w:multiLevelType w:val="hybridMultilevel"/>
    <w:tmpl w:val="89167B1C"/>
    <w:lvl w:ilvl="0" w:tplc="FFFFFFFF">
      <w:start w:val="1"/>
      <w:numFmt w:val="bullet"/>
      <w:lvlText w:val=""/>
      <w:lvlJc w:val="left"/>
      <w:pPr>
        <w:ind w:left="1582" w:hanging="360"/>
      </w:pPr>
      <w:rPr>
        <w:rFonts w:ascii="Symbol" w:hAnsi="Symbol" w:hint="default"/>
      </w:rPr>
    </w:lvl>
    <w:lvl w:ilvl="1" w:tplc="FFFFFFFF" w:tentative="1">
      <w:start w:val="1"/>
      <w:numFmt w:val="bullet"/>
      <w:lvlText w:val="o"/>
      <w:lvlJc w:val="left"/>
      <w:pPr>
        <w:ind w:left="2302" w:hanging="360"/>
      </w:pPr>
      <w:rPr>
        <w:rFonts w:ascii="Courier New" w:hAnsi="Courier New" w:cs="Courier New" w:hint="default"/>
      </w:rPr>
    </w:lvl>
    <w:lvl w:ilvl="2" w:tplc="FFFFFFFF" w:tentative="1">
      <w:start w:val="1"/>
      <w:numFmt w:val="bullet"/>
      <w:lvlText w:val=""/>
      <w:lvlJc w:val="left"/>
      <w:pPr>
        <w:ind w:left="3022" w:hanging="360"/>
      </w:pPr>
      <w:rPr>
        <w:rFonts w:ascii="Wingdings" w:hAnsi="Wingdings" w:hint="default"/>
      </w:rPr>
    </w:lvl>
    <w:lvl w:ilvl="3" w:tplc="FFFFFFFF" w:tentative="1">
      <w:start w:val="1"/>
      <w:numFmt w:val="bullet"/>
      <w:lvlText w:val=""/>
      <w:lvlJc w:val="left"/>
      <w:pPr>
        <w:ind w:left="3742" w:hanging="360"/>
      </w:pPr>
      <w:rPr>
        <w:rFonts w:ascii="Symbol" w:hAnsi="Symbol" w:hint="default"/>
      </w:rPr>
    </w:lvl>
    <w:lvl w:ilvl="4" w:tplc="FFFFFFFF" w:tentative="1">
      <w:start w:val="1"/>
      <w:numFmt w:val="bullet"/>
      <w:lvlText w:val="o"/>
      <w:lvlJc w:val="left"/>
      <w:pPr>
        <w:ind w:left="4462" w:hanging="360"/>
      </w:pPr>
      <w:rPr>
        <w:rFonts w:ascii="Courier New" w:hAnsi="Courier New" w:cs="Courier New" w:hint="default"/>
      </w:rPr>
    </w:lvl>
    <w:lvl w:ilvl="5" w:tplc="FFFFFFFF" w:tentative="1">
      <w:start w:val="1"/>
      <w:numFmt w:val="bullet"/>
      <w:lvlText w:val=""/>
      <w:lvlJc w:val="left"/>
      <w:pPr>
        <w:ind w:left="5182" w:hanging="360"/>
      </w:pPr>
      <w:rPr>
        <w:rFonts w:ascii="Wingdings" w:hAnsi="Wingdings" w:hint="default"/>
      </w:rPr>
    </w:lvl>
    <w:lvl w:ilvl="6" w:tplc="FFFFFFFF" w:tentative="1">
      <w:start w:val="1"/>
      <w:numFmt w:val="bullet"/>
      <w:lvlText w:val=""/>
      <w:lvlJc w:val="left"/>
      <w:pPr>
        <w:ind w:left="5902" w:hanging="360"/>
      </w:pPr>
      <w:rPr>
        <w:rFonts w:ascii="Symbol" w:hAnsi="Symbol" w:hint="default"/>
      </w:rPr>
    </w:lvl>
    <w:lvl w:ilvl="7" w:tplc="FFFFFFFF" w:tentative="1">
      <w:start w:val="1"/>
      <w:numFmt w:val="bullet"/>
      <w:lvlText w:val="o"/>
      <w:lvlJc w:val="left"/>
      <w:pPr>
        <w:ind w:left="6622" w:hanging="360"/>
      </w:pPr>
      <w:rPr>
        <w:rFonts w:ascii="Courier New" w:hAnsi="Courier New" w:cs="Courier New" w:hint="default"/>
      </w:rPr>
    </w:lvl>
    <w:lvl w:ilvl="8" w:tplc="FFFFFFFF" w:tentative="1">
      <w:start w:val="1"/>
      <w:numFmt w:val="bullet"/>
      <w:lvlText w:val=""/>
      <w:lvlJc w:val="left"/>
      <w:pPr>
        <w:ind w:left="7342" w:hanging="360"/>
      </w:pPr>
      <w:rPr>
        <w:rFonts w:ascii="Wingdings" w:hAnsi="Wingdings" w:hint="default"/>
      </w:rPr>
    </w:lvl>
  </w:abstractNum>
  <w:abstractNum w:abstractNumId="47" w15:restartNumberingAfterBreak="0">
    <w:nsid w:val="4E5E3175"/>
    <w:multiLevelType w:val="multilevel"/>
    <w:tmpl w:val="58786E24"/>
    <w:lvl w:ilvl="0">
      <w:start w:val="1"/>
      <w:numFmt w:val="decimal"/>
      <w:pStyle w:val="berschrift1"/>
      <w:lvlText w:val="%1"/>
      <w:lvlJc w:val="left"/>
      <w:pPr>
        <w:tabs>
          <w:tab w:val="num" w:pos="567"/>
        </w:tabs>
        <w:ind w:left="567" w:hanging="567"/>
      </w:pPr>
      <w:rPr>
        <w:rFonts w:ascii="Arial" w:hAnsi="Arial" w:hint="default"/>
        <w:b/>
        <w:i w:val="0"/>
        <w:sz w:val="28"/>
      </w:rPr>
    </w:lvl>
    <w:lvl w:ilvl="1">
      <w:start w:val="1"/>
      <w:numFmt w:val="decimal"/>
      <w:pStyle w:val="berschrift2"/>
      <w:lvlText w:val="%1.%2"/>
      <w:lvlJc w:val="left"/>
      <w:pPr>
        <w:tabs>
          <w:tab w:val="num" w:pos="851"/>
        </w:tabs>
        <w:ind w:left="284" w:firstLine="0"/>
      </w:pPr>
      <w:rPr>
        <w:rFonts w:hint="default"/>
      </w:rPr>
    </w:lvl>
    <w:lvl w:ilvl="2">
      <w:start w:val="1"/>
      <w:numFmt w:val="decimal"/>
      <w:pStyle w:val="berschrift3"/>
      <w:lvlText w:val="%1.%2.%3"/>
      <w:lvlJc w:val="left"/>
      <w:pPr>
        <w:tabs>
          <w:tab w:val="num" w:pos="1276"/>
        </w:tabs>
        <w:ind w:left="1276" w:hanging="1134"/>
      </w:pPr>
      <w:rPr>
        <w:rFonts w:cs="Times New Roman"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berschrift4"/>
      <w:lvlText w:val="%1.%2.%3.%4"/>
      <w:lvlJc w:val="left"/>
      <w:pPr>
        <w:tabs>
          <w:tab w:val="num" w:pos="1844"/>
        </w:tabs>
        <w:ind w:left="1844" w:hanging="1134"/>
      </w:pPr>
      <w:rPr>
        <w:rFonts w:hint="default"/>
      </w:rPr>
    </w:lvl>
    <w:lvl w:ilvl="4">
      <w:start w:val="1"/>
      <w:numFmt w:val="decimal"/>
      <w:pStyle w:val="berschrift5"/>
      <w:lvlText w:val="%1.%2.%3.%4.%5"/>
      <w:lvlJc w:val="left"/>
      <w:pPr>
        <w:tabs>
          <w:tab w:val="num" w:pos="1293"/>
        </w:tabs>
        <w:ind w:left="1293" w:hanging="1293"/>
      </w:pPr>
      <w:rPr>
        <w:rFonts w:hint="default"/>
      </w:rPr>
    </w:lvl>
    <w:lvl w:ilvl="5">
      <w:start w:val="1"/>
      <w:numFmt w:val="decimal"/>
      <w:pStyle w:val="berschrift6"/>
      <w:lvlText w:val="%1.%2.%3.%4.%5.%6"/>
      <w:lvlJc w:val="left"/>
      <w:pPr>
        <w:tabs>
          <w:tab w:val="num" w:pos="1293"/>
        </w:tabs>
        <w:ind w:left="1293" w:hanging="1293"/>
      </w:pPr>
      <w:rPr>
        <w:rFonts w:hint="default"/>
      </w:rPr>
    </w:lvl>
    <w:lvl w:ilvl="6">
      <w:start w:val="1"/>
      <w:numFmt w:val="decimal"/>
      <w:pStyle w:val="berschrift7"/>
      <w:lvlText w:val="%1.%2.%3.%4.%5.%6.%7"/>
      <w:lvlJc w:val="left"/>
      <w:pPr>
        <w:tabs>
          <w:tab w:val="num" w:pos="1724"/>
        </w:tabs>
        <w:ind w:left="1724" w:hanging="1724"/>
      </w:pPr>
      <w:rPr>
        <w:rFonts w:hint="default"/>
      </w:rPr>
    </w:lvl>
    <w:lvl w:ilvl="7">
      <w:start w:val="1"/>
      <w:numFmt w:val="decimal"/>
      <w:pStyle w:val="berschrift8"/>
      <w:lvlText w:val="%1.%2.%3.%4.%5.%6.%7.%8"/>
      <w:lvlJc w:val="left"/>
      <w:pPr>
        <w:tabs>
          <w:tab w:val="num" w:pos="1724"/>
        </w:tabs>
        <w:ind w:left="1724" w:hanging="1724"/>
      </w:pPr>
      <w:rPr>
        <w:rFonts w:hint="default"/>
      </w:rPr>
    </w:lvl>
    <w:lvl w:ilvl="8">
      <w:start w:val="1"/>
      <w:numFmt w:val="decimal"/>
      <w:pStyle w:val="berschrift9"/>
      <w:lvlText w:val="%1.%2.%3.%4.%5.%6.%7.%8.%9"/>
      <w:lvlJc w:val="left"/>
      <w:pPr>
        <w:tabs>
          <w:tab w:val="num" w:pos="1724"/>
        </w:tabs>
        <w:ind w:left="1724" w:hanging="1724"/>
      </w:pPr>
      <w:rPr>
        <w:rFonts w:hint="default"/>
      </w:rPr>
    </w:lvl>
  </w:abstractNum>
  <w:abstractNum w:abstractNumId="48" w15:restartNumberingAfterBreak="0">
    <w:nsid w:val="50EA7314"/>
    <w:multiLevelType w:val="multilevel"/>
    <w:tmpl w:val="250ED3BA"/>
    <w:lvl w:ilvl="0">
      <w:start w:val="1"/>
      <w:numFmt w:val="bullet"/>
      <w:lvlText w:val=""/>
      <w:lvlJc w:val="left"/>
      <w:pPr>
        <w:ind w:left="284" w:hanging="284"/>
      </w:pPr>
      <w:rPr>
        <w:rFonts w:ascii="Symbol" w:hAnsi="Symbol" w:hint="default"/>
        <w:color w:val="auto"/>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3C20A91"/>
    <w:multiLevelType w:val="hybridMultilevel"/>
    <w:tmpl w:val="DA5EF5F6"/>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4382D4F"/>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15:restartNumberingAfterBreak="0">
    <w:nsid w:val="5A6E66CD"/>
    <w:multiLevelType w:val="hybridMultilevel"/>
    <w:tmpl w:val="BF12AEE6"/>
    <w:lvl w:ilvl="0" w:tplc="7B7A8534">
      <w:start w:val="1"/>
      <w:numFmt w:val="bullet"/>
      <w:pStyle w:val="ListenBlocksatz"/>
      <w:lvlText w:val=""/>
      <w:lvlJc w:val="left"/>
      <w:pPr>
        <w:ind w:left="720" w:hanging="360"/>
      </w:pPr>
      <w:rPr>
        <w:rFonts w:ascii="Symbol" w:hAnsi="Symbol" w:hint="default"/>
      </w:rPr>
    </w:lvl>
    <w:lvl w:ilvl="1" w:tplc="7EAE44F2">
      <w:start w:val="1"/>
      <w:numFmt w:val="bullet"/>
      <w:lvlText w:val="o"/>
      <w:lvlJc w:val="left"/>
      <w:pPr>
        <w:ind w:left="1440" w:hanging="360"/>
      </w:pPr>
      <w:rPr>
        <w:rFonts w:ascii="Courier New" w:hAnsi="Courier New" w:hint="default"/>
      </w:rPr>
    </w:lvl>
    <w:lvl w:ilvl="2" w:tplc="8B14E906" w:tentative="1">
      <w:start w:val="1"/>
      <w:numFmt w:val="bullet"/>
      <w:lvlText w:val=""/>
      <w:lvlJc w:val="left"/>
      <w:pPr>
        <w:ind w:left="2160" w:hanging="360"/>
      </w:pPr>
      <w:rPr>
        <w:rFonts w:ascii="Wingdings" w:hAnsi="Wingdings" w:hint="default"/>
      </w:rPr>
    </w:lvl>
    <w:lvl w:ilvl="3" w:tplc="3DB816C8" w:tentative="1">
      <w:start w:val="1"/>
      <w:numFmt w:val="bullet"/>
      <w:lvlText w:val=""/>
      <w:lvlJc w:val="left"/>
      <w:pPr>
        <w:ind w:left="2880" w:hanging="360"/>
      </w:pPr>
      <w:rPr>
        <w:rFonts w:ascii="Symbol" w:hAnsi="Symbol" w:hint="default"/>
      </w:rPr>
    </w:lvl>
    <w:lvl w:ilvl="4" w:tplc="36D03E78" w:tentative="1">
      <w:start w:val="1"/>
      <w:numFmt w:val="bullet"/>
      <w:lvlText w:val="o"/>
      <w:lvlJc w:val="left"/>
      <w:pPr>
        <w:ind w:left="3600" w:hanging="360"/>
      </w:pPr>
      <w:rPr>
        <w:rFonts w:ascii="Courier New" w:hAnsi="Courier New" w:hint="default"/>
      </w:rPr>
    </w:lvl>
    <w:lvl w:ilvl="5" w:tplc="02086924" w:tentative="1">
      <w:start w:val="1"/>
      <w:numFmt w:val="bullet"/>
      <w:lvlText w:val=""/>
      <w:lvlJc w:val="left"/>
      <w:pPr>
        <w:ind w:left="4320" w:hanging="360"/>
      </w:pPr>
      <w:rPr>
        <w:rFonts w:ascii="Wingdings" w:hAnsi="Wingdings" w:hint="default"/>
      </w:rPr>
    </w:lvl>
    <w:lvl w:ilvl="6" w:tplc="11DC8290" w:tentative="1">
      <w:start w:val="1"/>
      <w:numFmt w:val="bullet"/>
      <w:lvlText w:val=""/>
      <w:lvlJc w:val="left"/>
      <w:pPr>
        <w:ind w:left="5040" w:hanging="360"/>
      </w:pPr>
      <w:rPr>
        <w:rFonts w:ascii="Symbol" w:hAnsi="Symbol" w:hint="default"/>
      </w:rPr>
    </w:lvl>
    <w:lvl w:ilvl="7" w:tplc="59BE29FC" w:tentative="1">
      <w:start w:val="1"/>
      <w:numFmt w:val="bullet"/>
      <w:lvlText w:val="o"/>
      <w:lvlJc w:val="left"/>
      <w:pPr>
        <w:ind w:left="5760" w:hanging="360"/>
      </w:pPr>
      <w:rPr>
        <w:rFonts w:ascii="Courier New" w:hAnsi="Courier New" w:hint="default"/>
      </w:rPr>
    </w:lvl>
    <w:lvl w:ilvl="8" w:tplc="21FAE748" w:tentative="1">
      <w:start w:val="1"/>
      <w:numFmt w:val="bullet"/>
      <w:lvlText w:val=""/>
      <w:lvlJc w:val="left"/>
      <w:pPr>
        <w:ind w:left="6480" w:hanging="360"/>
      </w:pPr>
      <w:rPr>
        <w:rFonts w:ascii="Wingdings" w:hAnsi="Wingdings" w:hint="default"/>
      </w:rPr>
    </w:lvl>
  </w:abstractNum>
  <w:abstractNum w:abstractNumId="52" w15:restartNumberingAfterBreak="0">
    <w:nsid w:val="5BD667BF"/>
    <w:multiLevelType w:val="multilevel"/>
    <w:tmpl w:val="B388D850"/>
    <w:numStyleLink w:val="NummerierteListe"/>
  </w:abstractNum>
  <w:abstractNum w:abstractNumId="53" w15:restartNumberingAfterBreak="0">
    <w:nsid w:val="5D723791"/>
    <w:multiLevelType w:val="hybridMultilevel"/>
    <w:tmpl w:val="9C6C63C4"/>
    <w:lvl w:ilvl="0" w:tplc="7F14C3BE">
      <w:start w:val="1"/>
      <w:numFmt w:val="lowerLetter"/>
      <w:lvlText w:val="%1)"/>
      <w:lvlJc w:val="left"/>
      <w:pPr>
        <w:ind w:left="360" w:hanging="360"/>
      </w:pPr>
      <w:rPr>
        <w:rFonts w:hint="default"/>
      </w:rPr>
    </w:lvl>
    <w:lvl w:ilvl="1" w:tplc="CD4A470A" w:tentative="1">
      <w:start w:val="1"/>
      <w:numFmt w:val="lowerLetter"/>
      <w:lvlText w:val="%2."/>
      <w:lvlJc w:val="left"/>
      <w:pPr>
        <w:ind w:left="1080" w:hanging="360"/>
      </w:pPr>
    </w:lvl>
    <w:lvl w:ilvl="2" w:tplc="CCEE7D9A" w:tentative="1">
      <w:start w:val="1"/>
      <w:numFmt w:val="lowerRoman"/>
      <w:lvlText w:val="%3."/>
      <w:lvlJc w:val="right"/>
      <w:pPr>
        <w:ind w:left="1800" w:hanging="180"/>
      </w:pPr>
    </w:lvl>
    <w:lvl w:ilvl="3" w:tplc="0F50CE40" w:tentative="1">
      <w:start w:val="1"/>
      <w:numFmt w:val="decimal"/>
      <w:lvlText w:val="%4."/>
      <w:lvlJc w:val="left"/>
      <w:pPr>
        <w:ind w:left="2520" w:hanging="360"/>
      </w:pPr>
    </w:lvl>
    <w:lvl w:ilvl="4" w:tplc="1CAA1960" w:tentative="1">
      <w:start w:val="1"/>
      <w:numFmt w:val="lowerLetter"/>
      <w:lvlText w:val="%5."/>
      <w:lvlJc w:val="left"/>
      <w:pPr>
        <w:ind w:left="3240" w:hanging="360"/>
      </w:pPr>
    </w:lvl>
    <w:lvl w:ilvl="5" w:tplc="DBE6CA02" w:tentative="1">
      <w:start w:val="1"/>
      <w:numFmt w:val="lowerRoman"/>
      <w:lvlText w:val="%6."/>
      <w:lvlJc w:val="right"/>
      <w:pPr>
        <w:ind w:left="3960" w:hanging="180"/>
      </w:pPr>
    </w:lvl>
    <w:lvl w:ilvl="6" w:tplc="50CE84E4" w:tentative="1">
      <w:start w:val="1"/>
      <w:numFmt w:val="decimal"/>
      <w:lvlText w:val="%7."/>
      <w:lvlJc w:val="left"/>
      <w:pPr>
        <w:ind w:left="4680" w:hanging="360"/>
      </w:pPr>
    </w:lvl>
    <w:lvl w:ilvl="7" w:tplc="C5EEBFEA" w:tentative="1">
      <w:start w:val="1"/>
      <w:numFmt w:val="lowerLetter"/>
      <w:lvlText w:val="%8."/>
      <w:lvlJc w:val="left"/>
      <w:pPr>
        <w:ind w:left="5400" w:hanging="360"/>
      </w:pPr>
    </w:lvl>
    <w:lvl w:ilvl="8" w:tplc="E7C893FE" w:tentative="1">
      <w:start w:val="1"/>
      <w:numFmt w:val="lowerRoman"/>
      <w:lvlText w:val="%9."/>
      <w:lvlJc w:val="right"/>
      <w:pPr>
        <w:ind w:left="6120" w:hanging="180"/>
      </w:pPr>
    </w:lvl>
  </w:abstractNum>
  <w:abstractNum w:abstractNumId="54" w15:restartNumberingAfterBreak="0">
    <w:nsid w:val="5DA54B61"/>
    <w:multiLevelType w:val="hybridMultilevel"/>
    <w:tmpl w:val="03B0B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ECE41E9"/>
    <w:multiLevelType w:val="multilevel"/>
    <w:tmpl w:val="DCCE8E4E"/>
    <w:lvl w:ilvl="0">
      <w:start w:val="1"/>
      <w:numFmt w:val="decimal"/>
      <w:lvlText w:val="%1."/>
      <w:lvlJc w:val="left"/>
      <w:pPr>
        <w:ind w:left="284" w:hanging="28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00608F0"/>
    <w:multiLevelType w:val="hybridMultilevel"/>
    <w:tmpl w:val="433A9C1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60B97396"/>
    <w:multiLevelType w:val="hybridMultilevel"/>
    <w:tmpl w:val="007E3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1610931"/>
    <w:multiLevelType w:val="hybridMultilevel"/>
    <w:tmpl w:val="7B4E0380"/>
    <w:lvl w:ilvl="0" w:tplc="708643C6">
      <w:start w:val="1"/>
      <w:numFmt w:val="bullet"/>
      <w:lvlText w:val=""/>
      <w:lvlJc w:val="left"/>
      <w:pPr>
        <w:ind w:left="1582" w:hanging="360"/>
      </w:pPr>
      <w:rPr>
        <w:rFonts w:ascii="Symbol" w:hAnsi="Symbol" w:hint="default"/>
      </w:rPr>
    </w:lvl>
    <w:lvl w:ilvl="1" w:tplc="60C4AE6E" w:tentative="1">
      <w:start w:val="1"/>
      <w:numFmt w:val="bullet"/>
      <w:lvlText w:val="o"/>
      <w:lvlJc w:val="left"/>
      <w:pPr>
        <w:ind w:left="2302" w:hanging="360"/>
      </w:pPr>
      <w:rPr>
        <w:rFonts w:ascii="Courier New" w:hAnsi="Courier New" w:cs="Courier New" w:hint="default"/>
      </w:rPr>
    </w:lvl>
    <w:lvl w:ilvl="2" w:tplc="5E3E04B8" w:tentative="1">
      <w:start w:val="1"/>
      <w:numFmt w:val="bullet"/>
      <w:lvlText w:val=""/>
      <w:lvlJc w:val="left"/>
      <w:pPr>
        <w:ind w:left="3022" w:hanging="360"/>
      </w:pPr>
      <w:rPr>
        <w:rFonts w:ascii="Wingdings" w:hAnsi="Wingdings" w:hint="default"/>
      </w:rPr>
    </w:lvl>
    <w:lvl w:ilvl="3" w:tplc="75B645F6" w:tentative="1">
      <w:start w:val="1"/>
      <w:numFmt w:val="bullet"/>
      <w:lvlText w:val=""/>
      <w:lvlJc w:val="left"/>
      <w:pPr>
        <w:ind w:left="3742" w:hanging="360"/>
      </w:pPr>
      <w:rPr>
        <w:rFonts w:ascii="Symbol" w:hAnsi="Symbol" w:hint="default"/>
      </w:rPr>
    </w:lvl>
    <w:lvl w:ilvl="4" w:tplc="72AED5E6" w:tentative="1">
      <w:start w:val="1"/>
      <w:numFmt w:val="bullet"/>
      <w:lvlText w:val="o"/>
      <w:lvlJc w:val="left"/>
      <w:pPr>
        <w:ind w:left="4462" w:hanging="360"/>
      </w:pPr>
      <w:rPr>
        <w:rFonts w:ascii="Courier New" w:hAnsi="Courier New" w:cs="Courier New" w:hint="default"/>
      </w:rPr>
    </w:lvl>
    <w:lvl w:ilvl="5" w:tplc="79B8255E" w:tentative="1">
      <w:start w:val="1"/>
      <w:numFmt w:val="bullet"/>
      <w:lvlText w:val=""/>
      <w:lvlJc w:val="left"/>
      <w:pPr>
        <w:ind w:left="5182" w:hanging="360"/>
      </w:pPr>
      <w:rPr>
        <w:rFonts w:ascii="Wingdings" w:hAnsi="Wingdings" w:hint="default"/>
      </w:rPr>
    </w:lvl>
    <w:lvl w:ilvl="6" w:tplc="E35AB252" w:tentative="1">
      <w:start w:val="1"/>
      <w:numFmt w:val="bullet"/>
      <w:lvlText w:val=""/>
      <w:lvlJc w:val="left"/>
      <w:pPr>
        <w:ind w:left="5902" w:hanging="360"/>
      </w:pPr>
      <w:rPr>
        <w:rFonts w:ascii="Symbol" w:hAnsi="Symbol" w:hint="default"/>
      </w:rPr>
    </w:lvl>
    <w:lvl w:ilvl="7" w:tplc="88D2732C" w:tentative="1">
      <w:start w:val="1"/>
      <w:numFmt w:val="bullet"/>
      <w:lvlText w:val="o"/>
      <w:lvlJc w:val="left"/>
      <w:pPr>
        <w:ind w:left="6622" w:hanging="360"/>
      </w:pPr>
      <w:rPr>
        <w:rFonts w:ascii="Courier New" w:hAnsi="Courier New" w:cs="Courier New" w:hint="default"/>
      </w:rPr>
    </w:lvl>
    <w:lvl w:ilvl="8" w:tplc="DE760AD6" w:tentative="1">
      <w:start w:val="1"/>
      <w:numFmt w:val="bullet"/>
      <w:lvlText w:val=""/>
      <w:lvlJc w:val="left"/>
      <w:pPr>
        <w:ind w:left="7342" w:hanging="360"/>
      </w:pPr>
      <w:rPr>
        <w:rFonts w:ascii="Wingdings" w:hAnsi="Wingdings" w:hint="default"/>
      </w:rPr>
    </w:lvl>
  </w:abstractNum>
  <w:abstractNum w:abstractNumId="59" w15:restartNumberingAfterBreak="0">
    <w:nsid w:val="63B558CB"/>
    <w:multiLevelType w:val="multilevel"/>
    <w:tmpl w:val="0407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0" w15:restartNumberingAfterBreak="0">
    <w:nsid w:val="65E25C5A"/>
    <w:multiLevelType w:val="hybridMultilevel"/>
    <w:tmpl w:val="A65CA46E"/>
    <w:lvl w:ilvl="0" w:tplc="04070001">
      <w:start w:val="1"/>
      <w:numFmt w:val="bullet"/>
      <w:pStyle w:val="BDEW-Pfeil"/>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D6561A"/>
    <w:multiLevelType w:val="multilevel"/>
    <w:tmpl w:val="7CBE03B4"/>
    <w:styleLink w:val="1ai"/>
    <w:lvl w:ilvl="0">
      <w:start w:val="1"/>
      <w:numFmt w:val="decimal"/>
      <w:lvlText w:val="%1."/>
      <w:lvlJc w:val="left"/>
      <w:pPr>
        <w:ind w:left="284" w:hanging="284"/>
      </w:pPr>
      <w:rPr>
        <w:rFonts w:cs="Times New Roman" w:hint="default"/>
      </w:rPr>
    </w:lvl>
    <w:lvl w:ilvl="1">
      <w:start w:val="1"/>
      <w:numFmt w:val="upperLetter"/>
      <w:lvlText w:val="%2)"/>
      <w:lvlJc w:val="left"/>
      <w:pPr>
        <w:ind w:left="851" w:hanging="567"/>
      </w:pPr>
      <w:rPr>
        <w:rFonts w:cs="Times New Roman" w:hint="default"/>
      </w:rPr>
    </w:lvl>
    <w:lvl w:ilvl="2">
      <w:start w:val="1"/>
      <w:numFmt w:val="lowerRoman"/>
      <w:lvlText w:val="%3)"/>
      <w:lvlJc w:val="left"/>
      <w:pPr>
        <w:tabs>
          <w:tab w:val="num" w:pos="6566"/>
        </w:tabs>
        <w:ind w:left="6566" w:hanging="360"/>
      </w:pPr>
      <w:rPr>
        <w:rFonts w:cs="Times New Roman" w:hint="default"/>
      </w:rPr>
    </w:lvl>
    <w:lvl w:ilvl="3">
      <w:start w:val="1"/>
      <w:numFmt w:val="decimal"/>
      <w:lvlText w:val="(%4)"/>
      <w:lvlJc w:val="left"/>
      <w:pPr>
        <w:tabs>
          <w:tab w:val="num" w:pos="6926"/>
        </w:tabs>
        <w:ind w:left="6926" w:hanging="360"/>
      </w:pPr>
      <w:rPr>
        <w:rFonts w:cs="Times New Roman" w:hint="default"/>
      </w:rPr>
    </w:lvl>
    <w:lvl w:ilvl="4">
      <w:start w:val="1"/>
      <w:numFmt w:val="lowerLetter"/>
      <w:lvlText w:val="(%5)"/>
      <w:lvlJc w:val="left"/>
      <w:pPr>
        <w:tabs>
          <w:tab w:val="num" w:pos="7286"/>
        </w:tabs>
        <w:ind w:left="7286" w:hanging="360"/>
      </w:pPr>
      <w:rPr>
        <w:rFonts w:cs="Times New Roman" w:hint="default"/>
      </w:rPr>
    </w:lvl>
    <w:lvl w:ilvl="5">
      <w:start w:val="1"/>
      <w:numFmt w:val="lowerRoman"/>
      <w:lvlText w:val="(%6)"/>
      <w:lvlJc w:val="left"/>
      <w:pPr>
        <w:tabs>
          <w:tab w:val="num" w:pos="7646"/>
        </w:tabs>
        <w:ind w:left="7646" w:hanging="360"/>
      </w:pPr>
      <w:rPr>
        <w:rFonts w:cs="Times New Roman" w:hint="default"/>
      </w:rPr>
    </w:lvl>
    <w:lvl w:ilvl="6">
      <w:start w:val="1"/>
      <w:numFmt w:val="decimal"/>
      <w:lvlText w:val="%7."/>
      <w:lvlJc w:val="left"/>
      <w:pPr>
        <w:tabs>
          <w:tab w:val="num" w:pos="8006"/>
        </w:tabs>
        <w:ind w:left="8006" w:hanging="360"/>
      </w:pPr>
      <w:rPr>
        <w:rFonts w:cs="Times New Roman" w:hint="default"/>
      </w:rPr>
    </w:lvl>
    <w:lvl w:ilvl="7">
      <w:start w:val="1"/>
      <w:numFmt w:val="lowerLetter"/>
      <w:lvlText w:val="%8."/>
      <w:lvlJc w:val="left"/>
      <w:pPr>
        <w:tabs>
          <w:tab w:val="num" w:pos="8366"/>
        </w:tabs>
        <w:ind w:left="8366" w:hanging="360"/>
      </w:pPr>
      <w:rPr>
        <w:rFonts w:cs="Times New Roman" w:hint="default"/>
      </w:rPr>
    </w:lvl>
    <w:lvl w:ilvl="8">
      <w:start w:val="1"/>
      <w:numFmt w:val="lowerRoman"/>
      <w:lvlText w:val="%9."/>
      <w:lvlJc w:val="left"/>
      <w:pPr>
        <w:tabs>
          <w:tab w:val="num" w:pos="8726"/>
        </w:tabs>
        <w:ind w:left="8726" w:hanging="360"/>
      </w:pPr>
      <w:rPr>
        <w:rFonts w:cs="Times New Roman" w:hint="default"/>
      </w:rPr>
    </w:lvl>
  </w:abstractNum>
  <w:abstractNum w:abstractNumId="62" w15:restartNumberingAfterBreak="0">
    <w:nsid w:val="6ABF6371"/>
    <w:multiLevelType w:val="hybridMultilevel"/>
    <w:tmpl w:val="998C3570"/>
    <w:lvl w:ilvl="0" w:tplc="34C6FB30">
      <w:start w:val="1"/>
      <w:numFmt w:val="decimal"/>
      <w:pStyle w:val="Nummerierung"/>
      <w:lvlText w:val="%1."/>
      <w:lvlJc w:val="left"/>
      <w:pPr>
        <w:tabs>
          <w:tab w:val="num" w:pos="1004"/>
        </w:tabs>
        <w:ind w:left="1004" w:hanging="360"/>
      </w:pPr>
      <w:rPr>
        <w:rFonts w:cs="Times New Roman"/>
      </w:rPr>
    </w:lvl>
    <w:lvl w:ilvl="1" w:tplc="F8FA362C">
      <w:start w:val="1"/>
      <w:numFmt w:val="lowerLetter"/>
      <w:lvlText w:val="%2."/>
      <w:lvlJc w:val="left"/>
      <w:pPr>
        <w:tabs>
          <w:tab w:val="num" w:pos="1724"/>
        </w:tabs>
        <w:ind w:left="1724" w:hanging="360"/>
      </w:pPr>
      <w:rPr>
        <w:rFonts w:cs="Times New Roman"/>
      </w:rPr>
    </w:lvl>
    <w:lvl w:ilvl="2" w:tplc="B1105E8A" w:tentative="1">
      <w:start w:val="1"/>
      <w:numFmt w:val="lowerRoman"/>
      <w:lvlText w:val="%3."/>
      <w:lvlJc w:val="right"/>
      <w:pPr>
        <w:tabs>
          <w:tab w:val="num" w:pos="2444"/>
        </w:tabs>
        <w:ind w:left="2444" w:hanging="180"/>
      </w:pPr>
      <w:rPr>
        <w:rFonts w:cs="Times New Roman"/>
      </w:rPr>
    </w:lvl>
    <w:lvl w:ilvl="3" w:tplc="62C6AEB4" w:tentative="1">
      <w:start w:val="1"/>
      <w:numFmt w:val="decimal"/>
      <w:lvlText w:val="%4."/>
      <w:lvlJc w:val="left"/>
      <w:pPr>
        <w:tabs>
          <w:tab w:val="num" w:pos="3164"/>
        </w:tabs>
        <w:ind w:left="3164" w:hanging="360"/>
      </w:pPr>
      <w:rPr>
        <w:rFonts w:cs="Times New Roman"/>
      </w:rPr>
    </w:lvl>
    <w:lvl w:ilvl="4" w:tplc="D9F07A2A" w:tentative="1">
      <w:start w:val="1"/>
      <w:numFmt w:val="lowerLetter"/>
      <w:lvlText w:val="%5."/>
      <w:lvlJc w:val="left"/>
      <w:pPr>
        <w:tabs>
          <w:tab w:val="num" w:pos="3884"/>
        </w:tabs>
        <w:ind w:left="3884" w:hanging="360"/>
      </w:pPr>
      <w:rPr>
        <w:rFonts w:cs="Times New Roman"/>
      </w:rPr>
    </w:lvl>
    <w:lvl w:ilvl="5" w:tplc="430ED0A8" w:tentative="1">
      <w:start w:val="1"/>
      <w:numFmt w:val="lowerRoman"/>
      <w:lvlText w:val="%6."/>
      <w:lvlJc w:val="right"/>
      <w:pPr>
        <w:tabs>
          <w:tab w:val="num" w:pos="4604"/>
        </w:tabs>
        <w:ind w:left="4604" w:hanging="180"/>
      </w:pPr>
      <w:rPr>
        <w:rFonts w:cs="Times New Roman"/>
      </w:rPr>
    </w:lvl>
    <w:lvl w:ilvl="6" w:tplc="47B439C4" w:tentative="1">
      <w:start w:val="1"/>
      <w:numFmt w:val="decimal"/>
      <w:lvlText w:val="%7."/>
      <w:lvlJc w:val="left"/>
      <w:pPr>
        <w:tabs>
          <w:tab w:val="num" w:pos="5324"/>
        </w:tabs>
        <w:ind w:left="5324" w:hanging="360"/>
      </w:pPr>
      <w:rPr>
        <w:rFonts w:cs="Times New Roman"/>
      </w:rPr>
    </w:lvl>
    <w:lvl w:ilvl="7" w:tplc="9A1828EA" w:tentative="1">
      <w:start w:val="1"/>
      <w:numFmt w:val="lowerLetter"/>
      <w:lvlText w:val="%8."/>
      <w:lvlJc w:val="left"/>
      <w:pPr>
        <w:tabs>
          <w:tab w:val="num" w:pos="6044"/>
        </w:tabs>
        <w:ind w:left="6044" w:hanging="360"/>
      </w:pPr>
      <w:rPr>
        <w:rFonts w:cs="Times New Roman"/>
      </w:rPr>
    </w:lvl>
    <w:lvl w:ilvl="8" w:tplc="DCFE9356" w:tentative="1">
      <w:start w:val="1"/>
      <w:numFmt w:val="lowerRoman"/>
      <w:lvlText w:val="%9."/>
      <w:lvlJc w:val="right"/>
      <w:pPr>
        <w:tabs>
          <w:tab w:val="num" w:pos="6764"/>
        </w:tabs>
        <w:ind w:left="6764" w:hanging="180"/>
      </w:pPr>
      <w:rPr>
        <w:rFonts w:cs="Times New Roman"/>
      </w:rPr>
    </w:lvl>
  </w:abstractNum>
  <w:abstractNum w:abstractNumId="63" w15:restartNumberingAfterBreak="0">
    <w:nsid w:val="6BE33BFC"/>
    <w:multiLevelType w:val="hybridMultilevel"/>
    <w:tmpl w:val="038A2B7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4" w15:restartNumberingAfterBreak="0">
    <w:nsid w:val="6C251847"/>
    <w:multiLevelType w:val="hybridMultilevel"/>
    <w:tmpl w:val="18D615EA"/>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6D05175A"/>
    <w:multiLevelType w:val="hybridMultilevel"/>
    <w:tmpl w:val="3650FF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6E853484"/>
    <w:multiLevelType w:val="hybridMultilevel"/>
    <w:tmpl w:val="35F0AA58"/>
    <w:lvl w:ilvl="0" w:tplc="94AC31D4">
      <w:start w:val="1"/>
      <w:numFmt w:val="bullet"/>
      <w:pStyle w:val="Aufzhlungszeichen3"/>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7248CE"/>
    <w:multiLevelType w:val="hybridMultilevel"/>
    <w:tmpl w:val="85E653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71355A7B"/>
    <w:multiLevelType w:val="multilevel"/>
    <w:tmpl w:val="1F567908"/>
    <w:styleLink w:val="Gliederung4"/>
    <w:lvl w:ilvl="0">
      <w:start w:val="27"/>
      <w:numFmt w:val="lowerLetter"/>
      <w:lvlText w:val="%1)"/>
      <w:lvlJc w:val="left"/>
      <w:pPr>
        <w:tabs>
          <w:tab w:val="num" w:pos="1418"/>
        </w:tabs>
        <w:ind w:left="1418"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69" w15:restartNumberingAfterBreak="0">
    <w:nsid w:val="7B2C20EE"/>
    <w:multiLevelType w:val="hybridMultilevel"/>
    <w:tmpl w:val="19FC61FA"/>
    <w:lvl w:ilvl="0" w:tplc="C0A2C218">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70" w15:restartNumberingAfterBreak="0">
    <w:nsid w:val="7CB03156"/>
    <w:multiLevelType w:val="hybridMultilevel"/>
    <w:tmpl w:val="BB482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F0C4652"/>
    <w:multiLevelType w:val="hybridMultilevel"/>
    <w:tmpl w:val="08A615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0"/>
  </w:num>
  <w:num w:numId="2">
    <w:abstractNumId w:val="5"/>
  </w:num>
  <w:num w:numId="3">
    <w:abstractNumId w:val="4"/>
  </w:num>
  <w:num w:numId="4">
    <w:abstractNumId w:val="3"/>
  </w:num>
  <w:num w:numId="5">
    <w:abstractNumId w:val="2"/>
  </w:num>
  <w:num w:numId="6">
    <w:abstractNumId w:val="1"/>
  </w:num>
  <w:num w:numId="7">
    <w:abstractNumId w:val="0"/>
  </w:num>
  <w:num w:numId="8">
    <w:abstractNumId w:val="66"/>
  </w:num>
  <w:num w:numId="9">
    <w:abstractNumId w:val="42"/>
  </w:num>
  <w:num w:numId="10">
    <w:abstractNumId w:val="10"/>
  </w:num>
  <w:num w:numId="11">
    <w:abstractNumId w:val="50"/>
  </w:num>
  <w:num w:numId="12">
    <w:abstractNumId w:val="61"/>
  </w:num>
  <w:num w:numId="13">
    <w:abstractNumId w:val="31"/>
  </w:num>
  <w:num w:numId="14">
    <w:abstractNumId w:val="51"/>
  </w:num>
  <w:num w:numId="15">
    <w:abstractNumId w:val="8"/>
  </w:num>
  <w:num w:numId="16">
    <w:abstractNumId w:val="35"/>
  </w:num>
  <w:num w:numId="17">
    <w:abstractNumId w:val="34"/>
  </w:num>
  <w:num w:numId="18">
    <w:abstractNumId w:val="68"/>
  </w:num>
  <w:num w:numId="19">
    <w:abstractNumId w:val="9"/>
  </w:num>
  <w:num w:numId="20">
    <w:abstractNumId w:val="41"/>
  </w:num>
  <w:num w:numId="21">
    <w:abstractNumId w:val="52"/>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0"/>
  </w:num>
  <w:num w:numId="25">
    <w:abstractNumId w:val="33"/>
  </w:num>
  <w:num w:numId="26">
    <w:abstractNumId w:val="69"/>
  </w:num>
  <w:num w:numId="27">
    <w:abstractNumId w:val="65"/>
  </w:num>
  <w:num w:numId="28">
    <w:abstractNumId w:val="47"/>
  </w:num>
  <w:num w:numId="29">
    <w:abstractNumId w:val="32"/>
  </w:num>
  <w:num w:numId="30">
    <w:abstractNumId w:val="6"/>
  </w:num>
  <w:num w:numId="31">
    <w:abstractNumId w:val="62"/>
  </w:num>
  <w:num w:numId="32">
    <w:abstractNumId w:val="30"/>
  </w:num>
  <w:num w:numId="33">
    <w:abstractNumId w:val="55"/>
  </w:num>
  <w:num w:numId="34">
    <w:abstractNumId w:val="16"/>
  </w:num>
  <w:num w:numId="35">
    <w:abstractNumId w:val="53"/>
  </w:num>
  <w:num w:numId="36">
    <w:abstractNumId w:val="14"/>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39"/>
  </w:num>
  <w:num w:numId="41">
    <w:abstractNumId w:val="27"/>
  </w:num>
  <w:num w:numId="42">
    <w:abstractNumId w:val="29"/>
  </w:num>
  <w:num w:numId="43">
    <w:abstractNumId w:val="46"/>
  </w:num>
  <w:num w:numId="44">
    <w:abstractNumId w:val="58"/>
  </w:num>
  <w:num w:numId="45">
    <w:abstractNumId w:val="40"/>
  </w:num>
  <w:num w:numId="46">
    <w:abstractNumId w:val="43"/>
  </w:num>
  <w:num w:numId="47">
    <w:abstractNumId w:val="70"/>
  </w:num>
  <w:num w:numId="48">
    <w:abstractNumId w:val="71"/>
  </w:num>
  <w:num w:numId="49">
    <w:abstractNumId w:val="59"/>
  </w:num>
  <w:num w:numId="50">
    <w:abstractNumId w:val="19"/>
  </w:num>
  <w:num w:numId="51">
    <w:abstractNumId w:val="25"/>
  </w:num>
  <w:num w:numId="52">
    <w:abstractNumId w:val="37"/>
  </w:num>
  <w:num w:numId="53">
    <w:abstractNumId w:val="18"/>
  </w:num>
  <w:num w:numId="54">
    <w:abstractNumId w:val="11"/>
  </w:num>
  <w:num w:numId="55">
    <w:abstractNumId w:val="64"/>
  </w:num>
  <w:num w:numId="56">
    <w:abstractNumId w:val="23"/>
  </w:num>
  <w:num w:numId="57">
    <w:abstractNumId w:val="28"/>
  </w:num>
  <w:num w:numId="58">
    <w:abstractNumId w:val="45"/>
  </w:num>
  <w:num w:numId="59">
    <w:abstractNumId w:val="24"/>
  </w:num>
  <w:num w:numId="60">
    <w:abstractNumId w:val="17"/>
  </w:num>
  <w:num w:numId="61">
    <w:abstractNumId w:val="49"/>
  </w:num>
  <w:num w:numId="62">
    <w:abstractNumId w:val="48"/>
  </w:num>
  <w:num w:numId="63">
    <w:abstractNumId w:val="21"/>
  </w:num>
  <w:num w:numId="64">
    <w:abstractNumId w:val="26"/>
  </w:num>
  <w:num w:numId="65">
    <w:abstractNumId w:val="15"/>
  </w:num>
  <w:num w:numId="66">
    <w:abstractNumId w:val="57"/>
  </w:num>
  <w:num w:numId="67">
    <w:abstractNumId w:val="44"/>
  </w:num>
  <w:num w:numId="68">
    <w:abstractNumId w:val="22"/>
  </w:num>
  <w:num w:numId="69">
    <w:abstractNumId w:val="56"/>
  </w:num>
  <w:num w:numId="70">
    <w:abstractNumId w:val="36"/>
  </w:num>
  <w:num w:numId="71">
    <w:abstractNumId w:val="63"/>
  </w:num>
  <w:num w:numId="72">
    <w:abstractNumId w:val="13"/>
  </w:num>
  <w:num w:numId="73">
    <w:abstractNumId w:val="54"/>
  </w:num>
  <w:num w:numId="74">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0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862"/>
  <w:autoHyphenation/>
  <w:hyphenationZone w:val="142"/>
  <w:doNotHyphenateCaps/>
  <w:drawingGridHorizontalSpacing w:val="110"/>
  <w:drawingGridVerticalSpacing w:val="301"/>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312"/>
    <w:rsid w:val="00000406"/>
    <w:rsid w:val="00000573"/>
    <w:rsid w:val="0000073C"/>
    <w:rsid w:val="00000A9B"/>
    <w:rsid w:val="00000FC8"/>
    <w:rsid w:val="000011A9"/>
    <w:rsid w:val="00001297"/>
    <w:rsid w:val="000012F7"/>
    <w:rsid w:val="00001341"/>
    <w:rsid w:val="000013F7"/>
    <w:rsid w:val="00001409"/>
    <w:rsid w:val="000014BB"/>
    <w:rsid w:val="0000262C"/>
    <w:rsid w:val="00002CAE"/>
    <w:rsid w:val="0000332D"/>
    <w:rsid w:val="000034F0"/>
    <w:rsid w:val="00003AB1"/>
    <w:rsid w:val="00003CB7"/>
    <w:rsid w:val="00003E5B"/>
    <w:rsid w:val="000043D0"/>
    <w:rsid w:val="00005570"/>
    <w:rsid w:val="00005651"/>
    <w:rsid w:val="00005760"/>
    <w:rsid w:val="00005D14"/>
    <w:rsid w:val="0000642A"/>
    <w:rsid w:val="00006C34"/>
    <w:rsid w:val="00006DBF"/>
    <w:rsid w:val="0000732D"/>
    <w:rsid w:val="0000791A"/>
    <w:rsid w:val="000079A7"/>
    <w:rsid w:val="00010193"/>
    <w:rsid w:val="00010AF0"/>
    <w:rsid w:val="00010F89"/>
    <w:rsid w:val="00011327"/>
    <w:rsid w:val="00011D55"/>
    <w:rsid w:val="00011DC9"/>
    <w:rsid w:val="00012407"/>
    <w:rsid w:val="00012425"/>
    <w:rsid w:val="00012659"/>
    <w:rsid w:val="0001270C"/>
    <w:rsid w:val="00012DC4"/>
    <w:rsid w:val="00013927"/>
    <w:rsid w:val="00013CCE"/>
    <w:rsid w:val="00013D49"/>
    <w:rsid w:val="00013E97"/>
    <w:rsid w:val="00014972"/>
    <w:rsid w:val="0001596E"/>
    <w:rsid w:val="0001597A"/>
    <w:rsid w:val="00016100"/>
    <w:rsid w:val="000165C5"/>
    <w:rsid w:val="00017002"/>
    <w:rsid w:val="0001721F"/>
    <w:rsid w:val="000172B1"/>
    <w:rsid w:val="00017FDF"/>
    <w:rsid w:val="00020244"/>
    <w:rsid w:val="00020430"/>
    <w:rsid w:val="000206BE"/>
    <w:rsid w:val="0002086B"/>
    <w:rsid w:val="00020D77"/>
    <w:rsid w:val="000212F2"/>
    <w:rsid w:val="00021B32"/>
    <w:rsid w:val="00021DCA"/>
    <w:rsid w:val="00021DF3"/>
    <w:rsid w:val="00021E16"/>
    <w:rsid w:val="00021E8C"/>
    <w:rsid w:val="00022231"/>
    <w:rsid w:val="00022953"/>
    <w:rsid w:val="00023440"/>
    <w:rsid w:val="00023BAD"/>
    <w:rsid w:val="00023EDE"/>
    <w:rsid w:val="00023F8F"/>
    <w:rsid w:val="000241B7"/>
    <w:rsid w:val="00024438"/>
    <w:rsid w:val="00024655"/>
    <w:rsid w:val="000247D4"/>
    <w:rsid w:val="00024A9A"/>
    <w:rsid w:val="00024C41"/>
    <w:rsid w:val="00024C73"/>
    <w:rsid w:val="000250AE"/>
    <w:rsid w:val="000250D0"/>
    <w:rsid w:val="000257A9"/>
    <w:rsid w:val="000258C2"/>
    <w:rsid w:val="0002612A"/>
    <w:rsid w:val="00026620"/>
    <w:rsid w:val="00026753"/>
    <w:rsid w:val="000267D9"/>
    <w:rsid w:val="00026992"/>
    <w:rsid w:val="00026C25"/>
    <w:rsid w:val="00026EF8"/>
    <w:rsid w:val="00026FAB"/>
    <w:rsid w:val="00027642"/>
    <w:rsid w:val="000277DA"/>
    <w:rsid w:val="0002796E"/>
    <w:rsid w:val="00027A54"/>
    <w:rsid w:val="0003029D"/>
    <w:rsid w:val="000308DF"/>
    <w:rsid w:val="00030BA0"/>
    <w:rsid w:val="00031C8B"/>
    <w:rsid w:val="00031D18"/>
    <w:rsid w:val="000321C4"/>
    <w:rsid w:val="0003222B"/>
    <w:rsid w:val="000324C8"/>
    <w:rsid w:val="000326AD"/>
    <w:rsid w:val="00033388"/>
    <w:rsid w:val="00033C21"/>
    <w:rsid w:val="00033DED"/>
    <w:rsid w:val="000347CD"/>
    <w:rsid w:val="000356E6"/>
    <w:rsid w:val="00035808"/>
    <w:rsid w:val="00036019"/>
    <w:rsid w:val="0003647E"/>
    <w:rsid w:val="0003683C"/>
    <w:rsid w:val="00037AD6"/>
    <w:rsid w:val="00040617"/>
    <w:rsid w:val="00040B11"/>
    <w:rsid w:val="00040B1E"/>
    <w:rsid w:val="00040D45"/>
    <w:rsid w:val="000419BD"/>
    <w:rsid w:val="00042017"/>
    <w:rsid w:val="000422A1"/>
    <w:rsid w:val="00042757"/>
    <w:rsid w:val="00042D5A"/>
    <w:rsid w:val="00043563"/>
    <w:rsid w:val="00043747"/>
    <w:rsid w:val="0004379F"/>
    <w:rsid w:val="00043828"/>
    <w:rsid w:val="00043ADC"/>
    <w:rsid w:val="00044604"/>
    <w:rsid w:val="0004558C"/>
    <w:rsid w:val="00045677"/>
    <w:rsid w:val="000460C2"/>
    <w:rsid w:val="00047F6B"/>
    <w:rsid w:val="00050474"/>
    <w:rsid w:val="000506A7"/>
    <w:rsid w:val="0005161B"/>
    <w:rsid w:val="000516AF"/>
    <w:rsid w:val="000520E9"/>
    <w:rsid w:val="0005233F"/>
    <w:rsid w:val="000523FF"/>
    <w:rsid w:val="00052499"/>
    <w:rsid w:val="00052908"/>
    <w:rsid w:val="00052A6F"/>
    <w:rsid w:val="00052D9B"/>
    <w:rsid w:val="0005324E"/>
    <w:rsid w:val="0005420C"/>
    <w:rsid w:val="00054286"/>
    <w:rsid w:val="00054731"/>
    <w:rsid w:val="00054882"/>
    <w:rsid w:val="00054B99"/>
    <w:rsid w:val="00055400"/>
    <w:rsid w:val="00056739"/>
    <w:rsid w:val="000568EF"/>
    <w:rsid w:val="00056EF5"/>
    <w:rsid w:val="0005742D"/>
    <w:rsid w:val="00057D7E"/>
    <w:rsid w:val="00057F14"/>
    <w:rsid w:val="00060230"/>
    <w:rsid w:val="00060468"/>
    <w:rsid w:val="00061964"/>
    <w:rsid w:val="00061C02"/>
    <w:rsid w:val="00061C51"/>
    <w:rsid w:val="00061C99"/>
    <w:rsid w:val="00061D51"/>
    <w:rsid w:val="00061EEF"/>
    <w:rsid w:val="0006298A"/>
    <w:rsid w:val="00062BEC"/>
    <w:rsid w:val="0006305B"/>
    <w:rsid w:val="00063377"/>
    <w:rsid w:val="00063624"/>
    <w:rsid w:val="0006433B"/>
    <w:rsid w:val="00064420"/>
    <w:rsid w:val="0006460D"/>
    <w:rsid w:val="00064D99"/>
    <w:rsid w:val="00065F07"/>
    <w:rsid w:val="000664D2"/>
    <w:rsid w:val="00066B09"/>
    <w:rsid w:val="00070E03"/>
    <w:rsid w:val="000713D6"/>
    <w:rsid w:val="0007153A"/>
    <w:rsid w:val="00071544"/>
    <w:rsid w:val="00071818"/>
    <w:rsid w:val="000728BD"/>
    <w:rsid w:val="000731A0"/>
    <w:rsid w:val="00073229"/>
    <w:rsid w:val="000746B1"/>
    <w:rsid w:val="00074D8F"/>
    <w:rsid w:val="00074DA9"/>
    <w:rsid w:val="00074E7D"/>
    <w:rsid w:val="00075221"/>
    <w:rsid w:val="0007568E"/>
    <w:rsid w:val="00075C25"/>
    <w:rsid w:val="00075F19"/>
    <w:rsid w:val="00076017"/>
    <w:rsid w:val="000765A4"/>
    <w:rsid w:val="0007769B"/>
    <w:rsid w:val="000803CA"/>
    <w:rsid w:val="000804CA"/>
    <w:rsid w:val="000810A7"/>
    <w:rsid w:val="0008145B"/>
    <w:rsid w:val="00081E8D"/>
    <w:rsid w:val="000828B7"/>
    <w:rsid w:val="00082960"/>
    <w:rsid w:val="000829DD"/>
    <w:rsid w:val="0008324E"/>
    <w:rsid w:val="00083F68"/>
    <w:rsid w:val="00084228"/>
    <w:rsid w:val="0008469F"/>
    <w:rsid w:val="00084AF8"/>
    <w:rsid w:val="00084E03"/>
    <w:rsid w:val="0008520B"/>
    <w:rsid w:val="00085359"/>
    <w:rsid w:val="000858DF"/>
    <w:rsid w:val="00085BBC"/>
    <w:rsid w:val="00086536"/>
    <w:rsid w:val="00086F72"/>
    <w:rsid w:val="000872BA"/>
    <w:rsid w:val="000874BD"/>
    <w:rsid w:val="0008782A"/>
    <w:rsid w:val="000901FC"/>
    <w:rsid w:val="0009021E"/>
    <w:rsid w:val="0009024B"/>
    <w:rsid w:val="000903EA"/>
    <w:rsid w:val="00090594"/>
    <w:rsid w:val="00091645"/>
    <w:rsid w:val="00091689"/>
    <w:rsid w:val="00091F40"/>
    <w:rsid w:val="000927C0"/>
    <w:rsid w:val="000933CB"/>
    <w:rsid w:val="000934A9"/>
    <w:rsid w:val="000934CE"/>
    <w:rsid w:val="00094415"/>
    <w:rsid w:val="00094661"/>
    <w:rsid w:val="00094966"/>
    <w:rsid w:val="000950D5"/>
    <w:rsid w:val="00095345"/>
    <w:rsid w:val="000959A6"/>
    <w:rsid w:val="000962D8"/>
    <w:rsid w:val="00096960"/>
    <w:rsid w:val="00096B73"/>
    <w:rsid w:val="00096F8E"/>
    <w:rsid w:val="00097090"/>
    <w:rsid w:val="00097198"/>
    <w:rsid w:val="0009741A"/>
    <w:rsid w:val="000976D6"/>
    <w:rsid w:val="000977D4"/>
    <w:rsid w:val="000978D4"/>
    <w:rsid w:val="00097983"/>
    <w:rsid w:val="00097B00"/>
    <w:rsid w:val="00097C98"/>
    <w:rsid w:val="000A0E40"/>
    <w:rsid w:val="000A1288"/>
    <w:rsid w:val="000A17CA"/>
    <w:rsid w:val="000A1A4C"/>
    <w:rsid w:val="000A28BA"/>
    <w:rsid w:val="000A2AC1"/>
    <w:rsid w:val="000A2C58"/>
    <w:rsid w:val="000A2D19"/>
    <w:rsid w:val="000A3073"/>
    <w:rsid w:val="000A3215"/>
    <w:rsid w:val="000A3318"/>
    <w:rsid w:val="000A3425"/>
    <w:rsid w:val="000A353D"/>
    <w:rsid w:val="000A3CEC"/>
    <w:rsid w:val="000A46BF"/>
    <w:rsid w:val="000A58FE"/>
    <w:rsid w:val="000A59F1"/>
    <w:rsid w:val="000A5C09"/>
    <w:rsid w:val="000A5F5A"/>
    <w:rsid w:val="000A6638"/>
    <w:rsid w:val="000A76D2"/>
    <w:rsid w:val="000A7825"/>
    <w:rsid w:val="000B0504"/>
    <w:rsid w:val="000B0724"/>
    <w:rsid w:val="000B07C4"/>
    <w:rsid w:val="000B08F4"/>
    <w:rsid w:val="000B0A89"/>
    <w:rsid w:val="000B0B6D"/>
    <w:rsid w:val="000B0E3D"/>
    <w:rsid w:val="000B14BE"/>
    <w:rsid w:val="000B2A9A"/>
    <w:rsid w:val="000B39E0"/>
    <w:rsid w:val="000B4060"/>
    <w:rsid w:val="000B40C8"/>
    <w:rsid w:val="000B4206"/>
    <w:rsid w:val="000B45DE"/>
    <w:rsid w:val="000B46DF"/>
    <w:rsid w:val="000B48CF"/>
    <w:rsid w:val="000B4A43"/>
    <w:rsid w:val="000B528B"/>
    <w:rsid w:val="000B5547"/>
    <w:rsid w:val="000B58D3"/>
    <w:rsid w:val="000B5F84"/>
    <w:rsid w:val="000B5FD7"/>
    <w:rsid w:val="000B6AB0"/>
    <w:rsid w:val="000B6AF0"/>
    <w:rsid w:val="000B6DD3"/>
    <w:rsid w:val="000B7199"/>
    <w:rsid w:val="000B741A"/>
    <w:rsid w:val="000B7B94"/>
    <w:rsid w:val="000B7C0A"/>
    <w:rsid w:val="000B7DAB"/>
    <w:rsid w:val="000B7EE2"/>
    <w:rsid w:val="000B7F43"/>
    <w:rsid w:val="000C014A"/>
    <w:rsid w:val="000C024D"/>
    <w:rsid w:val="000C031B"/>
    <w:rsid w:val="000C0A00"/>
    <w:rsid w:val="000C0E89"/>
    <w:rsid w:val="000C142C"/>
    <w:rsid w:val="000C14D3"/>
    <w:rsid w:val="000C1862"/>
    <w:rsid w:val="000C1D96"/>
    <w:rsid w:val="000C202C"/>
    <w:rsid w:val="000C26E3"/>
    <w:rsid w:val="000C2859"/>
    <w:rsid w:val="000C2903"/>
    <w:rsid w:val="000C3014"/>
    <w:rsid w:val="000C3C66"/>
    <w:rsid w:val="000C3D1E"/>
    <w:rsid w:val="000C434A"/>
    <w:rsid w:val="000C4D7F"/>
    <w:rsid w:val="000C5096"/>
    <w:rsid w:val="000C51E1"/>
    <w:rsid w:val="000C616C"/>
    <w:rsid w:val="000C63CB"/>
    <w:rsid w:val="000C69C4"/>
    <w:rsid w:val="000C6A9F"/>
    <w:rsid w:val="000C7143"/>
    <w:rsid w:val="000C7343"/>
    <w:rsid w:val="000C77C3"/>
    <w:rsid w:val="000C798A"/>
    <w:rsid w:val="000C79DB"/>
    <w:rsid w:val="000C7BE3"/>
    <w:rsid w:val="000D0AB0"/>
    <w:rsid w:val="000D0B22"/>
    <w:rsid w:val="000D12AB"/>
    <w:rsid w:val="000D1637"/>
    <w:rsid w:val="000D1C90"/>
    <w:rsid w:val="000D278E"/>
    <w:rsid w:val="000D366A"/>
    <w:rsid w:val="000D38DE"/>
    <w:rsid w:val="000D3C70"/>
    <w:rsid w:val="000D3F77"/>
    <w:rsid w:val="000D48AE"/>
    <w:rsid w:val="000D50E8"/>
    <w:rsid w:val="000D5124"/>
    <w:rsid w:val="000D600B"/>
    <w:rsid w:val="000D6062"/>
    <w:rsid w:val="000D649A"/>
    <w:rsid w:val="000D73C7"/>
    <w:rsid w:val="000D7D8A"/>
    <w:rsid w:val="000D7E34"/>
    <w:rsid w:val="000D7FBB"/>
    <w:rsid w:val="000E0460"/>
    <w:rsid w:val="000E0F53"/>
    <w:rsid w:val="000E0F73"/>
    <w:rsid w:val="000E14FA"/>
    <w:rsid w:val="000E1738"/>
    <w:rsid w:val="000E1AE9"/>
    <w:rsid w:val="000E2251"/>
    <w:rsid w:val="000E2E68"/>
    <w:rsid w:val="000E312D"/>
    <w:rsid w:val="000E35B2"/>
    <w:rsid w:val="000E4991"/>
    <w:rsid w:val="000E4D9C"/>
    <w:rsid w:val="000E4F2C"/>
    <w:rsid w:val="000E50B9"/>
    <w:rsid w:val="000E54B7"/>
    <w:rsid w:val="000E54C7"/>
    <w:rsid w:val="000E634C"/>
    <w:rsid w:val="000E651B"/>
    <w:rsid w:val="000E691E"/>
    <w:rsid w:val="000E6AAA"/>
    <w:rsid w:val="000E7537"/>
    <w:rsid w:val="000E7830"/>
    <w:rsid w:val="000E7948"/>
    <w:rsid w:val="000E7E15"/>
    <w:rsid w:val="000F10AF"/>
    <w:rsid w:val="000F19EB"/>
    <w:rsid w:val="000F1B45"/>
    <w:rsid w:val="000F1EC8"/>
    <w:rsid w:val="000F26D5"/>
    <w:rsid w:val="000F2754"/>
    <w:rsid w:val="000F27F5"/>
    <w:rsid w:val="000F29FC"/>
    <w:rsid w:val="000F2A58"/>
    <w:rsid w:val="000F2AD6"/>
    <w:rsid w:val="000F2CA0"/>
    <w:rsid w:val="000F3299"/>
    <w:rsid w:val="000F3387"/>
    <w:rsid w:val="000F3860"/>
    <w:rsid w:val="000F3E7C"/>
    <w:rsid w:val="000F3FF5"/>
    <w:rsid w:val="000F4BBB"/>
    <w:rsid w:val="000F4CCE"/>
    <w:rsid w:val="000F4DD1"/>
    <w:rsid w:val="000F5663"/>
    <w:rsid w:val="000F5CD2"/>
    <w:rsid w:val="000F5F25"/>
    <w:rsid w:val="000F6C06"/>
    <w:rsid w:val="000F734D"/>
    <w:rsid w:val="000F77EE"/>
    <w:rsid w:val="000F7C2D"/>
    <w:rsid w:val="000F7F4F"/>
    <w:rsid w:val="001004F1"/>
    <w:rsid w:val="00100A8D"/>
    <w:rsid w:val="00100C37"/>
    <w:rsid w:val="00100CE2"/>
    <w:rsid w:val="00101184"/>
    <w:rsid w:val="001013FA"/>
    <w:rsid w:val="00101472"/>
    <w:rsid w:val="00101654"/>
    <w:rsid w:val="001018BB"/>
    <w:rsid w:val="00102800"/>
    <w:rsid w:val="00102D10"/>
    <w:rsid w:val="00102FE6"/>
    <w:rsid w:val="001030FE"/>
    <w:rsid w:val="001036AF"/>
    <w:rsid w:val="001036C7"/>
    <w:rsid w:val="001037D1"/>
    <w:rsid w:val="00103835"/>
    <w:rsid w:val="00103ACC"/>
    <w:rsid w:val="00104351"/>
    <w:rsid w:val="001048A9"/>
    <w:rsid w:val="001050F1"/>
    <w:rsid w:val="00105B54"/>
    <w:rsid w:val="00105FC0"/>
    <w:rsid w:val="00106088"/>
    <w:rsid w:val="001063FC"/>
    <w:rsid w:val="00106488"/>
    <w:rsid w:val="001068A5"/>
    <w:rsid w:val="00107258"/>
    <w:rsid w:val="001073CC"/>
    <w:rsid w:val="001073DB"/>
    <w:rsid w:val="00107460"/>
    <w:rsid w:val="0010786B"/>
    <w:rsid w:val="001079DF"/>
    <w:rsid w:val="00107D9F"/>
    <w:rsid w:val="00107DC1"/>
    <w:rsid w:val="001104CB"/>
    <w:rsid w:val="00110ACF"/>
    <w:rsid w:val="00110FB8"/>
    <w:rsid w:val="00111871"/>
    <w:rsid w:val="00111C15"/>
    <w:rsid w:val="00111C4D"/>
    <w:rsid w:val="00112329"/>
    <w:rsid w:val="001127C3"/>
    <w:rsid w:val="00112863"/>
    <w:rsid w:val="001128C1"/>
    <w:rsid w:val="00112ADF"/>
    <w:rsid w:val="0011373C"/>
    <w:rsid w:val="00113793"/>
    <w:rsid w:val="00113C4E"/>
    <w:rsid w:val="00113E17"/>
    <w:rsid w:val="0011412E"/>
    <w:rsid w:val="00114801"/>
    <w:rsid w:val="00114989"/>
    <w:rsid w:val="00114B8A"/>
    <w:rsid w:val="0011628F"/>
    <w:rsid w:val="001171C2"/>
    <w:rsid w:val="00117707"/>
    <w:rsid w:val="00117734"/>
    <w:rsid w:val="0011782F"/>
    <w:rsid w:val="00117C3E"/>
    <w:rsid w:val="00117CBA"/>
    <w:rsid w:val="0012034B"/>
    <w:rsid w:val="00120455"/>
    <w:rsid w:val="0012087E"/>
    <w:rsid w:val="00121247"/>
    <w:rsid w:val="00121BC4"/>
    <w:rsid w:val="00121E0E"/>
    <w:rsid w:val="00121E92"/>
    <w:rsid w:val="00122359"/>
    <w:rsid w:val="00122C7B"/>
    <w:rsid w:val="00122D93"/>
    <w:rsid w:val="00123259"/>
    <w:rsid w:val="00123C01"/>
    <w:rsid w:val="00124101"/>
    <w:rsid w:val="00124AC6"/>
    <w:rsid w:val="00124D93"/>
    <w:rsid w:val="00126301"/>
    <w:rsid w:val="001264ED"/>
    <w:rsid w:val="00126796"/>
    <w:rsid w:val="00126998"/>
    <w:rsid w:val="00126B0A"/>
    <w:rsid w:val="00126F16"/>
    <w:rsid w:val="0012763D"/>
    <w:rsid w:val="00127B95"/>
    <w:rsid w:val="00130075"/>
    <w:rsid w:val="001302E5"/>
    <w:rsid w:val="00131944"/>
    <w:rsid w:val="001322B3"/>
    <w:rsid w:val="001322F2"/>
    <w:rsid w:val="00132384"/>
    <w:rsid w:val="00132BFB"/>
    <w:rsid w:val="00132E1E"/>
    <w:rsid w:val="00133A57"/>
    <w:rsid w:val="0013400D"/>
    <w:rsid w:val="001340E6"/>
    <w:rsid w:val="0013421A"/>
    <w:rsid w:val="001348C0"/>
    <w:rsid w:val="00134935"/>
    <w:rsid w:val="00135352"/>
    <w:rsid w:val="0013564E"/>
    <w:rsid w:val="0013566C"/>
    <w:rsid w:val="00135977"/>
    <w:rsid w:val="001365A9"/>
    <w:rsid w:val="0013780A"/>
    <w:rsid w:val="00137964"/>
    <w:rsid w:val="001379E3"/>
    <w:rsid w:val="00137B13"/>
    <w:rsid w:val="00137C8C"/>
    <w:rsid w:val="00137DB3"/>
    <w:rsid w:val="00137F5A"/>
    <w:rsid w:val="00137FC6"/>
    <w:rsid w:val="001409A8"/>
    <w:rsid w:val="00140BA9"/>
    <w:rsid w:val="0014202E"/>
    <w:rsid w:val="001421D3"/>
    <w:rsid w:val="00142C8F"/>
    <w:rsid w:val="00143493"/>
    <w:rsid w:val="00143F08"/>
    <w:rsid w:val="00144D94"/>
    <w:rsid w:val="00145173"/>
    <w:rsid w:val="00146591"/>
    <w:rsid w:val="001468BC"/>
    <w:rsid w:val="00146FF9"/>
    <w:rsid w:val="001472EC"/>
    <w:rsid w:val="0014781D"/>
    <w:rsid w:val="00147DD8"/>
    <w:rsid w:val="00150235"/>
    <w:rsid w:val="001502B1"/>
    <w:rsid w:val="001508B3"/>
    <w:rsid w:val="001508F9"/>
    <w:rsid w:val="00150B41"/>
    <w:rsid w:val="00150F2A"/>
    <w:rsid w:val="00151B42"/>
    <w:rsid w:val="00151FBF"/>
    <w:rsid w:val="00152556"/>
    <w:rsid w:val="001528A1"/>
    <w:rsid w:val="001528B0"/>
    <w:rsid w:val="00153256"/>
    <w:rsid w:val="00153358"/>
    <w:rsid w:val="00153B48"/>
    <w:rsid w:val="00153C3A"/>
    <w:rsid w:val="00154199"/>
    <w:rsid w:val="001549E8"/>
    <w:rsid w:val="00154A0B"/>
    <w:rsid w:val="00154AAE"/>
    <w:rsid w:val="00154CB8"/>
    <w:rsid w:val="00154EA4"/>
    <w:rsid w:val="001551FB"/>
    <w:rsid w:val="00155413"/>
    <w:rsid w:val="00155F09"/>
    <w:rsid w:val="00155F14"/>
    <w:rsid w:val="001566E9"/>
    <w:rsid w:val="00156889"/>
    <w:rsid w:val="00156A3A"/>
    <w:rsid w:val="00156ED0"/>
    <w:rsid w:val="00157120"/>
    <w:rsid w:val="0015771A"/>
    <w:rsid w:val="0015772C"/>
    <w:rsid w:val="0016005B"/>
    <w:rsid w:val="00160757"/>
    <w:rsid w:val="00160D5E"/>
    <w:rsid w:val="00160E18"/>
    <w:rsid w:val="001619A9"/>
    <w:rsid w:val="00161B02"/>
    <w:rsid w:val="00161FA6"/>
    <w:rsid w:val="00162099"/>
    <w:rsid w:val="00162873"/>
    <w:rsid w:val="0016302B"/>
    <w:rsid w:val="0016334B"/>
    <w:rsid w:val="00163A0D"/>
    <w:rsid w:val="00164F34"/>
    <w:rsid w:val="00165184"/>
    <w:rsid w:val="00165314"/>
    <w:rsid w:val="001656A8"/>
    <w:rsid w:val="00165F47"/>
    <w:rsid w:val="00166366"/>
    <w:rsid w:val="0016658D"/>
    <w:rsid w:val="00166735"/>
    <w:rsid w:val="00166F77"/>
    <w:rsid w:val="00166F9B"/>
    <w:rsid w:val="00167A71"/>
    <w:rsid w:val="0017070A"/>
    <w:rsid w:val="001708D4"/>
    <w:rsid w:val="00170F4D"/>
    <w:rsid w:val="00170F6C"/>
    <w:rsid w:val="00171152"/>
    <w:rsid w:val="001713A0"/>
    <w:rsid w:val="00171864"/>
    <w:rsid w:val="00171AB6"/>
    <w:rsid w:val="0017207C"/>
    <w:rsid w:val="0017218C"/>
    <w:rsid w:val="00172A10"/>
    <w:rsid w:val="00172E5A"/>
    <w:rsid w:val="0017341F"/>
    <w:rsid w:val="00173749"/>
    <w:rsid w:val="0017375B"/>
    <w:rsid w:val="00173EF1"/>
    <w:rsid w:val="00173FEC"/>
    <w:rsid w:val="0017446E"/>
    <w:rsid w:val="00174864"/>
    <w:rsid w:val="00175300"/>
    <w:rsid w:val="0017530B"/>
    <w:rsid w:val="001755DC"/>
    <w:rsid w:val="0017574E"/>
    <w:rsid w:val="00176069"/>
    <w:rsid w:val="00176B67"/>
    <w:rsid w:val="00176C5F"/>
    <w:rsid w:val="00176C8E"/>
    <w:rsid w:val="00176D60"/>
    <w:rsid w:val="00176E7F"/>
    <w:rsid w:val="00177E0A"/>
    <w:rsid w:val="00177F48"/>
    <w:rsid w:val="00180432"/>
    <w:rsid w:val="00180815"/>
    <w:rsid w:val="0018141A"/>
    <w:rsid w:val="001815C5"/>
    <w:rsid w:val="001821F5"/>
    <w:rsid w:val="00182353"/>
    <w:rsid w:val="001833DD"/>
    <w:rsid w:val="001835E3"/>
    <w:rsid w:val="00183B6F"/>
    <w:rsid w:val="00183DF5"/>
    <w:rsid w:val="00185449"/>
    <w:rsid w:val="001858E6"/>
    <w:rsid w:val="001860E7"/>
    <w:rsid w:val="001863B0"/>
    <w:rsid w:val="0018655C"/>
    <w:rsid w:val="001868C7"/>
    <w:rsid w:val="00186C10"/>
    <w:rsid w:val="00186D05"/>
    <w:rsid w:val="00186DF9"/>
    <w:rsid w:val="00186F28"/>
    <w:rsid w:val="00186FCE"/>
    <w:rsid w:val="00187659"/>
    <w:rsid w:val="00187776"/>
    <w:rsid w:val="001878CF"/>
    <w:rsid w:val="001878FD"/>
    <w:rsid w:val="00187AE4"/>
    <w:rsid w:val="00187FD7"/>
    <w:rsid w:val="001902F7"/>
    <w:rsid w:val="0019058D"/>
    <w:rsid w:val="00190975"/>
    <w:rsid w:val="00190A4D"/>
    <w:rsid w:val="00190F35"/>
    <w:rsid w:val="0019132D"/>
    <w:rsid w:val="00191AFF"/>
    <w:rsid w:val="00191F2D"/>
    <w:rsid w:val="00192033"/>
    <w:rsid w:val="00192965"/>
    <w:rsid w:val="00192A66"/>
    <w:rsid w:val="00192E49"/>
    <w:rsid w:val="00193AB2"/>
    <w:rsid w:val="0019449D"/>
    <w:rsid w:val="0019459A"/>
    <w:rsid w:val="00194BC0"/>
    <w:rsid w:val="00194BDD"/>
    <w:rsid w:val="00194C44"/>
    <w:rsid w:val="001953F4"/>
    <w:rsid w:val="00195B6D"/>
    <w:rsid w:val="00195ECC"/>
    <w:rsid w:val="001964E8"/>
    <w:rsid w:val="00196A1E"/>
    <w:rsid w:val="00196AAA"/>
    <w:rsid w:val="00196BD6"/>
    <w:rsid w:val="00196E7D"/>
    <w:rsid w:val="00197009"/>
    <w:rsid w:val="00197113"/>
    <w:rsid w:val="00197C14"/>
    <w:rsid w:val="001A068A"/>
    <w:rsid w:val="001A0915"/>
    <w:rsid w:val="001A099F"/>
    <w:rsid w:val="001A0E18"/>
    <w:rsid w:val="001A126C"/>
    <w:rsid w:val="001A1308"/>
    <w:rsid w:val="001A1A83"/>
    <w:rsid w:val="001A1EBA"/>
    <w:rsid w:val="001A2711"/>
    <w:rsid w:val="001A2A8B"/>
    <w:rsid w:val="001A3332"/>
    <w:rsid w:val="001A430C"/>
    <w:rsid w:val="001A4698"/>
    <w:rsid w:val="001A47B2"/>
    <w:rsid w:val="001A4B4B"/>
    <w:rsid w:val="001A570C"/>
    <w:rsid w:val="001A6377"/>
    <w:rsid w:val="001A67DB"/>
    <w:rsid w:val="001A6F29"/>
    <w:rsid w:val="001A6F4A"/>
    <w:rsid w:val="001A7577"/>
    <w:rsid w:val="001A777A"/>
    <w:rsid w:val="001A7842"/>
    <w:rsid w:val="001A78BA"/>
    <w:rsid w:val="001A7A2B"/>
    <w:rsid w:val="001A7B55"/>
    <w:rsid w:val="001B045E"/>
    <w:rsid w:val="001B0490"/>
    <w:rsid w:val="001B0C86"/>
    <w:rsid w:val="001B1328"/>
    <w:rsid w:val="001B1E27"/>
    <w:rsid w:val="001B1E82"/>
    <w:rsid w:val="001B1F5F"/>
    <w:rsid w:val="001B20DC"/>
    <w:rsid w:val="001B22D6"/>
    <w:rsid w:val="001B2BE5"/>
    <w:rsid w:val="001B3440"/>
    <w:rsid w:val="001B37C7"/>
    <w:rsid w:val="001B3937"/>
    <w:rsid w:val="001B4B5F"/>
    <w:rsid w:val="001B4DEF"/>
    <w:rsid w:val="001B5663"/>
    <w:rsid w:val="001B56A4"/>
    <w:rsid w:val="001B5778"/>
    <w:rsid w:val="001B5C05"/>
    <w:rsid w:val="001B638E"/>
    <w:rsid w:val="001B7530"/>
    <w:rsid w:val="001B7850"/>
    <w:rsid w:val="001B78D4"/>
    <w:rsid w:val="001C017F"/>
    <w:rsid w:val="001C152E"/>
    <w:rsid w:val="001C16A4"/>
    <w:rsid w:val="001C19C8"/>
    <w:rsid w:val="001C2024"/>
    <w:rsid w:val="001C2456"/>
    <w:rsid w:val="001C2660"/>
    <w:rsid w:val="001C2796"/>
    <w:rsid w:val="001C29AF"/>
    <w:rsid w:val="001C2C70"/>
    <w:rsid w:val="001C2D4D"/>
    <w:rsid w:val="001C38A9"/>
    <w:rsid w:val="001C3972"/>
    <w:rsid w:val="001C39AB"/>
    <w:rsid w:val="001C3D7D"/>
    <w:rsid w:val="001C3F7A"/>
    <w:rsid w:val="001C4689"/>
    <w:rsid w:val="001C4E9C"/>
    <w:rsid w:val="001C57A3"/>
    <w:rsid w:val="001C5851"/>
    <w:rsid w:val="001C5966"/>
    <w:rsid w:val="001C5FF2"/>
    <w:rsid w:val="001C62AC"/>
    <w:rsid w:val="001C6E2E"/>
    <w:rsid w:val="001C6FFD"/>
    <w:rsid w:val="001C741A"/>
    <w:rsid w:val="001C74F5"/>
    <w:rsid w:val="001C788E"/>
    <w:rsid w:val="001C78CB"/>
    <w:rsid w:val="001C78F9"/>
    <w:rsid w:val="001D1457"/>
    <w:rsid w:val="001D147E"/>
    <w:rsid w:val="001D1516"/>
    <w:rsid w:val="001D17FF"/>
    <w:rsid w:val="001D200E"/>
    <w:rsid w:val="001D2550"/>
    <w:rsid w:val="001D29C8"/>
    <w:rsid w:val="001D3247"/>
    <w:rsid w:val="001D3D7E"/>
    <w:rsid w:val="001D3F86"/>
    <w:rsid w:val="001D4062"/>
    <w:rsid w:val="001D4425"/>
    <w:rsid w:val="001D481A"/>
    <w:rsid w:val="001D4AB1"/>
    <w:rsid w:val="001D50D8"/>
    <w:rsid w:val="001D6677"/>
    <w:rsid w:val="001D6E5F"/>
    <w:rsid w:val="001D738F"/>
    <w:rsid w:val="001D7E8F"/>
    <w:rsid w:val="001E03E5"/>
    <w:rsid w:val="001E16BD"/>
    <w:rsid w:val="001E174C"/>
    <w:rsid w:val="001E1A31"/>
    <w:rsid w:val="001E1BE0"/>
    <w:rsid w:val="001E2BFD"/>
    <w:rsid w:val="001E2D2F"/>
    <w:rsid w:val="001E3647"/>
    <w:rsid w:val="001E3863"/>
    <w:rsid w:val="001E3994"/>
    <w:rsid w:val="001E45F8"/>
    <w:rsid w:val="001E4A0A"/>
    <w:rsid w:val="001E4AD2"/>
    <w:rsid w:val="001E4C8F"/>
    <w:rsid w:val="001E5908"/>
    <w:rsid w:val="001E6148"/>
    <w:rsid w:val="001E663D"/>
    <w:rsid w:val="001E6CC5"/>
    <w:rsid w:val="001E6E9E"/>
    <w:rsid w:val="001E72B2"/>
    <w:rsid w:val="001E73B1"/>
    <w:rsid w:val="001E76DB"/>
    <w:rsid w:val="001E77F3"/>
    <w:rsid w:val="001E7A3C"/>
    <w:rsid w:val="001E7F1C"/>
    <w:rsid w:val="001F06AB"/>
    <w:rsid w:val="001F0C49"/>
    <w:rsid w:val="001F0CD8"/>
    <w:rsid w:val="001F1204"/>
    <w:rsid w:val="001F1366"/>
    <w:rsid w:val="001F1625"/>
    <w:rsid w:val="001F19E1"/>
    <w:rsid w:val="001F1B78"/>
    <w:rsid w:val="001F1E9E"/>
    <w:rsid w:val="001F1F62"/>
    <w:rsid w:val="001F1FC8"/>
    <w:rsid w:val="001F2CD0"/>
    <w:rsid w:val="001F2CFA"/>
    <w:rsid w:val="001F30B0"/>
    <w:rsid w:val="001F35E8"/>
    <w:rsid w:val="001F3BB9"/>
    <w:rsid w:val="001F48A2"/>
    <w:rsid w:val="001F4A90"/>
    <w:rsid w:val="001F5249"/>
    <w:rsid w:val="001F5B66"/>
    <w:rsid w:val="001F6687"/>
    <w:rsid w:val="001F730C"/>
    <w:rsid w:val="001F74EB"/>
    <w:rsid w:val="00200A10"/>
    <w:rsid w:val="002010B4"/>
    <w:rsid w:val="002013C9"/>
    <w:rsid w:val="0020197F"/>
    <w:rsid w:val="00201A62"/>
    <w:rsid w:val="0020289E"/>
    <w:rsid w:val="00202EF4"/>
    <w:rsid w:val="002032E2"/>
    <w:rsid w:val="00203C59"/>
    <w:rsid w:val="00203E02"/>
    <w:rsid w:val="00204127"/>
    <w:rsid w:val="002044A3"/>
    <w:rsid w:val="002045CD"/>
    <w:rsid w:val="0020494B"/>
    <w:rsid w:val="00204B23"/>
    <w:rsid w:val="00204CAD"/>
    <w:rsid w:val="00204D1C"/>
    <w:rsid w:val="0020512C"/>
    <w:rsid w:val="0020589D"/>
    <w:rsid w:val="00206606"/>
    <w:rsid w:val="0020707A"/>
    <w:rsid w:val="002071D4"/>
    <w:rsid w:val="00207748"/>
    <w:rsid w:val="00207F37"/>
    <w:rsid w:val="0021008C"/>
    <w:rsid w:val="0021060E"/>
    <w:rsid w:val="00210961"/>
    <w:rsid w:val="00211348"/>
    <w:rsid w:val="00211BA4"/>
    <w:rsid w:val="00211BC6"/>
    <w:rsid w:val="00212CFC"/>
    <w:rsid w:val="00213169"/>
    <w:rsid w:val="00213172"/>
    <w:rsid w:val="002137BC"/>
    <w:rsid w:val="00213B47"/>
    <w:rsid w:val="00213C4A"/>
    <w:rsid w:val="00213F20"/>
    <w:rsid w:val="00213FD1"/>
    <w:rsid w:val="002147F0"/>
    <w:rsid w:val="00214DFA"/>
    <w:rsid w:val="002153DD"/>
    <w:rsid w:val="002154F9"/>
    <w:rsid w:val="00215644"/>
    <w:rsid w:val="00215CF9"/>
    <w:rsid w:val="002162C7"/>
    <w:rsid w:val="002164AD"/>
    <w:rsid w:val="0021678F"/>
    <w:rsid w:val="00216C78"/>
    <w:rsid w:val="00217421"/>
    <w:rsid w:val="0021746B"/>
    <w:rsid w:val="00217DC2"/>
    <w:rsid w:val="00220BDB"/>
    <w:rsid w:val="00220D50"/>
    <w:rsid w:val="00221089"/>
    <w:rsid w:val="00221125"/>
    <w:rsid w:val="002215F0"/>
    <w:rsid w:val="00221629"/>
    <w:rsid w:val="00221696"/>
    <w:rsid w:val="002216F1"/>
    <w:rsid w:val="00222096"/>
    <w:rsid w:val="00222265"/>
    <w:rsid w:val="002222EF"/>
    <w:rsid w:val="00222FEC"/>
    <w:rsid w:val="002236AC"/>
    <w:rsid w:val="0022412E"/>
    <w:rsid w:val="00224FC0"/>
    <w:rsid w:val="00225DAB"/>
    <w:rsid w:val="0022638E"/>
    <w:rsid w:val="0022675C"/>
    <w:rsid w:val="00226870"/>
    <w:rsid w:val="002271C6"/>
    <w:rsid w:val="0022758C"/>
    <w:rsid w:val="00227649"/>
    <w:rsid w:val="002276F8"/>
    <w:rsid w:val="00227899"/>
    <w:rsid w:val="0023173F"/>
    <w:rsid w:val="00231FA7"/>
    <w:rsid w:val="002322B7"/>
    <w:rsid w:val="002322C9"/>
    <w:rsid w:val="00232CB9"/>
    <w:rsid w:val="0023377E"/>
    <w:rsid w:val="00233DCE"/>
    <w:rsid w:val="00234298"/>
    <w:rsid w:val="00234FE8"/>
    <w:rsid w:val="002355F0"/>
    <w:rsid w:val="00235A22"/>
    <w:rsid w:val="002365C5"/>
    <w:rsid w:val="00236A90"/>
    <w:rsid w:val="00236DC7"/>
    <w:rsid w:val="00237625"/>
    <w:rsid w:val="0023787B"/>
    <w:rsid w:val="00237F7C"/>
    <w:rsid w:val="002419B3"/>
    <w:rsid w:val="00242AEA"/>
    <w:rsid w:val="00242CF2"/>
    <w:rsid w:val="00242FC2"/>
    <w:rsid w:val="00243580"/>
    <w:rsid w:val="00243ED5"/>
    <w:rsid w:val="00244D47"/>
    <w:rsid w:val="00245237"/>
    <w:rsid w:val="00245536"/>
    <w:rsid w:val="00245D56"/>
    <w:rsid w:val="00245FC3"/>
    <w:rsid w:val="00246157"/>
    <w:rsid w:val="00246726"/>
    <w:rsid w:val="00246827"/>
    <w:rsid w:val="002477DE"/>
    <w:rsid w:val="00247B8C"/>
    <w:rsid w:val="00250B2A"/>
    <w:rsid w:val="00251EB9"/>
    <w:rsid w:val="002520F5"/>
    <w:rsid w:val="00252210"/>
    <w:rsid w:val="00252AAD"/>
    <w:rsid w:val="00253FC2"/>
    <w:rsid w:val="00254417"/>
    <w:rsid w:val="00255BF0"/>
    <w:rsid w:val="00256066"/>
    <w:rsid w:val="00256BB5"/>
    <w:rsid w:val="0025719D"/>
    <w:rsid w:val="0025746C"/>
    <w:rsid w:val="0025792B"/>
    <w:rsid w:val="00257CFE"/>
    <w:rsid w:val="002601D0"/>
    <w:rsid w:val="00260516"/>
    <w:rsid w:val="0026053B"/>
    <w:rsid w:val="00260557"/>
    <w:rsid w:val="00261FB9"/>
    <w:rsid w:val="00261FF4"/>
    <w:rsid w:val="00262660"/>
    <w:rsid w:val="002627A1"/>
    <w:rsid w:val="00263498"/>
    <w:rsid w:val="00263B74"/>
    <w:rsid w:val="00264DD0"/>
    <w:rsid w:val="0026540B"/>
    <w:rsid w:val="00265AED"/>
    <w:rsid w:val="00265D48"/>
    <w:rsid w:val="00266409"/>
    <w:rsid w:val="0026644B"/>
    <w:rsid w:val="00266BBA"/>
    <w:rsid w:val="00266D0A"/>
    <w:rsid w:val="00266E6B"/>
    <w:rsid w:val="00267727"/>
    <w:rsid w:val="00267B0D"/>
    <w:rsid w:val="00267CD0"/>
    <w:rsid w:val="002700BF"/>
    <w:rsid w:val="00270543"/>
    <w:rsid w:val="00270C5B"/>
    <w:rsid w:val="00271063"/>
    <w:rsid w:val="00271DB6"/>
    <w:rsid w:val="00272156"/>
    <w:rsid w:val="002725EB"/>
    <w:rsid w:val="00272AAE"/>
    <w:rsid w:val="00272BE2"/>
    <w:rsid w:val="00272E97"/>
    <w:rsid w:val="00272F7B"/>
    <w:rsid w:val="00272FF9"/>
    <w:rsid w:val="00273309"/>
    <w:rsid w:val="0027331B"/>
    <w:rsid w:val="00273B3D"/>
    <w:rsid w:val="00273E2D"/>
    <w:rsid w:val="002741B6"/>
    <w:rsid w:val="00274448"/>
    <w:rsid w:val="00274DD6"/>
    <w:rsid w:val="00275158"/>
    <w:rsid w:val="0027526B"/>
    <w:rsid w:val="00275424"/>
    <w:rsid w:val="0027584F"/>
    <w:rsid w:val="00275916"/>
    <w:rsid w:val="0027596E"/>
    <w:rsid w:val="00275CCD"/>
    <w:rsid w:val="0027623D"/>
    <w:rsid w:val="00276405"/>
    <w:rsid w:val="00277116"/>
    <w:rsid w:val="002776AC"/>
    <w:rsid w:val="00280BAE"/>
    <w:rsid w:val="00281322"/>
    <w:rsid w:val="00281BC5"/>
    <w:rsid w:val="00282111"/>
    <w:rsid w:val="00282861"/>
    <w:rsid w:val="0028291F"/>
    <w:rsid w:val="00282DAF"/>
    <w:rsid w:val="00283338"/>
    <w:rsid w:val="00283519"/>
    <w:rsid w:val="002836FB"/>
    <w:rsid w:val="00283DF4"/>
    <w:rsid w:val="00283FD8"/>
    <w:rsid w:val="00284847"/>
    <w:rsid w:val="00284F3C"/>
    <w:rsid w:val="00285295"/>
    <w:rsid w:val="002859A8"/>
    <w:rsid w:val="00286566"/>
    <w:rsid w:val="00286BED"/>
    <w:rsid w:val="00286C78"/>
    <w:rsid w:val="00286FAA"/>
    <w:rsid w:val="00287408"/>
    <w:rsid w:val="00287A34"/>
    <w:rsid w:val="002910BA"/>
    <w:rsid w:val="00291130"/>
    <w:rsid w:val="002917D8"/>
    <w:rsid w:val="00291905"/>
    <w:rsid w:val="00291B1B"/>
    <w:rsid w:val="00292246"/>
    <w:rsid w:val="002924EE"/>
    <w:rsid w:val="002926D0"/>
    <w:rsid w:val="00292720"/>
    <w:rsid w:val="00292D02"/>
    <w:rsid w:val="00292EDF"/>
    <w:rsid w:val="002938F2"/>
    <w:rsid w:val="00293B6E"/>
    <w:rsid w:val="002950F5"/>
    <w:rsid w:val="0029611C"/>
    <w:rsid w:val="00296341"/>
    <w:rsid w:val="0029687D"/>
    <w:rsid w:val="002973EF"/>
    <w:rsid w:val="0029761B"/>
    <w:rsid w:val="00297D54"/>
    <w:rsid w:val="002A0419"/>
    <w:rsid w:val="002A0603"/>
    <w:rsid w:val="002A0D96"/>
    <w:rsid w:val="002A120B"/>
    <w:rsid w:val="002A17C0"/>
    <w:rsid w:val="002A2DC1"/>
    <w:rsid w:val="002A2EF1"/>
    <w:rsid w:val="002A3061"/>
    <w:rsid w:val="002A352F"/>
    <w:rsid w:val="002A3728"/>
    <w:rsid w:val="002A3BE3"/>
    <w:rsid w:val="002A3BF6"/>
    <w:rsid w:val="002A440F"/>
    <w:rsid w:val="002A478D"/>
    <w:rsid w:val="002A47E4"/>
    <w:rsid w:val="002A4FC2"/>
    <w:rsid w:val="002A5AB0"/>
    <w:rsid w:val="002A5F61"/>
    <w:rsid w:val="002A688D"/>
    <w:rsid w:val="002A6E44"/>
    <w:rsid w:val="002A6FB9"/>
    <w:rsid w:val="002B117B"/>
    <w:rsid w:val="002B1266"/>
    <w:rsid w:val="002B16CF"/>
    <w:rsid w:val="002B206E"/>
    <w:rsid w:val="002B2216"/>
    <w:rsid w:val="002B254F"/>
    <w:rsid w:val="002B29B8"/>
    <w:rsid w:val="002B2AFC"/>
    <w:rsid w:val="002B2F0C"/>
    <w:rsid w:val="002B328F"/>
    <w:rsid w:val="002B367E"/>
    <w:rsid w:val="002B3788"/>
    <w:rsid w:val="002B37FB"/>
    <w:rsid w:val="002B385A"/>
    <w:rsid w:val="002B3EB3"/>
    <w:rsid w:val="002B4392"/>
    <w:rsid w:val="002B4E3B"/>
    <w:rsid w:val="002B4EA7"/>
    <w:rsid w:val="002B54FE"/>
    <w:rsid w:val="002B5768"/>
    <w:rsid w:val="002B5794"/>
    <w:rsid w:val="002B5989"/>
    <w:rsid w:val="002B6514"/>
    <w:rsid w:val="002B6733"/>
    <w:rsid w:val="002B6F3C"/>
    <w:rsid w:val="002B707E"/>
    <w:rsid w:val="002B738E"/>
    <w:rsid w:val="002B7979"/>
    <w:rsid w:val="002B7A2F"/>
    <w:rsid w:val="002C00D8"/>
    <w:rsid w:val="002C00DB"/>
    <w:rsid w:val="002C0785"/>
    <w:rsid w:val="002C11F2"/>
    <w:rsid w:val="002C12DF"/>
    <w:rsid w:val="002C1D24"/>
    <w:rsid w:val="002C219A"/>
    <w:rsid w:val="002C2493"/>
    <w:rsid w:val="002C265A"/>
    <w:rsid w:val="002C3614"/>
    <w:rsid w:val="002C371A"/>
    <w:rsid w:val="002C3FBF"/>
    <w:rsid w:val="002C3FFF"/>
    <w:rsid w:val="002C4798"/>
    <w:rsid w:val="002C4AA5"/>
    <w:rsid w:val="002C552C"/>
    <w:rsid w:val="002C59CB"/>
    <w:rsid w:val="002C5B13"/>
    <w:rsid w:val="002C656B"/>
    <w:rsid w:val="002C676D"/>
    <w:rsid w:val="002C69C7"/>
    <w:rsid w:val="002C6F43"/>
    <w:rsid w:val="002C7072"/>
    <w:rsid w:val="002C7420"/>
    <w:rsid w:val="002C79CA"/>
    <w:rsid w:val="002C7EAA"/>
    <w:rsid w:val="002D0576"/>
    <w:rsid w:val="002D0880"/>
    <w:rsid w:val="002D0AAE"/>
    <w:rsid w:val="002D167E"/>
    <w:rsid w:val="002D20C0"/>
    <w:rsid w:val="002D2877"/>
    <w:rsid w:val="002D2944"/>
    <w:rsid w:val="002D29B6"/>
    <w:rsid w:val="002D2C0F"/>
    <w:rsid w:val="002D3097"/>
    <w:rsid w:val="002D336E"/>
    <w:rsid w:val="002D356E"/>
    <w:rsid w:val="002D4113"/>
    <w:rsid w:val="002D4237"/>
    <w:rsid w:val="002D423C"/>
    <w:rsid w:val="002D45BC"/>
    <w:rsid w:val="002D4803"/>
    <w:rsid w:val="002D4C47"/>
    <w:rsid w:val="002D4E2A"/>
    <w:rsid w:val="002D4F05"/>
    <w:rsid w:val="002D535D"/>
    <w:rsid w:val="002D5A48"/>
    <w:rsid w:val="002D5CB5"/>
    <w:rsid w:val="002D5FDC"/>
    <w:rsid w:val="002D617F"/>
    <w:rsid w:val="002D6222"/>
    <w:rsid w:val="002D63DD"/>
    <w:rsid w:val="002D63EC"/>
    <w:rsid w:val="002D666A"/>
    <w:rsid w:val="002E000A"/>
    <w:rsid w:val="002E01FD"/>
    <w:rsid w:val="002E023B"/>
    <w:rsid w:val="002E0D91"/>
    <w:rsid w:val="002E116B"/>
    <w:rsid w:val="002E130D"/>
    <w:rsid w:val="002E167F"/>
    <w:rsid w:val="002E1860"/>
    <w:rsid w:val="002E1876"/>
    <w:rsid w:val="002E1DFF"/>
    <w:rsid w:val="002E227C"/>
    <w:rsid w:val="002E2AE0"/>
    <w:rsid w:val="002E2BFB"/>
    <w:rsid w:val="002E2C0B"/>
    <w:rsid w:val="002E2D4B"/>
    <w:rsid w:val="002E361F"/>
    <w:rsid w:val="002E3647"/>
    <w:rsid w:val="002E3BA6"/>
    <w:rsid w:val="002E3E4E"/>
    <w:rsid w:val="002E3E8E"/>
    <w:rsid w:val="002E4217"/>
    <w:rsid w:val="002E4262"/>
    <w:rsid w:val="002E46AD"/>
    <w:rsid w:val="002E4AE7"/>
    <w:rsid w:val="002E4D9E"/>
    <w:rsid w:val="002E4DB9"/>
    <w:rsid w:val="002E5448"/>
    <w:rsid w:val="002E5A83"/>
    <w:rsid w:val="002E5E88"/>
    <w:rsid w:val="002E5F7D"/>
    <w:rsid w:val="002E718C"/>
    <w:rsid w:val="002E7949"/>
    <w:rsid w:val="002E7D07"/>
    <w:rsid w:val="002E7F7D"/>
    <w:rsid w:val="002F09AA"/>
    <w:rsid w:val="002F0E20"/>
    <w:rsid w:val="002F0E40"/>
    <w:rsid w:val="002F0FFA"/>
    <w:rsid w:val="002F110B"/>
    <w:rsid w:val="002F1B40"/>
    <w:rsid w:val="002F1C0C"/>
    <w:rsid w:val="002F1CDA"/>
    <w:rsid w:val="002F3A2D"/>
    <w:rsid w:val="002F4A88"/>
    <w:rsid w:val="002F4BE9"/>
    <w:rsid w:val="002F4DDA"/>
    <w:rsid w:val="002F558C"/>
    <w:rsid w:val="002F5C0F"/>
    <w:rsid w:val="002F5CAD"/>
    <w:rsid w:val="002F73E5"/>
    <w:rsid w:val="002F76C7"/>
    <w:rsid w:val="002F7AD8"/>
    <w:rsid w:val="002F7CBA"/>
    <w:rsid w:val="00300382"/>
    <w:rsid w:val="003007E9"/>
    <w:rsid w:val="00300A54"/>
    <w:rsid w:val="00300CA0"/>
    <w:rsid w:val="003010F5"/>
    <w:rsid w:val="003013C1"/>
    <w:rsid w:val="003015B2"/>
    <w:rsid w:val="0030180D"/>
    <w:rsid w:val="00301BEB"/>
    <w:rsid w:val="00301E0D"/>
    <w:rsid w:val="00302BF1"/>
    <w:rsid w:val="003031C1"/>
    <w:rsid w:val="00303A1A"/>
    <w:rsid w:val="00303B3A"/>
    <w:rsid w:val="00304585"/>
    <w:rsid w:val="00304E34"/>
    <w:rsid w:val="003052A6"/>
    <w:rsid w:val="003057B7"/>
    <w:rsid w:val="00305CC5"/>
    <w:rsid w:val="00305F7C"/>
    <w:rsid w:val="0030648D"/>
    <w:rsid w:val="0030651D"/>
    <w:rsid w:val="00306547"/>
    <w:rsid w:val="00306811"/>
    <w:rsid w:val="00306D15"/>
    <w:rsid w:val="00307059"/>
    <w:rsid w:val="003073C3"/>
    <w:rsid w:val="00307A72"/>
    <w:rsid w:val="00307C28"/>
    <w:rsid w:val="00307E6B"/>
    <w:rsid w:val="00310945"/>
    <w:rsid w:val="00310DAE"/>
    <w:rsid w:val="003110F7"/>
    <w:rsid w:val="00311210"/>
    <w:rsid w:val="0031182F"/>
    <w:rsid w:val="00311D4F"/>
    <w:rsid w:val="00312237"/>
    <w:rsid w:val="0031234B"/>
    <w:rsid w:val="00312B93"/>
    <w:rsid w:val="0031357A"/>
    <w:rsid w:val="0031385A"/>
    <w:rsid w:val="003138A4"/>
    <w:rsid w:val="00313A1A"/>
    <w:rsid w:val="00314428"/>
    <w:rsid w:val="003145DA"/>
    <w:rsid w:val="0031461B"/>
    <w:rsid w:val="00315714"/>
    <w:rsid w:val="00315F9A"/>
    <w:rsid w:val="0031624E"/>
    <w:rsid w:val="00316AAA"/>
    <w:rsid w:val="00316B3D"/>
    <w:rsid w:val="00316B89"/>
    <w:rsid w:val="00317AF7"/>
    <w:rsid w:val="00317E2A"/>
    <w:rsid w:val="003202F6"/>
    <w:rsid w:val="003207BC"/>
    <w:rsid w:val="00320E93"/>
    <w:rsid w:val="00321885"/>
    <w:rsid w:val="00321B1B"/>
    <w:rsid w:val="00322B56"/>
    <w:rsid w:val="00323FFE"/>
    <w:rsid w:val="00325157"/>
    <w:rsid w:val="00325553"/>
    <w:rsid w:val="003257F8"/>
    <w:rsid w:val="00325A0E"/>
    <w:rsid w:val="003261D6"/>
    <w:rsid w:val="003262E2"/>
    <w:rsid w:val="003264AB"/>
    <w:rsid w:val="00326BB2"/>
    <w:rsid w:val="00326C10"/>
    <w:rsid w:val="00326DFB"/>
    <w:rsid w:val="00327644"/>
    <w:rsid w:val="0032773E"/>
    <w:rsid w:val="00327B96"/>
    <w:rsid w:val="00327C0A"/>
    <w:rsid w:val="003300B4"/>
    <w:rsid w:val="003300C6"/>
    <w:rsid w:val="003308C4"/>
    <w:rsid w:val="00330A20"/>
    <w:rsid w:val="003310AC"/>
    <w:rsid w:val="0033116E"/>
    <w:rsid w:val="00331B4F"/>
    <w:rsid w:val="00332066"/>
    <w:rsid w:val="00332A15"/>
    <w:rsid w:val="003334E8"/>
    <w:rsid w:val="00333673"/>
    <w:rsid w:val="003336BF"/>
    <w:rsid w:val="00333828"/>
    <w:rsid w:val="00333965"/>
    <w:rsid w:val="003344F5"/>
    <w:rsid w:val="00334A61"/>
    <w:rsid w:val="003355C3"/>
    <w:rsid w:val="0033579E"/>
    <w:rsid w:val="00335AAC"/>
    <w:rsid w:val="00335F52"/>
    <w:rsid w:val="00336170"/>
    <w:rsid w:val="00336C26"/>
    <w:rsid w:val="00336DA0"/>
    <w:rsid w:val="0033741F"/>
    <w:rsid w:val="00337799"/>
    <w:rsid w:val="00337ACE"/>
    <w:rsid w:val="00337BEA"/>
    <w:rsid w:val="00340283"/>
    <w:rsid w:val="003404A5"/>
    <w:rsid w:val="00340553"/>
    <w:rsid w:val="00340876"/>
    <w:rsid w:val="00341051"/>
    <w:rsid w:val="003419CC"/>
    <w:rsid w:val="00341F68"/>
    <w:rsid w:val="00342076"/>
    <w:rsid w:val="00342485"/>
    <w:rsid w:val="00342519"/>
    <w:rsid w:val="00342613"/>
    <w:rsid w:val="00342A7B"/>
    <w:rsid w:val="00342C72"/>
    <w:rsid w:val="00342D5F"/>
    <w:rsid w:val="003430DE"/>
    <w:rsid w:val="00343A2B"/>
    <w:rsid w:val="00343A76"/>
    <w:rsid w:val="00343CC2"/>
    <w:rsid w:val="0034419D"/>
    <w:rsid w:val="00344307"/>
    <w:rsid w:val="00345635"/>
    <w:rsid w:val="00345987"/>
    <w:rsid w:val="003468E9"/>
    <w:rsid w:val="0034693F"/>
    <w:rsid w:val="003469ED"/>
    <w:rsid w:val="00346CA7"/>
    <w:rsid w:val="00347026"/>
    <w:rsid w:val="003478B9"/>
    <w:rsid w:val="00347E38"/>
    <w:rsid w:val="00350322"/>
    <w:rsid w:val="003507A2"/>
    <w:rsid w:val="003508C4"/>
    <w:rsid w:val="00350C92"/>
    <w:rsid w:val="00351902"/>
    <w:rsid w:val="00351C11"/>
    <w:rsid w:val="003520F8"/>
    <w:rsid w:val="003522BA"/>
    <w:rsid w:val="00354F84"/>
    <w:rsid w:val="0035535A"/>
    <w:rsid w:val="00355558"/>
    <w:rsid w:val="003559E4"/>
    <w:rsid w:val="00356237"/>
    <w:rsid w:val="00356302"/>
    <w:rsid w:val="003563E4"/>
    <w:rsid w:val="003565AE"/>
    <w:rsid w:val="003565B3"/>
    <w:rsid w:val="00357098"/>
    <w:rsid w:val="00357441"/>
    <w:rsid w:val="00357D49"/>
    <w:rsid w:val="00360310"/>
    <w:rsid w:val="003604C1"/>
    <w:rsid w:val="0036093E"/>
    <w:rsid w:val="00361D0A"/>
    <w:rsid w:val="00361FB2"/>
    <w:rsid w:val="00362246"/>
    <w:rsid w:val="003622AD"/>
    <w:rsid w:val="00363395"/>
    <w:rsid w:val="003635D8"/>
    <w:rsid w:val="003638FE"/>
    <w:rsid w:val="003644D0"/>
    <w:rsid w:val="0036486D"/>
    <w:rsid w:val="003649D1"/>
    <w:rsid w:val="00364CFB"/>
    <w:rsid w:val="00364D6C"/>
    <w:rsid w:val="003652C6"/>
    <w:rsid w:val="0036596A"/>
    <w:rsid w:val="00365EE9"/>
    <w:rsid w:val="00365F95"/>
    <w:rsid w:val="00366A28"/>
    <w:rsid w:val="00366FC1"/>
    <w:rsid w:val="003670ED"/>
    <w:rsid w:val="00367583"/>
    <w:rsid w:val="00367FDC"/>
    <w:rsid w:val="00370578"/>
    <w:rsid w:val="00370686"/>
    <w:rsid w:val="00370EE7"/>
    <w:rsid w:val="00371025"/>
    <w:rsid w:val="00372298"/>
    <w:rsid w:val="003726D0"/>
    <w:rsid w:val="00372A70"/>
    <w:rsid w:val="00372BDE"/>
    <w:rsid w:val="003749D8"/>
    <w:rsid w:val="00375900"/>
    <w:rsid w:val="00375A18"/>
    <w:rsid w:val="00375C8E"/>
    <w:rsid w:val="0037642D"/>
    <w:rsid w:val="003779F9"/>
    <w:rsid w:val="00377C30"/>
    <w:rsid w:val="00377FE6"/>
    <w:rsid w:val="0038062F"/>
    <w:rsid w:val="003812DE"/>
    <w:rsid w:val="003814B2"/>
    <w:rsid w:val="00381662"/>
    <w:rsid w:val="003817EA"/>
    <w:rsid w:val="00381C30"/>
    <w:rsid w:val="00381FC5"/>
    <w:rsid w:val="00382311"/>
    <w:rsid w:val="0038282E"/>
    <w:rsid w:val="00382B73"/>
    <w:rsid w:val="00382D89"/>
    <w:rsid w:val="00382F1F"/>
    <w:rsid w:val="00383143"/>
    <w:rsid w:val="0038327C"/>
    <w:rsid w:val="00383EA9"/>
    <w:rsid w:val="00384144"/>
    <w:rsid w:val="00384250"/>
    <w:rsid w:val="0038449F"/>
    <w:rsid w:val="00384FCA"/>
    <w:rsid w:val="003851B0"/>
    <w:rsid w:val="003854BB"/>
    <w:rsid w:val="003857E8"/>
    <w:rsid w:val="003858B8"/>
    <w:rsid w:val="00385BE0"/>
    <w:rsid w:val="003860EA"/>
    <w:rsid w:val="00386512"/>
    <w:rsid w:val="003868EF"/>
    <w:rsid w:val="003872BE"/>
    <w:rsid w:val="00387313"/>
    <w:rsid w:val="00387584"/>
    <w:rsid w:val="003875D4"/>
    <w:rsid w:val="00387746"/>
    <w:rsid w:val="00387C5A"/>
    <w:rsid w:val="00387FB8"/>
    <w:rsid w:val="0039013B"/>
    <w:rsid w:val="00390612"/>
    <w:rsid w:val="003908D5"/>
    <w:rsid w:val="0039109C"/>
    <w:rsid w:val="00391BB0"/>
    <w:rsid w:val="00392916"/>
    <w:rsid w:val="0039320C"/>
    <w:rsid w:val="003934E8"/>
    <w:rsid w:val="00393816"/>
    <w:rsid w:val="00393C2F"/>
    <w:rsid w:val="00393F8D"/>
    <w:rsid w:val="003943EB"/>
    <w:rsid w:val="00394410"/>
    <w:rsid w:val="0039441E"/>
    <w:rsid w:val="0039454B"/>
    <w:rsid w:val="00394984"/>
    <w:rsid w:val="003954AA"/>
    <w:rsid w:val="003958AB"/>
    <w:rsid w:val="00395979"/>
    <w:rsid w:val="00395EB3"/>
    <w:rsid w:val="00395F54"/>
    <w:rsid w:val="003961E6"/>
    <w:rsid w:val="003967F5"/>
    <w:rsid w:val="003968B4"/>
    <w:rsid w:val="00396F3C"/>
    <w:rsid w:val="00396FC7"/>
    <w:rsid w:val="003972E0"/>
    <w:rsid w:val="00397B80"/>
    <w:rsid w:val="003A03FA"/>
    <w:rsid w:val="003A1172"/>
    <w:rsid w:val="003A1593"/>
    <w:rsid w:val="003A1775"/>
    <w:rsid w:val="003A25CC"/>
    <w:rsid w:val="003A291F"/>
    <w:rsid w:val="003A2BED"/>
    <w:rsid w:val="003A2DAE"/>
    <w:rsid w:val="003A2E9E"/>
    <w:rsid w:val="003A43F0"/>
    <w:rsid w:val="003A450F"/>
    <w:rsid w:val="003A46DA"/>
    <w:rsid w:val="003A483B"/>
    <w:rsid w:val="003A4BB1"/>
    <w:rsid w:val="003A54AA"/>
    <w:rsid w:val="003A54B9"/>
    <w:rsid w:val="003A5C09"/>
    <w:rsid w:val="003A5EFE"/>
    <w:rsid w:val="003A61BE"/>
    <w:rsid w:val="003A6A0E"/>
    <w:rsid w:val="003A71ED"/>
    <w:rsid w:val="003A7EFE"/>
    <w:rsid w:val="003A7F6C"/>
    <w:rsid w:val="003B02DC"/>
    <w:rsid w:val="003B02F5"/>
    <w:rsid w:val="003B0C89"/>
    <w:rsid w:val="003B0DC8"/>
    <w:rsid w:val="003B120C"/>
    <w:rsid w:val="003B1484"/>
    <w:rsid w:val="003B14FF"/>
    <w:rsid w:val="003B151A"/>
    <w:rsid w:val="003B1791"/>
    <w:rsid w:val="003B19EE"/>
    <w:rsid w:val="003B1A5D"/>
    <w:rsid w:val="003B1C9B"/>
    <w:rsid w:val="003B1CA4"/>
    <w:rsid w:val="003B1E03"/>
    <w:rsid w:val="003B1F37"/>
    <w:rsid w:val="003B212F"/>
    <w:rsid w:val="003B2C7A"/>
    <w:rsid w:val="003B2E9D"/>
    <w:rsid w:val="003B2EFA"/>
    <w:rsid w:val="003B2F8B"/>
    <w:rsid w:val="003B3388"/>
    <w:rsid w:val="003B3818"/>
    <w:rsid w:val="003B3E2A"/>
    <w:rsid w:val="003B3FE2"/>
    <w:rsid w:val="003B44DA"/>
    <w:rsid w:val="003B47F8"/>
    <w:rsid w:val="003B49C3"/>
    <w:rsid w:val="003B5744"/>
    <w:rsid w:val="003B5F79"/>
    <w:rsid w:val="003B5FAC"/>
    <w:rsid w:val="003B6390"/>
    <w:rsid w:val="003B65F0"/>
    <w:rsid w:val="003B66A4"/>
    <w:rsid w:val="003B66CC"/>
    <w:rsid w:val="003B69D9"/>
    <w:rsid w:val="003B6E69"/>
    <w:rsid w:val="003B71BF"/>
    <w:rsid w:val="003B72B5"/>
    <w:rsid w:val="003C005D"/>
    <w:rsid w:val="003C065E"/>
    <w:rsid w:val="003C0BA0"/>
    <w:rsid w:val="003C116E"/>
    <w:rsid w:val="003C12AE"/>
    <w:rsid w:val="003C1AA3"/>
    <w:rsid w:val="003C1CA9"/>
    <w:rsid w:val="003C217E"/>
    <w:rsid w:val="003C231F"/>
    <w:rsid w:val="003C2438"/>
    <w:rsid w:val="003C37E1"/>
    <w:rsid w:val="003C48B5"/>
    <w:rsid w:val="003C4ACC"/>
    <w:rsid w:val="003C4C88"/>
    <w:rsid w:val="003C50B5"/>
    <w:rsid w:val="003C5279"/>
    <w:rsid w:val="003C60D4"/>
    <w:rsid w:val="003C6444"/>
    <w:rsid w:val="003C65B5"/>
    <w:rsid w:val="003C6711"/>
    <w:rsid w:val="003C6BA4"/>
    <w:rsid w:val="003C6DF6"/>
    <w:rsid w:val="003C7E02"/>
    <w:rsid w:val="003C7F18"/>
    <w:rsid w:val="003D0044"/>
    <w:rsid w:val="003D08F6"/>
    <w:rsid w:val="003D0D71"/>
    <w:rsid w:val="003D0FB5"/>
    <w:rsid w:val="003D17B0"/>
    <w:rsid w:val="003D2074"/>
    <w:rsid w:val="003D2311"/>
    <w:rsid w:val="003D2981"/>
    <w:rsid w:val="003D29F6"/>
    <w:rsid w:val="003D2D0E"/>
    <w:rsid w:val="003D32E8"/>
    <w:rsid w:val="003D3B60"/>
    <w:rsid w:val="003D4016"/>
    <w:rsid w:val="003D4234"/>
    <w:rsid w:val="003D4297"/>
    <w:rsid w:val="003D4679"/>
    <w:rsid w:val="003D46B3"/>
    <w:rsid w:val="003D5276"/>
    <w:rsid w:val="003D563C"/>
    <w:rsid w:val="003D56A1"/>
    <w:rsid w:val="003D596E"/>
    <w:rsid w:val="003D5BA3"/>
    <w:rsid w:val="003D5C14"/>
    <w:rsid w:val="003D5CAC"/>
    <w:rsid w:val="003D6517"/>
    <w:rsid w:val="003D66B5"/>
    <w:rsid w:val="003D6A59"/>
    <w:rsid w:val="003D6AD0"/>
    <w:rsid w:val="003D6FA3"/>
    <w:rsid w:val="003D76A6"/>
    <w:rsid w:val="003D76EE"/>
    <w:rsid w:val="003D7A47"/>
    <w:rsid w:val="003E010C"/>
    <w:rsid w:val="003E06A5"/>
    <w:rsid w:val="003E08C7"/>
    <w:rsid w:val="003E12C2"/>
    <w:rsid w:val="003E213A"/>
    <w:rsid w:val="003E2736"/>
    <w:rsid w:val="003E2C03"/>
    <w:rsid w:val="003E2CD6"/>
    <w:rsid w:val="003E312C"/>
    <w:rsid w:val="003E3215"/>
    <w:rsid w:val="003E3894"/>
    <w:rsid w:val="003E49F5"/>
    <w:rsid w:val="003E4A1E"/>
    <w:rsid w:val="003E4A4F"/>
    <w:rsid w:val="003E51FC"/>
    <w:rsid w:val="003E5D0F"/>
    <w:rsid w:val="003E61FC"/>
    <w:rsid w:val="003E65ED"/>
    <w:rsid w:val="003E668D"/>
    <w:rsid w:val="003E710F"/>
    <w:rsid w:val="003E73DB"/>
    <w:rsid w:val="003E785E"/>
    <w:rsid w:val="003F071D"/>
    <w:rsid w:val="003F0E48"/>
    <w:rsid w:val="003F1706"/>
    <w:rsid w:val="003F2F2F"/>
    <w:rsid w:val="003F337C"/>
    <w:rsid w:val="003F34CE"/>
    <w:rsid w:val="003F47BC"/>
    <w:rsid w:val="003F4A2F"/>
    <w:rsid w:val="003F4A92"/>
    <w:rsid w:val="003F4D0A"/>
    <w:rsid w:val="003F4EF3"/>
    <w:rsid w:val="003F59C4"/>
    <w:rsid w:val="003F6335"/>
    <w:rsid w:val="003F64A7"/>
    <w:rsid w:val="003F67C4"/>
    <w:rsid w:val="003F6D24"/>
    <w:rsid w:val="003F791A"/>
    <w:rsid w:val="003F793C"/>
    <w:rsid w:val="003F7ECA"/>
    <w:rsid w:val="003F7F5A"/>
    <w:rsid w:val="003F7FF8"/>
    <w:rsid w:val="00400067"/>
    <w:rsid w:val="004006C6"/>
    <w:rsid w:val="004007F3"/>
    <w:rsid w:val="00401460"/>
    <w:rsid w:val="0040190C"/>
    <w:rsid w:val="00401932"/>
    <w:rsid w:val="00401A64"/>
    <w:rsid w:val="00402B7F"/>
    <w:rsid w:val="00402C94"/>
    <w:rsid w:val="004031B8"/>
    <w:rsid w:val="00403B55"/>
    <w:rsid w:val="004043FC"/>
    <w:rsid w:val="004047B6"/>
    <w:rsid w:val="00404DBF"/>
    <w:rsid w:val="004053AA"/>
    <w:rsid w:val="004054D9"/>
    <w:rsid w:val="00406357"/>
    <w:rsid w:val="00406396"/>
    <w:rsid w:val="0040678D"/>
    <w:rsid w:val="00407824"/>
    <w:rsid w:val="00407E05"/>
    <w:rsid w:val="00410734"/>
    <w:rsid w:val="004108FD"/>
    <w:rsid w:val="00410E50"/>
    <w:rsid w:val="00410F17"/>
    <w:rsid w:val="0041128A"/>
    <w:rsid w:val="0041148F"/>
    <w:rsid w:val="004117AA"/>
    <w:rsid w:val="0041296C"/>
    <w:rsid w:val="00412D2B"/>
    <w:rsid w:val="00413507"/>
    <w:rsid w:val="004135A6"/>
    <w:rsid w:val="00413D47"/>
    <w:rsid w:val="00413FE4"/>
    <w:rsid w:val="00415030"/>
    <w:rsid w:val="0041531E"/>
    <w:rsid w:val="0041543B"/>
    <w:rsid w:val="00415604"/>
    <w:rsid w:val="004157B9"/>
    <w:rsid w:val="00415CF4"/>
    <w:rsid w:val="00416BE7"/>
    <w:rsid w:val="00416C27"/>
    <w:rsid w:val="00417542"/>
    <w:rsid w:val="0041761A"/>
    <w:rsid w:val="00417974"/>
    <w:rsid w:val="00417DE0"/>
    <w:rsid w:val="00417F73"/>
    <w:rsid w:val="00420BBA"/>
    <w:rsid w:val="00420D36"/>
    <w:rsid w:val="00421243"/>
    <w:rsid w:val="00421301"/>
    <w:rsid w:val="00421CD8"/>
    <w:rsid w:val="00421EF1"/>
    <w:rsid w:val="00421FAB"/>
    <w:rsid w:val="0042208F"/>
    <w:rsid w:val="004220BC"/>
    <w:rsid w:val="00422AC1"/>
    <w:rsid w:val="0042329B"/>
    <w:rsid w:val="00423306"/>
    <w:rsid w:val="00423616"/>
    <w:rsid w:val="00423CD1"/>
    <w:rsid w:val="00424469"/>
    <w:rsid w:val="004256A2"/>
    <w:rsid w:val="004259E3"/>
    <w:rsid w:val="00425AEA"/>
    <w:rsid w:val="00425AF9"/>
    <w:rsid w:val="004261AA"/>
    <w:rsid w:val="00426AF6"/>
    <w:rsid w:val="004275CA"/>
    <w:rsid w:val="00427BFD"/>
    <w:rsid w:val="00427C93"/>
    <w:rsid w:val="0043080F"/>
    <w:rsid w:val="00430FB5"/>
    <w:rsid w:val="00430FD8"/>
    <w:rsid w:val="004310FF"/>
    <w:rsid w:val="00431293"/>
    <w:rsid w:val="004314C9"/>
    <w:rsid w:val="00432499"/>
    <w:rsid w:val="00432772"/>
    <w:rsid w:val="0043284C"/>
    <w:rsid w:val="00433214"/>
    <w:rsid w:val="00433BC9"/>
    <w:rsid w:val="00433D52"/>
    <w:rsid w:val="004340C8"/>
    <w:rsid w:val="004344B7"/>
    <w:rsid w:val="00434509"/>
    <w:rsid w:val="004349A4"/>
    <w:rsid w:val="00436E43"/>
    <w:rsid w:val="00436F2A"/>
    <w:rsid w:val="00437511"/>
    <w:rsid w:val="00437960"/>
    <w:rsid w:val="00437DEF"/>
    <w:rsid w:val="00437F51"/>
    <w:rsid w:val="0044124E"/>
    <w:rsid w:val="0044176F"/>
    <w:rsid w:val="00441ECF"/>
    <w:rsid w:val="004426BA"/>
    <w:rsid w:val="004428B1"/>
    <w:rsid w:val="00443975"/>
    <w:rsid w:val="00443BD6"/>
    <w:rsid w:val="00443E39"/>
    <w:rsid w:val="004440AB"/>
    <w:rsid w:val="004440F7"/>
    <w:rsid w:val="0044489C"/>
    <w:rsid w:val="004448AE"/>
    <w:rsid w:val="00444CAA"/>
    <w:rsid w:val="0044526C"/>
    <w:rsid w:val="00445D98"/>
    <w:rsid w:val="00445E69"/>
    <w:rsid w:val="004462AB"/>
    <w:rsid w:val="00446335"/>
    <w:rsid w:val="0044669F"/>
    <w:rsid w:val="0044697A"/>
    <w:rsid w:val="0044729E"/>
    <w:rsid w:val="004472BF"/>
    <w:rsid w:val="00447E00"/>
    <w:rsid w:val="00450594"/>
    <w:rsid w:val="00450766"/>
    <w:rsid w:val="00451683"/>
    <w:rsid w:val="00451E6B"/>
    <w:rsid w:val="004525B8"/>
    <w:rsid w:val="00452A1C"/>
    <w:rsid w:val="0045303F"/>
    <w:rsid w:val="0045304E"/>
    <w:rsid w:val="004532A0"/>
    <w:rsid w:val="004536CF"/>
    <w:rsid w:val="0045393A"/>
    <w:rsid w:val="00453A05"/>
    <w:rsid w:val="00454283"/>
    <w:rsid w:val="00454880"/>
    <w:rsid w:val="00454B45"/>
    <w:rsid w:val="00454BA5"/>
    <w:rsid w:val="00455856"/>
    <w:rsid w:val="0045592E"/>
    <w:rsid w:val="00456F6F"/>
    <w:rsid w:val="00457008"/>
    <w:rsid w:val="004579B2"/>
    <w:rsid w:val="00457B60"/>
    <w:rsid w:val="004602F8"/>
    <w:rsid w:val="0046089D"/>
    <w:rsid w:val="00460D9A"/>
    <w:rsid w:val="00460FD8"/>
    <w:rsid w:val="00461062"/>
    <w:rsid w:val="004611BF"/>
    <w:rsid w:val="00461305"/>
    <w:rsid w:val="0046212D"/>
    <w:rsid w:val="00462804"/>
    <w:rsid w:val="004628C2"/>
    <w:rsid w:val="00462D74"/>
    <w:rsid w:val="00462E7A"/>
    <w:rsid w:val="004630EB"/>
    <w:rsid w:val="0046355F"/>
    <w:rsid w:val="004636C7"/>
    <w:rsid w:val="004637D5"/>
    <w:rsid w:val="00463D21"/>
    <w:rsid w:val="00463FB4"/>
    <w:rsid w:val="00464590"/>
    <w:rsid w:val="0046462B"/>
    <w:rsid w:val="00464A79"/>
    <w:rsid w:val="00464D17"/>
    <w:rsid w:val="004650F5"/>
    <w:rsid w:val="00465AE5"/>
    <w:rsid w:val="0046600B"/>
    <w:rsid w:val="004661FC"/>
    <w:rsid w:val="004663E8"/>
    <w:rsid w:val="0046642B"/>
    <w:rsid w:val="00466601"/>
    <w:rsid w:val="00466D0F"/>
    <w:rsid w:val="004672BB"/>
    <w:rsid w:val="00467535"/>
    <w:rsid w:val="004703CA"/>
    <w:rsid w:val="0047060D"/>
    <w:rsid w:val="0047087C"/>
    <w:rsid w:val="00470E6E"/>
    <w:rsid w:val="00471538"/>
    <w:rsid w:val="004718C1"/>
    <w:rsid w:val="00471A36"/>
    <w:rsid w:val="00471D3A"/>
    <w:rsid w:val="00472455"/>
    <w:rsid w:val="004727AD"/>
    <w:rsid w:val="0047288E"/>
    <w:rsid w:val="00472A70"/>
    <w:rsid w:val="00472E0A"/>
    <w:rsid w:val="004736BC"/>
    <w:rsid w:val="00474083"/>
    <w:rsid w:val="0047491B"/>
    <w:rsid w:val="00474935"/>
    <w:rsid w:val="00474FE2"/>
    <w:rsid w:val="004759BD"/>
    <w:rsid w:val="00475BCE"/>
    <w:rsid w:val="00475D4C"/>
    <w:rsid w:val="00475D5C"/>
    <w:rsid w:val="00475DEA"/>
    <w:rsid w:val="0047684C"/>
    <w:rsid w:val="004771CC"/>
    <w:rsid w:val="004775C8"/>
    <w:rsid w:val="00477FDE"/>
    <w:rsid w:val="00480117"/>
    <w:rsid w:val="00480306"/>
    <w:rsid w:val="00480422"/>
    <w:rsid w:val="0048072C"/>
    <w:rsid w:val="00480B1D"/>
    <w:rsid w:val="00481D5E"/>
    <w:rsid w:val="00482087"/>
    <w:rsid w:val="0048290D"/>
    <w:rsid w:val="00482B80"/>
    <w:rsid w:val="00483626"/>
    <w:rsid w:val="00483AEA"/>
    <w:rsid w:val="00483C7E"/>
    <w:rsid w:val="0048464D"/>
    <w:rsid w:val="004851E6"/>
    <w:rsid w:val="0048528F"/>
    <w:rsid w:val="00485A17"/>
    <w:rsid w:val="00485B28"/>
    <w:rsid w:val="00485F0A"/>
    <w:rsid w:val="00486852"/>
    <w:rsid w:val="004869E3"/>
    <w:rsid w:val="004870B1"/>
    <w:rsid w:val="004877D1"/>
    <w:rsid w:val="004878F8"/>
    <w:rsid w:val="00487A52"/>
    <w:rsid w:val="00487C99"/>
    <w:rsid w:val="0049138A"/>
    <w:rsid w:val="0049168F"/>
    <w:rsid w:val="004916E7"/>
    <w:rsid w:val="0049262C"/>
    <w:rsid w:val="00492707"/>
    <w:rsid w:val="0049321C"/>
    <w:rsid w:val="00493388"/>
    <w:rsid w:val="004933C6"/>
    <w:rsid w:val="0049367E"/>
    <w:rsid w:val="004936F2"/>
    <w:rsid w:val="0049384B"/>
    <w:rsid w:val="00493898"/>
    <w:rsid w:val="00493984"/>
    <w:rsid w:val="00493D62"/>
    <w:rsid w:val="00493E8A"/>
    <w:rsid w:val="004944DA"/>
    <w:rsid w:val="00494AE9"/>
    <w:rsid w:val="00494BFB"/>
    <w:rsid w:val="00494FA6"/>
    <w:rsid w:val="00494FEC"/>
    <w:rsid w:val="00495040"/>
    <w:rsid w:val="00495192"/>
    <w:rsid w:val="004951FA"/>
    <w:rsid w:val="004955A3"/>
    <w:rsid w:val="004962BE"/>
    <w:rsid w:val="00496771"/>
    <w:rsid w:val="004968AB"/>
    <w:rsid w:val="004969DE"/>
    <w:rsid w:val="00496A80"/>
    <w:rsid w:val="00496BE4"/>
    <w:rsid w:val="00496C07"/>
    <w:rsid w:val="0049740B"/>
    <w:rsid w:val="0049776D"/>
    <w:rsid w:val="00497B5E"/>
    <w:rsid w:val="004A0155"/>
    <w:rsid w:val="004A0A12"/>
    <w:rsid w:val="004A1B48"/>
    <w:rsid w:val="004A1D38"/>
    <w:rsid w:val="004A2251"/>
    <w:rsid w:val="004A2333"/>
    <w:rsid w:val="004A27A7"/>
    <w:rsid w:val="004A2A60"/>
    <w:rsid w:val="004A3391"/>
    <w:rsid w:val="004A37EC"/>
    <w:rsid w:val="004A38F8"/>
    <w:rsid w:val="004A3B0B"/>
    <w:rsid w:val="004A45B3"/>
    <w:rsid w:val="004A4C4E"/>
    <w:rsid w:val="004A5643"/>
    <w:rsid w:val="004A5CB7"/>
    <w:rsid w:val="004A60E3"/>
    <w:rsid w:val="004A620A"/>
    <w:rsid w:val="004A6D22"/>
    <w:rsid w:val="004A6FAE"/>
    <w:rsid w:val="004A7681"/>
    <w:rsid w:val="004A793C"/>
    <w:rsid w:val="004A7B37"/>
    <w:rsid w:val="004B0069"/>
    <w:rsid w:val="004B1038"/>
    <w:rsid w:val="004B1288"/>
    <w:rsid w:val="004B1F6A"/>
    <w:rsid w:val="004B2843"/>
    <w:rsid w:val="004B2CF0"/>
    <w:rsid w:val="004B3C8F"/>
    <w:rsid w:val="004B41E6"/>
    <w:rsid w:val="004B42C8"/>
    <w:rsid w:val="004B5532"/>
    <w:rsid w:val="004B5754"/>
    <w:rsid w:val="004B5952"/>
    <w:rsid w:val="004B5958"/>
    <w:rsid w:val="004B5D6B"/>
    <w:rsid w:val="004B6017"/>
    <w:rsid w:val="004B69A7"/>
    <w:rsid w:val="004B6BE0"/>
    <w:rsid w:val="004B6EA3"/>
    <w:rsid w:val="004B6EA6"/>
    <w:rsid w:val="004B6FA7"/>
    <w:rsid w:val="004B732A"/>
    <w:rsid w:val="004B755B"/>
    <w:rsid w:val="004B77C7"/>
    <w:rsid w:val="004B7C78"/>
    <w:rsid w:val="004B7EE7"/>
    <w:rsid w:val="004C075E"/>
    <w:rsid w:val="004C0F2E"/>
    <w:rsid w:val="004C149D"/>
    <w:rsid w:val="004C23F8"/>
    <w:rsid w:val="004C264A"/>
    <w:rsid w:val="004C31D1"/>
    <w:rsid w:val="004C3474"/>
    <w:rsid w:val="004C39CD"/>
    <w:rsid w:val="004C3FE7"/>
    <w:rsid w:val="004C4828"/>
    <w:rsid w:val="004C4D09"/>
    <w:rsid w:val="004C4F78"/>
    <w:rsid w:val="004C53DA"/>
    <w:rsid w:val="004C556D"/>
    <w:rsid w:val="004C558F"/>
    <w:rsid w:val="004C576C"/>
    <w:rsid w:val="004C5A32"/>
    <w:rsid w:val="004C5B55"/>
    <w:rsid w:val="004C72A1"/>
    <w:rsid w:val="004C7697"/>
    <w:rsid w:val="004C7A78"/>
    <w:rsid w:val="004C7B8A"/>
    <w:rsid w:val="004C7CAA"/>
    <w:rsid w:val="004C7D0C"/>
    <w:rsid w:val="004D0218"/>
    <w:rsid w:val="004D02E7"/>
    <w:rsid w:val="004D0603"/>
    <w:rsid w:val="004D0D48"/>
    <w:rsid w:val="004D12FF"/>
    <w:rsid w:val="004D183F"/>
    <w:rsid w:val="004D1BF0"/>
    <w:rsid w:val="004D27D7"/>
    <w:rsid w:val="004D2B8D"/>
    <w:rsid w:val="004D2C44"/>
    <w:rsid w:val="004D324F"/>
    <w:rsid w:val="004D3CDA"/>
    <w:rsid w:val="004D3D12"/>
    <w:rsid w:val="004D46C0"/>
    <w:rsid w:val="004D4E8F"/>
    <w:rsid w:val="004D4FFA"/>
    <w:rsid w:val="004D52C8"/>
    <w:rsid w:val="004D5338"/>
    <w:rsid w:val="004D5427"/>
    <w:rsid w:val="004D553F"/>
    <w:rsid w:val="004D55CF"/>
    <w:rsid w:val="004D5AC1"/>
    <w:rsid w:val="004D6095"/>
    <w:rsid w:val="004D6865"/>
    <w:rsid w:val="004D723F"/>
    <w:rsid w:val="004D75C1"/>
    <w:rsid w:val="004D7D83"/>
    <w:rsid w:val="004E04EF"/>
    <w:rsid w:val="004E0785"/>
    <w:rsid w:val="004E0952"/>
    <w:rsid w:val="004E1062"/>
    <w:rsid w:val="004E131D"/>
    <w:rsid w:val="004E176B"/>
    <w:rsid w:val="004E1A00"/>
    <w:rsid w:val="004E1B69"/>
    <w:rsid w:val="004E1D35"/>
    <w:rsid w:val="004E2480"/>
    <w:rsid w:val="004E2B4E"/>
    <w:rsid w:val="004E2E3C"/>
    <w:rsid w:val="004E3360"/>
    <w:rsid w:val="004E3BDA"/>
    <w:rsid w:val="004E4A69"/>
    <w:rsid w:val="004E5A0A"/>
    <w:rsid w:val="004E6107"/>
    <w:rsid w:val="004E679B"/>
    <w:rsid w:val="004E6CA5"/>
    <w:rsid w:val="004E72A1"/>
    <w:rsid w:val="004E75C2"/>
    <w:rsid w:val="004E775D"/>
    <w:rsid w:val="004E777B"/>
    <w:rsid w:val="004E7CDE"/>
    <w:rsid w:val="004F000D"/>
    <w:rsid w:val="004F0A99"/>
    <w:rsid w:val="004F0E52"/>
    <w:rsid w:val="004F122C"/>
    <w:rsid w:val="004F150B"/>
    <w:rsid w:val="004F1F3C"/>
    <w:rsid w:val="004F28F6"/>
    <w:rsid w:val="004F3B4F"/>
    <w:rsid w:val="004F3DDB"/>
    <w:rsid w:val="004F4127"/>
    <w:rsid w:val="004F4FAF"/>
    <w:rsid w:val="004F536D"/>
    <w:rsid w:val="004F590A"/>
    <w:rsid w:val="004F593C"/>
    <w:rsid w:val="004F5C65"/>
    <w:rsid w:val="004F5E07"/>
    <w:rsid w:val="004F6427"/>
    <w:rsid w:val="004F6C8F"/>
    <w:rsid w:val="004F73EB"/>
    <w:rsid w:val="004F7E5A"/>
    <w:rsid w:val="00500574"/>
    <w:rsid w:val="00500825"/>
    <w:rsid w:val="005009C6"/>
    <w:rsid w:val="00500A7B"/>
    <w:rsid w:val="005010C0"/>
    <w:rsid w:val="005013A3"/>
    <w:rsid w:val="00501B74"/>
    <w:rsid w:val="005021AD"/>
    <w:rsid w:val="005023F0"/>
    <w:rsid w:val="005026B9"/>
    <w:rsid w:val="00502778"/>
    <w:rsid w:val="005037DF"/>
    <w:rsid w:val="00503F29"/>
    <w:rsid w:val="005043C1"/>
    <w:rsid w:val="0050450A"/>
    <w:rsid w:val="0050496E"/>
    <w:rsid w:val="00504A9C"/>
    <w:rsid w:val="005051F9"/>
    <w:rsid w:val="005053CE"/>
    <w:rsid w:val="005057DC"/>
    <w:rsid w:val="00505809"/>
    <w:rsid w:val="00506D53"/>
    <w:rsid w:val="00506EF5"/>
    <w:rsid w:val="00510510"/>
    <w:rsid w:val="005106D8"/>
    <w:rsid w:val="0051179E"/>
    <w:rsid w:val="00511AED"/>
    <w:rsid w:val="00511C42"/>
    <w:rsid w:val="00511E03"/>
    <w:rsid w:val="00511F99"/>
    <w:rsid w:val="00512814"/>
    <w:rsid w:val="00512BF9"/>
    <w:rsid w:val="0051352D"/>
    <w:rsid w:val="00514161"/>
    <w:rsid w:val="0051438D"/>
    <w:rsid w:val="005148DF"/>
    <w:rsid w:val="00514AC3"/>
    <w:rsid w:val="00514B0A"/>
    <w:rsid w:val="005151D5"/>
    <w:rsid w:val="00515269"/>
    <w:rsid w:val="005158BD"/>
    <w:rsid w:val="0051591D"/>
    <w:rsid w:val="00515E53"/>
    <w:rsid w:val="00516431"/>
    <w:rsid w:val="00516616"/>
    <w:rsid w:val="0051694C"/>
    <w:rsid w:val="005169A8"/>
    <w:rsid w:val="00516B8C"/>
    <w:rsid w:val="00516D8E"/>
    <w:rsid w:val="00517D30"/>
    <w:rsid w:val="00520A07"/>
    <w:rsid w:val="005211ED"/>
    <w:rsid w:val="00521B67"/>
    <w:rsid w:val="005223C5"/>
    <w:rsid w:val="00522710"/>
    <w:rsid w:val="00522E51"/>
    <w:rsid w:val="005233E8"/>
    <w:rsid w:val="0052372E"/>
    <w:rsid w:val="00523B50"/>
    <w:rsid w:val="00523E97"/>
    <w:rsid w:val="00524526"/>
    <w:rsid w:val="005247C0"/>
    <w:rsid w:val="00524C6D"/>
    <w:rsid w:val="0052513C"/>
    <w:rsid w:val="00525434"/>
    <w:rsid w:val="00525800"/>
    <w:rsid w:val="00525845"/>
    <w:rsid w:val="00525FC7"/>
    <w:rsid w:val="005268E5"/>
    <w:rsid w:val="00526A32"/>
    <w:rsid w:val="00526DAE"/>
    <w:rsid w:val="00526FC7"/>
    <w:rsid w:val="0052713B"/>
    <w:rsid w:val="00527973"/>
    <w:rsid w:val="00527E4A"/>
    <w:rsid w:val="005304C6"/>
    <w:rsid w:val="00530656"/>
    <w:rsid w:val="0053075D"/>
    <w:rsid w:val="0053078B"/>
    <w:rsid w:val="00530D4D"/>
    <w:rsid w:val="005311A0"/>
    <w:rsid w:val="00531716"/>
    <w:rsid w:val="00531E8F"/>
    <w:rsid w:val="005321B3"/>
    <w:rsid w:val="00532288"/>
    <w:rsid w:val="00533314"/>
    <w:rsid w:val="00533D2E"/>
    <w:rsid w:val="00533EE7"/>
    <w:rsid w:val="00534473"/>
    <w:rsid w:val="00535340"/>
    <w:rsid w:val="00535531"/>
    <w:rsid w:val="00535840"/>
    <w:rsid w:val="00535851"/>
    <w:rsid w:val="00536442"/>
    <w:rsid w:val="00536ED9"/>
    <w:rsid w:val="00536FB1"/>
    <w:rsid w:val="00537113"/>
    <w:rsid w:val="00537921"/>
    <w:rsid w:val="005402A1"/>
    <w:rsid w:val="00541317"/>
    <w:rsid w:val="005416C4"/>
    <w:rsid w:val="0054223F"/>
    <w:rsid w:val="00542358"/>
    <w:rsid w:val="0054289D"/>
    <w:rsid w:val="00542971"/>
    <w:rsid w:val="00542E0C"/>
    <w:rsid w:val="00543723"/>
    <w:rsid w:val="0054395B"/>
    <w:rsid w:val="005440AC"/>
    <w:rsid w:val="005443D3"/>
    <w:rsid w:val="00544860"/>
    <w:rsid w:val="00544D00"/>
    <w:rsid w:val="00544E2B"/>
    <w:rsid w:val="005453A8"/>
    <w:rsid w:val="005453BF"/>
    <w:rsid w:val="00545925"/>
    <w:rsid w:val="0054594E"/>
    <w:rsid w:val="005464C5"/>
    <w:rsid w:val="00546DF2"/>
    <w:rsid w:val="00547028"/>
    <w:rsid w:val="0054741D"/>
    <w:rsid w:val="00550202"/>
    <w:rsid w:val="005506C6"/>
    <w:rsid w:val="005506D9"/>
    <w:rsid w:val="005508E9"/>
    <w:rsid w:val="00550BBB"/>
    <w:rsid w:val="005510A1"/>
    <w:rsid w:val="00551269"/>
    <w:rsid w:val="005519EF"/>
    <w:rsid w:val="00551AB9"/>
    <w:rsid w:val="00552204"/>
    <w:rsid w:val="00552245"/>
    <w:rsid w:val="0055257C"/>
    <w:rsid w:val="00552D47"/>
    <w:rsid w:val="005530C7"/>
    <w:rsid w:val="005537A5"/>
    <w:rsid w:val="00553BCE"/>
    <w:rsid w:val="00553CB1"/>
    <w:rsid w:val="00554126"/>
    <w:rsid w:val="0055457B"/>
    <w:rsid w:val="00554E9C"/>
    <w:rsid w:val="00554F89"/>
    <w:rsid w:val="00555185"/>
    <w:rsid w:val="005551E0"/>
    <w:rsid w:val="005559CF"/>
    <w:rsid w:val="00555AB7"/>
    <w:rsid w:val="00556204"/>
    <w:rsid w:val="0055687B"/>
    <w:rsid w:val="00556C65"/>
    <w:rsid w:val="00556D90"/>
    <w:rsid w:val="00556E19"/>
    <w:rsid w:val="005579FC"/>
    <w:rsid w:val="00557DC4"/>
    <w:rsid w:val="00557F5D"/>
    <w:rsid w:val="005605ED"/>
    <w:rsid w:val="005610AB"/>
    <w:rsid w:val="00561452"/>
    <w:rsid w:val="005619F1"/>
    <w:rsid w:val="00561B24"/>
    <w:rsid w:val="00561BB0"/>
    <w:rsid w:val="00561E3D"/>
    <w:rsid w:val="00561EAC"/>
    <w:rsid w:val="00561FFA"/>
    <w:rsid w:val="00562B61"/>
    <w:rsid w:val="00562E9A"/>
    <w:rsid w:val="00562F21"/>
    <w:rsid w:val="0056315F"/>
    <w:rsid w:val="0056322E"/>
    <w:rsid w:val="00563291"/>
    <w:rsid w:val="00563520"/>
    <w:rsid w:val="00563745"/>
    <w:rsid w:val="00563BDA"/>
    <w:rsid w:val="00563FC7"/>
    <w:rsid w:val="00565555"/>
    <w:rsid w:val="005657BD"/>
    <w:rsid w:val="00566258"/>
    <w:rsid w:val="0056654C"/>
    <w:rsid w:val="005665F9"/>
    <w:rsid w:val="00566ADA"/>
    <w:rsid w:val="005670B5"/>
    <w:rsid w:val="005673CC"/>
    <w:rsid w:val="00567F42"/>
    <w:rsid w:val="00570700"/>
    <w:rsid w:val="0057085F"/>
    <w:rsid w:val="005712BC"/>
    <w:rsid w:val="0057163E"/>
    <w:rsid w:val="00571673"/>
    <w:rsid w:val="00571DBA"/>
    <w:rsid w:val="00572807"/>
    <w:rsid w:val="00572846"/>
    <w:rsid w:val="00572A3C"/>
    <w:rsid w:val="00572EF0"/>
    <w:rsid w:val="00573159"/>
    <w:rsid w:val="005745C1"/>
    <w:rsid w:val="00575499"/>
    <w:rsid w:val="00575565"/>
    <w:rsid w:val="00576711"/>
    <w:rsid w:val="00576ABB"/>
    <w:rsid w:val="005772DF"/>
    <w:rsid w:val="00577604"/>
    <w:rsid w:val="0057770D"/>
    <w:rsid w:val="00577A5E"/>
    <w:rsid w:val="005801E2"/>
    <w:rsid w:val="00580211"/>
    <w:rsid w:val="00580B48"/>
    <w:rsid w:val="00581603"/>
    <w:rsid w:val="00581874"/>
    <w:rsid w:val="00581918"/>
    <w:rsid w:val="005819D8"/>
    <w:rsid w:val="00582393"/>
    <w:rsid w:val="00582BE8"/>
    <w:rsid w:val="0058372A"/>
    <w:rsid w:val="00583D0C"/>
    <w:rsid w:val="00584351"/>
    <w:rsid w:val="0058500D"/>
    <w:rsid w:val="005851CC"/>
    <w:rsid w:val="00585291"/>
    <w:rsid w:val="00585564"/>
    <w:rsid w:val="005856C0"/>
    <w:rsid w:val="00586403"/>
    <w:rsid w:val="00586C80"/>
    <w:rsid w:val="005871D7"/>
    <w:rsid w:val="0058722C"/>
    <w:rsid w:val="00587840"/>
    <w:rsid w:val="00587E44"/>
    <w:rsid w:val="00590699"/>
    <w:rsid w:val="00590734"/>
    <w:rsid w:val="0059117A"/>
    <w:rsid w:val="005914F4"/>
    <w:rsid w:val="00591CD7"/>
    <w:rsid w:val="00591DC8"/>
    <w:rsid w:val="0059330B"/>
    <w:rsid w:val="00593627"/>
    <w:rsid w:val="005939E5"/>
    <w:rsid w:val="00593A12"/>
    <w:rsid w:val="00593CD7"/>
    <w:rsid w:val="00594AAD"/>
    <w:rsid w:val="00594F6D"/>
    <w:rsid w:val="005958D8"/>
    <w:rsid w:val="005964F8"/>
    <w:rsid w:val="005967E8"/>
    <w:rsid w:val="00596991"/>
    <w:rsid w:val="005971C0"/>
    <w:rsid w:val="005974FC"/>
    <w:rsid w:val="00597591"/>
    <w:rsid w:val="00597641"/>
    <w:rsid w:val="00597792"/>
    <w:rsid w:val="005978B6"/>
    <w:rsid w:val="00597E54"/>
    <w:rsid w:val="00597EEB"/>
    <w:rsid w:val="00597F20"/>
    <w:rsid w:val="005A03D0"/>
    <w:rsid w:val="005A0427"/>
    <w:rsid w:val="005A0715"/>
    <w:rsid w:val="005A08E7"/>
    <w:rsid w:val="005A1790"/>
    <w:rsid w:val="005A1BE6"/>
    <w:rsid w:val="005A1CD4"/>
    <w:rsid w:val="005A206D"/>
    <w:rsid w:val="005A28EC"/>
    <w:rsid w:val="005A4356"/>
    <w:rsid w:val="005A449B"/>
    <w:rsid w:val="005A5676"/>
    <w:rsid w:val="005A5BCF"/>
    <w:rsid w:val="005A5DE5"/>
    <w:rsid w:val="005A5EF1"/>
    <w:rsid w:val="005A655D"/>
    <w:rsid w:val="005A68B4"/>
    <w:rsid w:val="005A6B5D"/>
    <w:rsid w:val="005A6CF1"/>
    <w:rsid w:val="005A6D50"/>
    <w:rsid w:val="005A6E18"/>
    <w:rsid w:val="005A7771"/>
    <w:rsid w:val="005A77F9"/>
    <w:rsid w:val="005A7A29"/>
    <w:rsid w:val="005B02CE"/>
    <w:rsid w:val="005B038B"/>
    <w:rsid w:val="005B0FFF"/>
    <w:rsid w:val="005B12CC"/>
    <w:rsid w:val="005B14EC"/>
    <w:rsid w:val="005B19FB"/>
    <w:rsid w:val="005B345B"/>
    <w:rsid w:val="005B3764"/>
    <w:rsid w:val="005B4C61"/>
    <w:rsid w:val="005B573D"/>
    <w:rsid w:val="005B582D"/>
    <w:rsid w:val="005B634D"/>
    <w:rsid w:val="005B65F8"/>
    <w:rsid w:val="005B6A24"/>
    <w:rsid w:val="005B6C66"/>
    <w:rsid w:val="005B6EBC"/>
    <w:rsid w:val="005B796C"/>
    <w:rsid w:val="005B7BAD"/>
    <w:rsid w:val="005B7F22"/>
    <w:rsid w:val="005C00AD"/>
    <w:rsid w:val="005C0112"/>
    <w:rsid w:val="005C012D"/>
    <w:rsid w:val="005C0925"/>
    <w:rsid w:val="005C0F47"/>
    <w:rsid w:val="005C10A3"/>
    <w:rsid w:val="005C125B"/>
    <w:rsid w:val="005C1BAE"/>
    <w:rsid w:val="005C1FC3"/>
    <w:rsid w:val="005C2238"/>
    <w:rsid w:val="005C2276"/>
    <w:rsid w:val="005C28F6"/>
    <w:rsid w:val="005C2920"/>
    <w:rsid w:val="005C2AF9"/>
    <w:rsid w:val="005C2D6D"/>
    <w:rsid w:val="005C3462"/>
    <w:rsid w:val="005C36D9"/>
    <w:rsid w:val="005C39F2"/>
    <w:rsid w:val="005C3BAB"/>
    <w:rsid w:val="005C3E75"/>
    <w:rsid w:val="005C47A4"/>
    <w:rsid w:val="005C4E5C"/>
    <w:rsid w:val="005C552B"/>
    <w:rsid w:val="005C56BF"/>
    <w:rsid w:val="005C5A66"/>
    <w:rsid w:val="005C6247"/>
    <w:rsid w:val="005C6402"/>
    <w:rsid w:val="005C69EF"/>
    <w:rsid w:val="005C7400"/>
    <w:rsid w:val="005C7608"/>
    <w:rsid w:val="005D0363"/>
    <w:rsid w:val="005D037D"/>
    <w:rsid w:val="005D1E2D"/>
    <w:rsid w:val="005D2815"/>
    <w:rsid w:val="005D2F31"/>
    <w:rsid w:val="005D3099"/>
    <w:rsid w:val="005D331C"/>
    <w:rsid w:val="005D3395"/>
    <w:rsid w:val="005D33E2"/>
    <w:rsid w:val="005D437D"/>
    <w:rsid w:val="005D5026"/>
    <w:rsid w:val="005D64DE"/>
    <w:rsid w:val="005D67BB"/>
    <w:rsid w:val="005D6D34"/>
    <w:rsid w:val="005D741E"/>
    <w:rsid w:val="005D74B0"/>
    <w:rsid w:val="005D7CFE"/>
    <w:rsid w:val="005D7FCF"/>
    <w:rsid w:val="005E0E90"/>
    <w:rsid w:val="005E195C"/>
    <w:rsid w:val="005E327F"/>
    <w:rsid w:val="005E3435"/>
    <w:rsid w:val="005E3557"/>
    <w:rsid w:val="005E3921"/>
    <w:rsid w:val="005E447D"/>
    <w:rsid w:val="005E4610"/>
    <w:rsid w:val="005E4E92"/>
    <w:rsid w:val="005E54F2"/>
    <w:rsid w:val="005E5588"/>
    <w:rsid w:val="005E563F"/>
    <w:rsid w:val="005E56E1"/>
    <w:rsid w:val="005E5783"/>
    <w:rsid w:val="005E5DAC"/>
    <w:rsid w:val="005E5DE2"/>
    <w:rsid w:val="005E5E86"/>
    <w:rsid w:val="005E6369"/>
    <w:rsid w:val="005E6542"/>
    <w:rsid w:val="005E67F7"/>
    <w:rsid w:val="005E6D8D"/>
    <w:rsid w:val="005E7A12"/>
    <w:rsid w:val="005F0672"/>
    <w:rsid w:val="005F0A1F"/>
    <w:rsid w:val="005F18B1"/>
    <w:rsid w:val="005F1965"/>
    <w:rsid w:val="005F1D07"/>
    <w:rsid w:val="005F1F20"/>
    <w:rsid w:val="005F290B"/>
    <w:rsid w:val="005F2F25"/>
    <w:rsid w:val="005F30BC"/>
    <w:rsid w:val="005F34B9"/>
    <w:rsid w:val="005F3595"/>
    <w:rsid w:val="005F3C15"/>
    <w:rsid w:val="005F43EF"/>
    <w:rsid w:val="005F585C"/>
    <w:rsid w:val="005F5A23"/>
    <w:rsid w:val="005F5C3D"/>
    <w:rsid w:val="005F5D4E"/>
    <w:rsid w:val="005F609B"/>
    <w:rsid w:val="005F64DC"/>
    <w:rsid w:val="005F6B0A"/>
    <w:rsid w:val="005F6BA2"/>
    <w:rsid w:val="005F6C97"/>
    <w:rsid w:val="005F7214"/>
    <w:rsid w:val="005F73CE"/>
    <w:rsid w:val="005F74AF"/>
    <w:rsid w:val="005F7608"/>
    <w:rsid w:val="005F79A5"/>
    <w:rsid w:val="005F7BDE"/>
    <w:rsid w:val="005F7C3D"/>
    <w:rsid w:val="005F7CAA"/>
    <w:rsid w:val="0060086B"/>
    <w:rsid w:val="00601309"/>
    <w:rsid w:val="0060191C"/>
    <w:rsid w:val="006021A8"/>
    <w:rsid w:val="006028ED"/>
    <w:rsid w:val="006029C1"/>
    <w:rsid w:val="00602A91"/>
    <w:rsid w:val="00602D1A"/>
    <w:rsid w:val="0060314C"/>
    <w:rsid w:val="0060356B"/>
    <w:rsid w:val="00604AE9"/>
    <w:rsid w:val="00604BE5"/>
    <w:rsid w:val="00605657"/>
    <w:rsid w:val="0060570F"/>
    <w:rsid w:val="0060591B"/>
    <w:rsid w:val="00605DCB"/>
    <w:rsid w:val="006071AA"/>
    <w:rsid w:val="0061019A"/>
    <w:rsid w:val="006104E3"/>
    <w:rsid w:val="00610923"/>
    <w:rsid w:val="00610C9A"/>
    <w:rsid w:val="00610CA1"/>
    <w:rsid w:val="00610DA0"/>
    <w:rsid w:val="006110A9"/>
    <w:rsid w:val="00611146"/>
    <w:rsid w:val="0061185E"/>
    <w:rsid w:val="00611C08"/>
    <w:rsid w:val="00611D49"/>
    <w:rsid w:val="006120A5"/>
    <w:rsid w:val="00612A5B"/>
    <w:rsid w:val="00612AFA"/>
    <w:rsid w:val="00612B0B"/>
    <w:rsid w:val="006132E6"/>
    <w:rsid w:val="00613589"/>
    <w:rsid w:val="006138E8"/>
    <w:rsid w:val="00613B15"/>
    <w:rsid w:val="00613D27"/>
    <w:rsid w:val="00613FB6"/>
    <w:rsid w:val="006147EF"/>
    <w:rsid w:val="00614E81"/>
    <w:rsid w:val="00615235"/>
    <w:rsid w:val="00615514"/>
    <w:rsid w:val="00615AB5"/>
    <w:rsid w:val="00616D10"/>
    <w:rsid w:val="0061773C"/>
    <w:rsid w:val="00617808"/>
    <w:rsid w:val="00617B8B"/>
    <w:rsid w:val="00620749"/>
    <w:rsid w:val="00620782"/>
    <w:rsid w:val="00620797"/>
    <w:rsid w:val="006208B3"/>
    <w:rsid w:val="0062136D"/>
    <w:rsid w:val="006215D1"/>
    <w:rsid w:val="006217EE"/>
    <w:rsid w:val="00621A06"/>
    <w:rsid w:val="00621A9C"/>
    <w:rsid w:val="0062268F"/>
    <w:rsid w:val="006233C8"/>
    <w:rsid w:val="00623EED"/>
    <w:rsid w:val="0062468C"/>
    <w:rsid w:val="00624741"/>
    <w:rsid w:val="00624754"/>
    <w:rsid w:val="006247E8"/>
    <w:rsid w:val="00625B17"/>
    <w:rsid w:val="00625B59"/>
    <w:rsid w:val="0062732B"/>
    <w:rsid w:val="0062748C"/>
    <w:rsid w:val="00627557"/>
    <w:rsid w:val="00627F1B"/>
    <w:rsid w:val="00627F91"/>
    <w:rsid w:val="00630305"/>
    <w:rsid w:val="00630540"/>
    <w:rsid w:val="00630618"/>
    <w:rsid w:val="00630E98"/>
    <w:rsid w:val="00630FD9"/>
    <w:rsid w:val="0063141C"/>
    <w:rsid w:val="00631EDE"/>
    <w:rsid w:val="00632A80"/>
    <w:rsid w:val="00632AFF"/>
    <w:rsid w:val="006333B7"/>
    <w:rsid w:val="00633A58"/>
    <w:rsid w:val="00633B4E"/>
    <w:rsid w:val="006340EC"/>
    <w:rsid w:val="00634D1A"/>
    <w:rsid w:val="006350F9"/>
    <w:rsid w:val="00635211"/>
    <w:rsid w:val="00635688"/>
    <w:rsid w:val="00635A30"/>
    <w:rsid w:val="00636E4F"/>
    <w:rsid w:val="00636E9E"/>
    <w:rsid w:val="00637772"/>
    <w:rsid w:val="00637A53"/>
    <w:rsid w:val="00637E6A"/>
    <w:rsid w:val="0064066F"/>
    <w:rsid w:val="00640852"/>
    <w:rsid w:val="00640E2A"/>
    <w:rsid w:val="0064116F"/>
    <w:rsid w:val="006413F3"/>
    <w:rsid w:val="00641872"/>
    <w:rsid w:val="00641B9D"/>
    <w:rsid w:val="00641F9C"/>
    <w:rsid w:val="0064224B"/>
    <w:rsid w:val="0064231B"/>
    <w:rsid w:val="00642424"/>
    <w:rsid w:val="006426D1"/>
    <w:rsid w:val="00642CF1"/>
    <w:rsid w:val="00642E53"/>
    <w:rsid w:val="00642FFA"/>
    <w:rsid w:val="00643699"/>
    <w:rsid w:val="00643759"/>
    <w:rsid w:val="006439B4"/>
    <w:rsid w:val="00643FB5"/>
    <w:rsid w:val="00646533"/>
    <w:rsid w:val="006468FB"/>
    <w:rsid w:val="00650186"/>
    <w:rsid w:val="006507AE"/>
    <w:rsid w:val="00650A14"/>
    <w:rsid w:val="0065115A"/>
    <w:rsid w:val="006522D7"/>
    <w:rsid w:val="00652404"/>
    <w:rsid w:val="006526B1"/>
    <w:rsid w:val="0065284D"/>
    <w:rsid w:val="00653810"/>
    <w:rsid w:val="00653A1D"/>
    <w:rsid w:val="00653BF3"/>
    <w:rsid w:val="00654B9A"/>
    <w:rsid w:val="006553E4"/>
    <w:rsid w:val="006555A6"/>
    <w:rsid w:val="006557FC"/>
    <w:rsid w:val="00655ADB"/>
    <w:rsid w:val="00655F91"/>
    <w:rsid w:val="00656517"/>
    <w:rsid w:val="00656601"/>
    <w:rsid w:val="00657383"/>
    <w:rsid w:val="00657A8C"/>
    <w:rsid w:val="006604DD"/>
    <w:rsid w:val="0066056F"/>
    <w:rsid w:val="006608A2"/>
    <w:rsid w:val="00660F2A"/>
    <w:rsid w:val="006622B9"/>
    <w:rsid w:val="00662B94"/>
    <w:rsid w:val="00662EEB"/>
    <w:rsid w:val="00663023"/>
    <w:rsid w:val="0066351A"/>
    <w:rsid w:val="00663671"/>
    <w:rsid w:val="00663DBB"/>
    <w:rsid w:val="0066472E"/>
    <w:rsid w:val="00664F6D"/>
    <w:rsid w:val="00665162"/>
    <w:rsid w:val="00665238"/>
    <w:rsid w:val="00665669"/>
    <w:rsid w:val="00666B70"/>
    <w:rsid w:val="00667307"/>
    <w:rsid w:val="00667316"/>
    <w:rsid w:val="006673C3"/>
    <w:rsid w:val="00667A1D"/>
    <w:rsid w:val="00667A4B"/>
    <w:rsid w:val="00667C82"/>
    <w:rsid w:val="00667E6C"/>
    <w:rsid w:val="006700A0"/>
    <w:rsid w:val="006701AA"/>
    <w:rsid w:val="00670612"/>
    <w:rsid w:val="0067076A"/>
    <w:rsid w:val="006709F3"/>
    <w:rsid w:val="0067228C"/>
    <w:rsid w:val="006722AD"/>
    <w:rsid w:val="0067247D"/>
    <w:rsid w:val="00672501"/>
    <w:rsid w:val="00672552"/>
    <w:rsid w:val="0067302B"/>
    <w:rsid w:val="00673A4D"/>
    <w:rsid w:val="006751E7"/>
    <w:rsid w:val="00675537"/>
    <w:rsid w:val="00675954"/>
    <w:rsid w:val="00676354"/>
    <w:rsid w:val="00676AFA"/>
    <w:rsid w:val="00677322"/>
    <w:rsid w:val="006773CC"/>
    <w:rsid w:val="006773D3"/>
    <w:rsid w:val="006773DA"/>
    <w:rsid w:val="0068011D"/>
    <w:rsid w:val="0068026C"/>
    <w:rsid w:val="006808F0"/>
    <w:rsid w:val="00680CC3"/>
    <w:rsid w:val="00680F48"/>
    <w:rsid w:val="00681482"/>
    <w:rsid w:val="0068168A"/>
    <w:rsid w:val="006817EC"/>
    <w:rsid w:val="00681DA8"/>
    <w:rsid w:val="006825AD"/>
    <w:rsid w:val="00683419"/>
    <w:rsid w:val="006836BF"/>
    <w:rsid w:val="00683CEC"/>
    <w:rsid w:val="00684E08"/>
    <w:rsid w:val="0068544F"/>
    <w:rsid w:val="006859F5"/>
    <w:rsid w:val="00685F8A"/>
    <w:rsid w:val="00686CDD"/>
    <w:rsid w:val="00686EB3"/>
    <w:rsid w:val="00686F7F"/>
    <w:rsid w:val="00687853"/>
    <w:rsid w:val="00687BA2"/>
    <w:rsid w:val="00687C93"/>
    <w:rsid w:val="00687CFB"/>
    <w:rsid w:val="006903F8"/>
    <w:rsid w:val="00691AAA"/>
    <w:rsid w:val="00691EEA"/>
    <w:rsid w:val="006927AE"/>
    <w:rsid w:val="00692AD3"/>
    <w:rsid w:val="00692C5D"/>
    <w:rsid w:val="00692E23"/>
    <w:rsid w:val="006939BD"/>
    <w:rsid w:val="0069448D"/>
    <w:rsid w:val="006949B0"/>
    <w:rsid w:val="006949E0"/>
    <w:rsid w:val="00694A3B"/>
    <w:rsid w:val="006955F3"/>
    <w:rsid w:val="00695634"/>
    <w:rsid w:val="00695777"/>
    <w:rsid w:val="00695AFF"/>
    <w:rsid w:val="00695D2A"/>
    <w:rsid w:val="00695EC2"/>
    <w:rsid w:val="006961A0"/>
    <w:rsid w:val="00696368"/>
    <w:rsid w:val="006970DB"/>
    <w:rsid w:val="00697E73"/>
    <w:rsid w:val="006A125E"/>
    <w:rsid w:val="006A133D"/>
    <w:rsid w:val="006A21E6"/>
    <w:rsid w:val="006A3D12"/>
    <w:rsid w:val="006A40BF"/>
    <w:rsid w:val="006A4643"/>
    <w:rsid w:val="006A4997"/>
    <w:rsid w:val="006A5071"/>
    <w:rsid w:val="006A6061"/>
    <w:rsid w:val="006A6064"/>
    <w:rsid w:val="006A64D8"/>
    <w:rsid w:val="006A7290"/>
    <w:rsid w:val="006A73FA"/>
    <w:rsid w:val="006A752C"/>
    <w:rsid w:val="006B056C"/>
    <w:rsid w:val="006B12C8"/>
    <w:rsid w:val="006B16F1"/>
    <w:rsid w:val="006B1E20"/>
    <w:rsid w:val="006B2641"/>
    <w:rsid w:val="006B27CA"/>
    <w:rsid w:val="006B2A33"/>
    <w:rsid w:val="006B3544"/>
    <w:rsid w:val="006B3C70"/>
    <w:rsid w:val="006B453A"/>
    <w:rsid w:val="006B4A1D"/>
    <w:rsid w:val="006B4B00"/>
    <w:rsid w:val="006B4C60"/>
    <w:rsid w:val="006B4FDC"/>
    <w:rsid w:val="006B56A3"/>
    <w:rsid w:val="006B5BCC"/>
    <w:rsid w:val="006B5C08"/>
    <w:rsid w:val="006B6979"/>
    <w:rsid w:val="006B7B51"/>
    <w:rsid w:val="006B7C8D"/>
    <w:rsid w:val="006B7DA1"/>
    <w:rsid w:val="006C036B"/>
    <w:rsid w:val="006C0BBA"/>
    <w:rsid w:val="006C14CB"/>
    <w:rsid w:val="006C178E"/>
    <w:rsid w:val="006C2F89"/>
    <w:rsid w:val="006C3049"/>
    <w:rsid w:val="006C3580"/>
    <w:rsid w:val="006C404E"/>
    <w:rsid w:val="006C5AB2"/>
    <w:rsid w:val="006C64F1"/>
    <w:rsid w:val="006C73BA"/>
    <w:rsid w:val="006C7547"/>
    <w:rsid w:val="006C7938"/>
    <w:rsid w:val="006D0DAD"/>
    <w:rsid w:val="006D1553"/>
    <w:rsid w:val="006D191A"/>
    <w:rsid w:val="006D1AC6"/>
    <w:rsid w:val="006D1E37"/>
    <w:rsid w:val="006D21AA"/>
    <w:rsid w:val="006D28D4"/>
    <w:rsid w:val="006D3AE4"/>
    <w:rsid w:val="006D4091"/>
    <w:rsid w:val="006D411A"/>
    <w:rsid w:val="006D41A0"/>
    <w:rsid w:val="006D4480"/>
    <w:rsid w:val="006D45B1"/>
    <w:rsid w:val="006D4A3D"/>
    <w:rsid w:val="006D59F0"/>
    <w:rsid w:val="006D68E5"/>
    <w:rsid w:val="006D69CA"/>
    <w:rsid w:val="006D7426"/>
    <w:rsid w:val="006D79AD"/>
    <w:rsid w:val="006D7CF0"/>
    <w:rsid w:val="006D7DA3"/>
    <w:rsid w:val="006E090F"/>
    <w:rsid w:val="006E0977"/>
    <w:rsid w:val="006E0B88"/>
    <w:rsid w:val="006E19EF"/>
    <w:rsid w:val="006E2030"/>
    <w:rsid w:val="006E2F81"/>
    <w:rsid w:val="006E364A"/>
    <w:rsid w:val="006E3950"/>
    <w:rsid w:val="006E3E7E"/>
    <w:rsid w:val="006E42FA"/>
    <w:rsid w:val="006E4F58"/>
    <w:rsid w:val="006E527F"/>
    <w:rsid w:val="006E5386"/>
    <w:rsid w:val="006E5569"/>
    <w:rsid w:val="006E58D8"/>
    <w:rsid w:val="006E5BBE"/>
    <w:rsid w:val="006E5E70"/>
    <w:rsid w:val="006E5ECB"/>
    <w:rsid w:val="006E6510"/>
    <w:rsid w:val="006E6B47"/>
    <w:rsid w:val="006E6BFB"/>
    <w:rsid w:val="006E74F0"/>
    <w:rsid w:val="006E7863"/>
    <w:rsid w:val="006E7D63"/>
    <w:rsid w:val="006E7F5D"/>
    <w:rsid w:val="006F017F"/>
    <w:rsid w:val="006F0417"/>
    <w:rsid w:val="006F1128"/>
    <w:rsid w:val="006F1146"/>
    <w:rsid w:val="006F12C8"/>
    <w:rsid w:val="006F130A"/>
    <w:rsid w:val="006F1313"/>
    <w:rsid w:val="006F198F"/>
    <w:rsid w:val="006F1A06"/>
    <w:rsid w:val="006F3648"/>
    <w:rsid w:val="006F3BD9"/>
    <w:rsid w:val="006F3D0F"/>
    <w:rsid w:val="006F403A"/>
    <w:rsid w:val="006F40CF"/>
    <w:rsid w:val="006F4282"/>
    <w:rsid w:val="006F468F"/>
    <w:rsid w:val="006F6211"/>
    <w:rsid w:val="006F6D73"/>
    <w:rsid w:val="006F748C"/>
    <w:rsid w:val="007001A1"/>
    <w:rsid w:val="00700309"/>
    <w:rsid w:val="00700427"/>
    <w:rsid w:val="00700967"/>
    <w:rsid w:val="007016A2"/>
    <w:rsid w:val="007018BB"/>
    <w:rsid w:val="007021E4"/>
    <w:rsid w:val="00702A39"/>
    <w:rsid w:val="0070314B"/>
    <w:rsid w:val="0070383B"/>
    <w:rsid w:val="00703ED5"/>
    <w:rsid w:val="00703F12"/>
    <w:rsid w:val="00704DF2"/>
    <w:rsid w:val="00704E09"/>
    <w:rsid w:val="00704E24"/>
    <w:rsid w:val="00704FC1"/>
    <w:rsid w:val="00705C30"/>
    <w:rsid w:val="00705FC0"/>
    <w:rsid w:val="00706259"/>
    <w:rsid w:val="00706671"/>
    <w:rsid w:val="00706A28"/>
    <w:rsid w:val="00706EAB"/>
    <w:rsid w:val="00707A06"/>
    <w:rsid w:val="00707DC3"/>
    <w:rsid w:val="0071030D"/>
    <w:rsid w:val="0071032F"/>
    <w:rsid w:val="00710BF6"/>
    <w:rsid w:val="0071157F"/>
    <w:rsid w:val="0071199D"/>
    <w:rsid w:val="00711B48"/>
    <w:rsid w:val="00712A04"/>
    <w:rsid w:val="00712D7F"/>
    <w:rsid w:val="00712ECD"/>
    <w:rsid w:val="00712EE7"/>
    <w:rsid w:val="007132B5"/>
    <w:rsid w:val="00714120"/>
    <w:rsid w:val="00714392"/>
    <w:rsid w:val="00714E14"/>
    <w:rsid w:val="00714F56"/>
    <w:rsid w:val="0071541D"/>
    <w:rsid w:val="0071561B"/>
    <w:rsid w:val="00715769"/>
    <w:rsid w:val="0071597E"/>
    <w:rsid w:val="00716842"/>
    <w:rsid w:val="00716BE7"/>
    <w:rsid w:val="00716C92"/>
    <w:rsid w:val="00716EB6"/>
    <w:rsid w:val="00716ED6"/>
    <w:rsid w:val="007175C1"/>
    <w:rsid w:val="0071782B"/>
    <w:rsid w:val="007179C0"/>
    <w:rsid w:val="00717B32"/>
    <w:rsid w:val="0072002E"/>
    <w:rsid w:val="007203CD"/>
    <w:rsid w:val="007204E8"/>
    <w:rsid w:val="007209B0"/>
    <w:rsid w:val="007211B6"/>
    <w:rsid w:val="007215A3"/>
    <w:rsid w:val="00721623"/>
    <w:rsid w:val="00722157"/>
    <w:rsid w:val="00722401"/>
    <w:rsid w:val="00722E0D"/>
    <w:rsid w:val="007230C9"/>
    <w:rsid w:val="00723183"/>
    <w:rsid w:val="00723348"/>
    <w:rsid w:val="007237BE"/>
    <w:rsid w:val="0072384B"/>
    <w:rsid w:val="007240AF"/>
    <w:rsid w:val="007246D6"/>
    <w:rsid w:val="00724839"/>
    <w:rsid w:val="007248BE"/>
    <w:rsid w:val="00724BC4"/>
    <w:rsid w:val="007252EE"/>
    <w:rsid w:val="00725C44"/>
    <w:rsid w:val="0072609A"/>
    <w:rsid w:val="00726B06"/>
    <w:rsid w:val="00726C66"/>
    <w:rsid w:val="0072722B"/>
    <w:rsid w:val="00727405"/>
    <w:rsid w:val="0072784E"/>
    <w:rsid w:val="0072791C"/>
    <w:rsid w:val="00727B0D"/>
    <w:rsid w:val="00730A1A"/>
    <w:rsid w:val="00730BD3"/>
    <w:rsid w:val="0073150F"/>
    <w:rsid w:val="00731811"/>
    <w:rsid w:val="00731B51"/>
    <w:rsid w:val="007323C0"/>
    <w:rsid w:val="00732896"/>
    <w:rsid w:val="00733709"/>
    <w:rsid w:val="00733B92"/>
    <w:rsid w:val="00733C0F"/>
    <w:rsid w:val="00734471"/>
    <w:rsid w:val="00734D96"/>
    <w:rsid w:val="007359D5"/>
    <w:rsid w:val="00735F5B"/>
    <w:rsid w:val="0073635F"/>
    <w:rsid w:val="0073656C"/>
    <w:rsid w:val="00737545"/>
    <w:rsid w:val="00741066"/>
    <w:rsid w:val="00741910"/>
    <w:rsid w:val="00741AAB"/>
    <w:rsid w:val="007428B1"/>
    <w:rsid w:val="00743874"/>
    <w:rsid w:val="00743A72"/>
    <w:rsid w:val="007446D9"/>
    <w:rsid w:val="007447B6"/>
    <w:rsid w:val="007447DB"/>
    <w:rsid w:val="00744E99"/>
    <w:rsid w:val="00744EDA"/>
    <w:rsid w:val="007460AB"/>
    <w:rsid w:val="00746246"/>
    <w:rsid w:val="00746567"/>
    <w:rsid w:val="00746A1A"/>
    <w:rsid w:val="00746E1B"/>
    <w:rsid w:val="0074705F"/>
    <w:rsid w:val="0074712E"/>
    <w:rsid w:val="0074778C"/>
    <w:rsid w:val="007477B9"/>
    <w:rsid w:val="007478B4"/>
    <w:rsid w:val="00747E63"/>
    <w:rsid w:val="00747F40"/>
    <w:rsid w:val="00747FD2"/>
    <w:rsid w:val="00750138"/>
    <w:rsid w:val="007509FF"/>
    <w:rsid w:val="00750A07"/>
    <w:rsid w:val="007515FF"/>
    <w:rsid w:val="00751E7D"/>
    <w:rsid w:val="007520F8"/>
    <w:rsid w:val="007531EA"/>
    <w:rsid w:val="007532BC"/>
    <w:rsid w:val="007534D0"/>
    <w:rsid w:val="00754C7E"/>
    <w:rsid w:val="00754FF0"/>
    <w:rsid w:val="0075507D"/>
    <w:rsid w:val="007550E7"/>
    <w:rsid w:val="007553F5"/>
    <w:rsid w:val="007557DC"/>
    <w:rsid w:val="00755FBA"/>
    <w:rsid w:val="007563F6"/>
    <w:rsid w:val="007566F8"/>
    <w:rsid w:val="0075676E"/>
    <w:rsid w:val="00756BDE"/>
    <w:rsid w:val="00756D41"/>
    <w:rsid w:val="00756E9A"/>
    <w:rsid w:val="00756F14"/>
    <w:rsid w:val="00757383"/>
    <w:rsid w:val="007574B4"/>
    <w:rsid w:val="007576C3"/>
    <w:rsid w:val="00757900"/>
    <w:rsid w:val="00757E91"/>
    <w:rsid w:val="00760BF6"/>
    <w:rsid w:val="00760F60"/>
    <w:rsid w:val="00761177"/>
    <w:rsid w:val="0076118B"/>
    <w:rsid w:val="007612BB"/>
    <w:rsid w:val="007615F9"/>
    <w:rsid w:val="007615FE"/>
    <w:rsid w:val="00761FB3"/>
    <w:rsid w:val="00762D37"/>
    <w:rsid w:val="00762E28"/>
    <w:rsid w:val="00763369"/>
    <w:rsid w:val="007634A0"/>
    <w:rsid w:val="007636EF"/>
    <w:rsid w:val="00763A6D"/>
    <w:rsid w:val="00763DA2"/>
    <w:rsid w:val="00763E91"/>
    <w:rsid w:val="00764564"/>
    <w:rsid w:val="00764B96"/>
    <w:rsid w:val="00764BBD"/>
    <w:rsid w:val="007650FA"/>
    <w:rsid w:val="0076525B"/>
    <w:rsid w:val="007652D4"/>
    <w:rsid w:val="0076553C"/>
    <w:rsid w:val="007658C5"/>
    <w:rsid w:val="00765F11"/>
    <w:rsid w:val="00765F9A"/>
    <w:rsid w:val="007667BD"/>
    <w:rsid w:val="00767668"/>
    <w:rsid w:val="0076768B"/>
    <w:rsid w:val="00767732"/>
    <w:rsid w:val="00767A1A"/>
    <w:rsid w:val="0077008A"/>
    <w:rsid w:val="0077031C"/>
    <w:rsid w:val="00770881"/>
    <w:rsid w:val="00770885"/>
    <w:rsid w:val="00770981"/>
    <w:rsid w:val="00770EAF"/>
    <w:rsid w:val="00771565"/>
    <w:rsid w:val="00771D29"/>
    <w:rsid w:val="00771F9B"/>
    <w:rsid w:val="00772637"/>
    <w:rsid w:val="00772DEF"/>
    <w:rsid w:val="00773299"/>
    <w:rsid w:val="00773D1C"/>
    <w:rsid w:val="00773F52"/>
    <w:rsid w:val="007740AB"/>
    <w:rsid w:val="007741ED"/>
    <w:rsid w:val="00774BD4"/>
    <w:rsid w:val="00775649"/>
    <w:rsid w:val="00775AB7"/>
    <w:rsid w:val="00775CEE"/>
    <w:rsid w:val="007764C5"/>
    <w:rsid w:val="00776B8F"/>
    <w:rsid w:val="00776D7D"/>
    <w:rsid w:val="00777435"/>
    <w:rsid w:val="00777631"/>
    <w:rsid w:val="00777DD3"/>
    <w:rsid w:val="00780040"/>
    <w:rsid w:val="007806E9"/>
    <w:rsid w:val="00780B48"/>
    <w:rsid w:val="00781E9F"/>
    <w:rsid w:val="00781F23"/>
    <w:rsid w:val="007829D4"/>
    <w:rsid w:val="00783AB3"/>
    <w:rsid w:val="00784208"/>
    <w:rsid w:val="00784C18"/>
    <w:rsid w:val="007858CE"/>
    <w:rsid w:val="00785966"/>
    <w:rsid w:val="00785976"/>
    <w:rsid w:val="00785ABC"/>
    <w:rsid w:val="00786053"/>
    <w:rsid w:val="007860D0"/>
    <w:rsid w:val="00786A07"/>
    <w:rsid w:val="00786DB7"/>
    <w:rsid w:val="0078749C"/>
    <w:rsid w:val="00787B4D"/>
    <w:rsid w:val="00787BA8"/>
    <w:rsid w:val="00791055"/>
    <w:rsid w:val="007912EB"/>
    <w:rsid w:val="00791D83"/>
    <w:rsid w:val="00791E9F"/>
    <w:rsid w:val="007922A7"/>
    <w:rsid w:val="00792521"/>
    <w:rsid w:val="00792F08"/>
    <w:rsid w:val="007931B9"/>
    <w:rsid w:val="0079330B"/>
    <w:rsid w:val="00793BB6"/>
    <w:rsid w:val="00793D17"/>
    <w:rsid w:val="00793E63"/>
    <w:rsid w:val="007940C4"/>
    <w:rsid w:val="0079433B"/>
    <w:rsid w:val="007946B4"/>
    <w:rsid w:val="007948F1"/>
    <w:rsid w:val="00794A9F"/>
    <w:rsid w:val="00794E66"/>
    <w:rsid w:val="00795557"/>
    <w:rsid w:val="00795D29"/>
    <w:rsid w:val="00795F2C"/>
    <w:rsid w:val="00795F69"/>
    <w:rsid w:val="00797CE6"/>
    <w:rsid w:val="007A01DC"/>
    <w:rsid w:val="007A098D"/>
    <w:rsid w:val="007A0DA9"/>
    <w:rsid w:val="007A0E48"/>
    <w:rsid w:val="007A0ED3"/>
    <w:rsid w:val="007A16B1"/>
    <w:rsid w:val="007A16FE"/>
    <w:rsid w:val="007A19AD"/>
    <w:rsid w:val="007A19DD"/>
    <w:rsid w:val="007A1EEA"/>
    <w:rsid w:val="007A1F2C"/>
    <w:rsid w:val="007A2C17"/>
    <w:rsid w:val="007A2C6E"/>
    <w:rsid w:val="007A2C97"/>
    <w:rsid w:val="007A3124"/>
    <w:rsid w:val="007A3A28"/>
    <w:rsid w:val="007A4B55"/>
    <w:rsid w:val="007A5046"/>
    <w:rsid w:val="007A522F"/>
    <w:rsid w:val="007A5295"/>
    <w:rsid w:val="007A5874"/>
    <w:rsid w:val="007A6D63"/>
    <w:rsid w:val="007A6EB9"/>
    <w:rsid w:val="007A78E6"/>
    <w:rsid w:val="007B012F"/>
    <w:rsid w:val="007B0422"/>
    <w:rsid w:val="007B062D"/>
    <w:rsid w:val="007B0D59"/>
    <w:rsid w:val="007B1A63"/>
    <w:rsid w:val="007B1E95"/>
    <w:rsid w:val="007B2143"/>
    <w:rsid w:val="007B26F0"/>
    <w:rsid w:val="007B28E9"/>
    <w:rsid w:val="007B2970"/>
    <w:rsid w:val="007B29A0"/>
    <w:rsid w:val="007B2A74"/>
    <w:rsid w:val="007B2AD5"/>
    <w:rsid w:val="007B3099"/>
    <w:rsid w:val="007B3507"/>
    <w:rsid w:val="007B37DD"/>
    <w:rsid w:val="007B4F98"/>
    <w:rsid w:val="007B5A05"/>
    <w:rsid w:val="007B6926"/>
    <w:rsid w:val="007B6E28"/>
    <w:rsid w:val="007B7EAA"/>
    <w:rsid w:val="007C089E"/>
    <w:rsid w:val="007C1046"/>
    <w:rsid w:val="007C125D"/>
    <w:rsid w:val="007C1784"/>
    <w:rsid w:val="007C1791"/>
    <w:rsid w:val="007C17BD"/>
    <w:rsid w:val="007C1D32"/>
    <w:rsid w:val="007C23AD"/>
    <w:rsid w:val="007C23EC"/>
    <w:rsid w:val="007C2454"/>
    <w:rsid w:val="007C26E5"/>
    <w:rsid w:val="007C2733"/>
    <w:rsid w:val="007C307A"/>
    <w:rsid w:val="007C3166"/>
    <w:rsid w:val="007C4D9E"/>
    <w:rsid w:val="007C5060"/>
    <w:rsid w:val="007C53FF"/>
    <w:rsid w:val="007C5FCC"/>
    <w:rsid w:val="007C6AFD"/>
    <w:rsid w:val="007C7484"/>
    <w:rsid w:val="007D0752"/>
    <w:rsid w:val="007D1189"/>
    <w:rsid w:val="007D12A5"/>
    <w:rsid w:val="007D1EA3"/>
    <w:rsid w:val="007D2B23"/>
    <w:rsid w:val="007D2CDC"/>
    <w:rsid w:val="007D3209"/>
    <w:rsid w:val="007D35D6"/>
    <w:rsid w:val="007D378D"/>
    <w:rsid w:val="007D3B52"/>
    <w:rsid w:val="007D3E8D"/>
    <w:rsid w:val="007D413D"/>
    <w:rsid w:val="007D5013"/>
    <w:rsid w:val="007D50D5"/>
    <w:rsid w:val="007D56B1"/>
    <w:rsid w:val="007D57E6"/>
    <w:rsid w:val="007D5A2E"/>
    <w:rsid w:val="007D5F45"/>
    <w:rsid w:val="007D622B"/>
    <w:rsid w:val="007D6984"/>
    <w:rsid w:val="007D71F9"/>
    <w:rsid w:val="007D7366"/>
    <w:rsid w:val="007D7C51"/>
    <w:rsid w:val="007E05AB"/>
    <w:rsid w:val="007E0894"/>
    <w:rsid w:val="007E0FAC"/>
    <w:rsid w:val="007E1236"/>
    <w:rsid w:val="007E204D"/>
    <w:rsid w:val="007E2116"/>
    <w:rsid w:val="007E2955"/>
    <w:rsid w:val="007E3673"/>
    <w:rsid w:val="007E3DEB"/>
    <w:rsid w:val="007E433D"/>
    <w:rsid w:val="007E43C0"/>
    <w:rsid w:val="007E5400"/>
    <w:rsid w:val="007E54EC"/>
    <w:rsid w:val="007E57C6"/>
    <w:rsid w:val="007E6178"/>
    <w:rsid w:val="007E6888"/>
    <w:rsid w:val="007E6A43"/>
    <w:rsid w:val="007E6C6F"/>
    <w:rsid w:val="007E6D2B"/>
    <w:rsid w:val="007E6D71"/>
    <w:rsid w:val="007E6DB0"/>
    <w:rsid w:val="007E7701"/>
    <w:rsid w:val="007E775D"/>
    <w:rsid w:val="007F017C"/>
    <w:rsid w:val="007F026F"/>
    <w:rsid w:val="007F02E4"/>
    <w:rsid w:val="007F038B"/>
    <w:rsid w:val="007F0CC4"/>
    <w:rsid w:val="007F1725"/>
    <w:rsid w:val="007F21F2"/>
    <w:rsid w:val="007F2C1E"/>
    <w:rsid w:val="007F3007"/>
    <w:rsid w:val="007F32CC"/>
    <w:rsid w:val="007F33C9"/>
    <w:rsid w:val="007F358A"/>
    <w:rsid w:val="007F3869"/>
    <w:rsid w:val="007F39B6"/>
    <w:rsid w:val="007F41C6"/>
    <w:rsid w:val="007F42E7"/>
    <w:rsid w:val="007F4427"/>
    <w:rsid w:val="007F475A"/>
    <w:rsid w:val="007F51A4"/>
    <w:rsid w:val="007F6952"/>
    <w:rsid w:val="007F696C"/>
    <w:rsid w:val="007F71A1"/>
    <w:rsid w:val="007F76BC"/>
    <w:rsid w:val="007F7E1C"/>
    <w:rsid w:val="00800331"/>
    <w:rsid w:val="00800A1B"/>
    <w:rsid w:val="00800B93"/>
    <w:rsid w:val="0080161B"/>
    <w:rsid w:val="00801823"/>
    <w:rsid w:val="00801A91"/>
    <w:rsid w:val="00801E15"/>
    <w:rsid w:val="0080261C"/>
    <w:rsid w:val="00802AEC"/>
    <w:rsid w:val="00802B83"/>
    <w:rsid w:val="008032D5"/>
    <w:rsid w:val="00803465"/>
    <w:rsid w:val="00803D07"/>
    <w:rsid w:val="00804412"/>
    <w:rsid w:val="008045D0"/>
    <w:rsid w:val="008049DE"/>
    <w:rsid w:val="00804B09"/>
    <w:rsid w:val="00805E34"/>
    <w:rsid w:val="00807088"/>
    <w:rsid w:val="0080715E"/>
    <w:rsid w:val="00807177"/>
    <w:rsid w:val="00807B2C"/>
    <w:rsid w:val="00810800"/>
    <w:rsid w:val="00810DB3"/>
    <w:rsid w:val="00810E26"/>
    <w:rsid w:val="0081101D"/>
    <w:rsid w:val="008114FC"/>
    <w:rsid w:val="0081154C"/>
    <w:rsid w:val="00811D00"/>
    <w:rsid w:val="008128A2"/>
    <w:rsid w:val="008129A1"/>
    <w:rsid w:val="00812B93"/>
    <w:rsid w:val="00813492"/>
    <w:rsid w:val="00813731"/>
    <w:rsid w:val="00813831"/>
    <w:rsid w:val="00814047"/>
    <w:rsid w:val="0081438D"/>
    <w:rsid w:val="00814E3D"/>
    <w:rsid w:val="00815124"/>
    <w:rsid w:val="00815554"/>
    <w:rsid w:val="008155D2"/>
    <w:rsid w:val="00815995"/>
    <w:rsid w:val="00815D7C"/>
    <w:rsid w:val="00816111"/>
    <w:rsid w:val="00816B16"/>
    <w:rsid w:val="008171B0"/>
    <w:rsid w:val="00817265"/>
    <w:rsid w:val="008179DF"/>
    <w:rsid w:val="00820402"/>
    <w:rsid w:val="00820703"/>
    <w:rsid w:val="00820862"/>
    <w:rsid w:val="008209DD"/>
    <w:rsid w:val="00821365"/>
    <w:rsid w:val="00821A12"/>
    <w:rsid w:val="00821C29"/>
    <w:rsid w:val="00822863"/>
    <w:rsid w:val="00822CCB"/>
    <w:rsid w:val="00822D41"/>
    <w:rsid w:val="00823144"/>
    <w:rsid w:val="00823148"/>
    <w:rsid w:val="0082318D"/>
    <w:rsid w:val="00823DC1"/>
    <w:rsid w:val="00823F0D"/>
    <w:rsid w:val="00824524"/>
    <w:rsid w:val="00824675"/>
    <w:rsid w:val="008247F6"/>
    <w:rsid w:val="00825B67"/>
    <w:rsid w:val="0082661E"/>
    <w:rsid w:val="00826ECB"/>
    <w:rsid w:val="008306C6"/>
    <w:rsid w:val="008307F8"/>
    <w:rsid w:val="00830A57"/>
    <w:rsid w:val="00832244"/>
    <w:rsid w:val="008322DE"/>
    <w:rsid w:val="008324F3"/>
    <w:rsid w:val="00832783"/>
    <w:rsid w:val="00832B02"/>
    <w:rsid w:val="00833079"/>
    <w:rsid w:val="00833BF4"/>
    <w:rsid w:val="008341B6"/>
    <w:rsid w:val="008343F6"/>
    <w:rsid w:val="00834580"/>
    <w:rsid w:val="0083466D"/>
    <w:rsid w:val="00834A78"/>
    <w:rsid w:val="00835081"/>
    <w:rsid w:val="00836120"/>
    <w:rsid w:val="0083618B"/>
    <w:rsid w:val="0083657E"/>
    <w:rsid w:val="008366EB"/>
    <w:rsid w:val="00836F07"/>
    <w:rsid w:val="00837323"/>
    <w:rsid w:val="008406CD"/>
    <w:rsid w:val="00840B0D"/>
    <w:rsid w:val="00840D60"/>
    <w:rsid w:val="00840ECD"/>
    <w:rsid w:val="0084130A"/>
    <w:rsid w:val="00841BD0"/>
    <w:rsid w:val="0084230C"/>
    <w:rsid w:val="008428DC"/>
    <w:rsid w:val="00842CCA"/>
    <w:rsid w:val="00843BBE"/>
    <w:rsid w:val="00843C35"/>
    <w:rsid w:val="00843F48"/>
    <w:rsid w:val="0084450F"/>
    <w:rsid w:val="00844AED"/>
    <w:rsid w:val="00844B80"/>
    <w:rsid w:val="00844FF0"/>
    <w:rsid w:val="008455EA"/>
    <w:rsid w:val="00845E92"/>
    <w:rsid w:val="00845FEB"/>
    <w:rsid w:val="00846024"/>
    <w:rsid w:val="00846277"/>
    <w:rsid w:val="008462C8"/>
    <w:rsid w:val="008465E5"/>
    <w:rsid w:val="00846E18"/>
    <w:rsid w:val="00846FB2"/>
    <w:rsid w:val="008471AB"/>
    <w:rsid w:val="008473A9"/>
    <w:rsid w:val="0084755D"/>
    <w:rsid w:val="00847AD9"/>
    <w:rsid w:val="00847C6B"/>
    <w:rsid w:val="00850334"/>
    <w:rsid w:val="00850984"/>
    <w:rsid w:val="00850B67"/>
    <w:rsid w:val="00851791"/>
    <w:rsid w:val="00851DE4"/>
    <w:rsid w:val="00853B5B"/>
    <w:rsid w:val="00854646"/>
    <w:rsid w:val="0085471B"/>
    <w:rsid w:val="008547C0"/>
    <w:rsid w:val="00854D08"/>
    <w:rsid w:val="00854D29"/>
    <w:rsid w:val="00855183"/>
    <w:rsid w:val="0085586D"/>
    <w:rsid w:val="00855C10"/>
    <w:rsid w:val="00855DB8"/>
    <w:rsid w:val="00855E0F"/>
    <w:rsid w:val="0085623C"/>
    <w:rsid w:val="00856332"/>
    <w:rsid w:val="00856400"/>
    <w:rsid w:val="00856FFB"/>
    <w:rsid w:val="0086017C"/>
    <w:rsid w:val="008607AE"/>
    <w:rsid w:val="00860A58"/>
    <w:rsid w:val="00860A90"/>
    <w:rsid w:val="0086130D"/>
    <w:rsid w:val="0086147C"/>
    <w:rsid w:val="00861789"/>
    <w:rsid w:val="00861925"/>
    <w:rsid w:val="00861BF4"/>
    <w:rsid w:val="00861D6D"/>
    <w:rsid w:val="008624B8"/>
    <w:rsid w:val="008628DC"/>
    <w:rsid w:val="00862BE4"/>
    <w:rsid w:val="008631AA"/>
    <w:rsid w:val="00863200"/>
    <w:rsid w:val="0086329F"/>
    <w:rsid w:val="0086359A"/>
    <w:rsid w:val="00863AED"/>
    <w:rsid w:val="00863F5A"/>
    <w:rsid w:val="00865052"/>
    <w:rsid w:val="00867129"/>
    <w:rsid w:val="0086784D"/>
    <w:rsid w:val="0087003F"/>
    <w:rsid w:val="00870988"/>
    <w:rsid w:val="00870CA0"/>
    <w:rsid w:val="008717D1"/>
    <w:rsid w:val="00871F8B"/>
    <w:rsid w:val="00872227"/>
    <w:rsid w:val="0087278A"/>
    <w:rsid w:val="0087307C"/>
    <w:rsid w:val="008730EC"/>
    <w:rsid w:val="00873138"/>
    <w:rsid w:val="00873364"/>
    <w:rsid w:val="00874593"/>
    <w:rsid w:val="008748FF"/>
    <w:rsid w:val="00874912"/>
    <w:rsid w:val="008751A8"/>
    <w:rsid w:val="00875C6A"/>
    <w:rsid w:val="00875F14"/>
    <w:rsid w:val="00875F29"/>
    <w:rsid w:val="00876252"/>
    <w:rsid w:val="0087639B"/>
    <w:rsid w:val="00876DED"/>
    <w:rsid w:val="0087702E"/>
    <w:rsid w:val="008778F4"/>
    <w:rsid w:val="0088060C"/>
    <w:rsid w:val="00880722"/>
    <w:rsid w:val="00880C63"/>
    <w:rsid w:val="00881147"/>
    <w:rsid w:val="0088115A"/>
    <w:rsid w:val="008815F5"/>
    <w:rsid w:val="00881EB9"/>
    <w:rsid w:val="00881FAB"/>
    <w:rsid w:val="008820F9"/>
    <w:rsid w:val="00882250"/>
    <w:rsid w:val="0088266D"/>
    <w:rsid w:val="008827F6"/>
    <w:rsid w:val="00882C68"/>
    <w:rsid w:val="008830F8"/>
    <w:rsid w:val="0088332F"/>
    <w:rsid w:val="0088349A"/>
    <w:rsid w:val="00883DA8"/>
    <w:rsid w:val="0088444D"/>
    <w:rsid w:val="008845B9"/>
    <w:rsid w:val="00884D1B"/>
    <w:rsid w:val="008856C0"/>
    <w:rsid w:val="00885B04"/>
    <w:rsid w:val="008865A3"/>
    <w:rsid w:val="008868A0"/>
    <w:rsid w:val="00886BBF"/>
    <w:rsid w:val="00886F95"/>
    <w:rsid w:val="008870BC"/>
    <w:rsid w:val="0088732B"/>
    <w:rsid w:val="00887752"/>
    <w:rsid w:val="00887880"/>
    <w:rsid w:val="00887D33"/>
    <w:rsid w:val="008903EB"/>
    <w:rsid w:val="00890608"/>
    <w:rsid w:val="00890CB6"/>
    <w:rsid w:val="0089125C"/>
    <w:rsid w:val="008912D2"/>
    <w:rsid w:val="008916E2"/>
    <w:rsid w:val="008919F5"/>
    <w:rsid w:val="00891AD4"/>
    <w:rsid w:val="00892932"/>
    <w:rsid w:val="00892BAD"/>
    <w:rsid w:val="00893A97"/>
    <w:rsid w:val="00893DDA"/>
    <w:rsid w:val="00893E8D"/>
    <w:rsid w:val="00895494"/>
    <w:rsid w:val="008955CA"/>
    <w:rsid w:val="008957F8"/>
    <w:rsid w:val="00895882"/>
    <w:rsid w:val="00895900"/>
    <w:rsid w:val="00895D65"/>
    <w:rsid w:val="00895FAD"/>
    <w:rsid w:val="00896383"/>
    <w:rsid w:val="00896840"/>
    <w:rsid w:val="008968C7"/>
    <w:rsid w:val="008969A2"/>
    <w:rsid w:val="00896F1C"/>
    <w:rsid w:val="008975C1"/>
    <w:rsid w:val="00897911"/>
    <w:rsid w:val="008979D2"/>
    <w:rsid w:val="00897CD7"/>
    <w:rsid w:val="00897EEF"/>
    <w:rsid w:val="008A02AF"/>
    <w:rsid w:val="008A05C8"/>
    <w:rsid w:val="008A05FD"/>
    <w:rsid w:val="008A06F8"/>
    <w:rsid w:val="008A0719"/>
    <w:rsid w:val="008A08CF"/>
    <w:rsid w:val="008A0D97"/>
    <w:rsid w:val="008A0E98"/>
    <w:rsid w:val="008A1995"/>
    <w:rsid w:val="008A1ADA"/>
    <w:rsid w:val="008A1BF4"/>
    <w:rsid w:val="008A1C40"/>
    <w:rsid w:val="008A1DEB"/>
    <w:rsid w:val="008A1ED3"/>
    <w:rsid w:val="008A214C"/>
    <w:rsid w:val="008A31FC"/>
    <w:rsid w:val="008A3275"/>
    <w:rsid w:val="008A385E"/>
    <w:rsid w:val="008A3AE4"/>
    <w:rsid w:val="008A3B23"/>
    <w:rsid w:val="008A4053"/>
    <w:rsid w:val="008A4235"/>
    <w:rsid w:val="008A4475"/>
    <w:rsid w:val="008A476A"/>
    <w:rsid w:val="008A4BB3"/>
    <w:rsid w:val="008A5586"/>
    <w:rsid w:val="008A5624"/>
    <w:rsid w:val="008A599B"/>
    <w:rsid w:val="008A59C2"/>
    <w:rsid w:val="008A5BF6"/>
    <w:rsid w:val="008A61FB"/>
    <w:rsid w:val="008A6AAB"/>
    <w:rsid w:val="008A6C2E"/>
    <w:rsid w:val="008A75CD"/>
    <w:rsid w:val="008B0091"/>
    <w:rsid w:val="008B0AAF"/>
    <w:rsid w:val="008B0E4D"/>
    <w:rsid w:val="008B0FE0"/>
    <w:rsid w:val="008B1517"/>
    <w:rsid w:val="008B1CEE"/>
    <w:rsid w:val="008B1F2C"/>
    <w:rsid w:val="008B219B"/>
    <w:rsid w:val="008B2B4F"/>
    <w:rsid w:val="008B2E55"/>
    <w:rsid w:val="008B30A8"/>
    <w:rsid w:val="008B3505"/>
    <w:rsid w:val="008B3EA3"/>
    <w:rsid w:val="008B41D8"/>
    <w:rsid w:val="008B4453"/>
    <w:rsid w:val="008B453B"/>
    <w:rsid w:val="008B4604"/>
    <w:rsid w:val="008B4A44"/>
    <w:rsid w:val="008B4DC1"/>
    <w:rsid w:val="008B5DBD"/>
    <w:rsid w:val="008B5DDC"/>
    <w:rsid w:val="008B6160"/>
    <w:rsid w:val="008B65D7"/>
    <w:rsid w:val="008B65E7"/>
    <w:rsid w:val="008B680D"/>
    <w:rsid w:val="008B6C8F"/>
    <w:rsid w:val="008B6D03"/>
    <w:rsid w:val="008B76EA"/>
    <w:rsid w:val="008B7A0C"/>
    <w:rsid w:val="008B7C07"/>
    <w:rsid w:val="008B7C97"/>
    <w:rsid w:val="008B7D83"/>
    <w:rsid w:val="008C075A"/>
    <w:rsid w:val="008C111D"/>
    <w:rsid w:val="008C1499"/>
    <w:rsid w:val="008C16C7"/>
    <w:rsid w:val="008C217F"/>
    <w:rsid w:val="008C2880"/>
    <w:rsid w:val="008C2EBB"/>
    <w:rsid w:val="008C3225"/>
    <w:rsid w:val="008C3436"/>
    <w:rsid w:val="008C378B"/>
    <w:rsid w:val="008C3BB6"/>
    <w:rsid w:val="008C3E68"/>
    <w:rsid w:val="008C469A"/>
    <w:rsid w:val="008C505D"/>
    <w:rsid w:val="008C54A9"/>
    <w:rsid w:val="008C54C5"/>
    <w:rsid w:val="008C5B7A"/>
    <w:rsid w:val="008C5B9B"/>
    <w:rsid w:val="008C69C7"/>
    <w:rsid w:val="008C6E25"/>
    <w:rsid w:val="008C6F7C"/>
    <w:rsid w:val="008C71E8"/>
    <w:rsid w:val="008C729E"/>
    <w:rsid w:val="008D04B6"/>
    <w:rsid w:val="008D079B"/>
    <w:rsid w:val="008D0A18"/>
    <w:rsid w:val="008D0C36"/>
    <w:rsid w:val="008D1927"/>
    <w:rsid w:val="008D1DC5"/>
    <w:rsid w:val="008D1E6E"/>
    <w:rsid w:val="008D1F9D"/>
    <w:rsid w:val="008D206A"/>
    <w:rsid w:val="008D287C"/>
    <w:rsid w:val="008D3A19"/>
    <w:rsid w:val="008D3BA2"/>
    <w:rsid w:val="008D3C85"/>
    <w:rsid w:val="008D4105"/>
    <w:rsid w:val="008D45F4"/>
    <w:rsid w:val="008D4B12"/>
    <w:rsid w:val="008D4B5B"/>
    <w:rsid w:val="008D55D4"/>
    <w:rsid w:val="008D5729"/>
    <w:rsid w:val="008D5EA7"/>
    <w:rsid w:val="008D7169"/>
    <w:rsid w:val="008D736A"/>
    <w:rsid w:val="008D7588"/>
    <w:rsid w:val="008D79BD"/>
    <w:rsid w:val="008E0022"/>
    <w:rsid w:val="008E0900"/>
    <w:rsid w:val="008E0A5C"/>
    <w:rsid w:val="008E0AC2"/>
    <w:rsid w:val="008E17DB"/>
    <w:rsid w:val="008E196D"/>
    <w:rsid w:val="008E1D0B"/>
    <w:rsid w:val="008E22C0"/>
    <w:rsid w:val="008E269F"/>
    <w:rsid w:val="008E2D09"/>
    <w:rsid w:val="008E3206"/>
    <w:rsid w:val="008E3858"/>
    <w:rsid w:val="008E3A03"/>
    <w:rsid w:val="008E3C2F"/>
    <w:rsid w:val="008E3E52"/>
    <w:rsid w:val="008E4F97"/>
    <w:rsid w:val="008E58BD"/>
    <w:rsid w:val="008E599A"/>
    <w:rsid w:val="008E599B"/>
    <w:rsid w:val="008E631B"/>
    <w:rsid w:val="008E660A"/>
    <w:rsid w:val="008E6753"/>
    <w:rsid w:val="008E71F2"/>
    <w:rsid w:val="008E75B6"/>
    <w:rsid w:val="008E7A9E"/>
    <w:rsid w:val="008E7FEA"/>
    <w:rsid w:val="008F0150"/>
    <w:rsid w:val="008F01D8"/>
    <w:rsid w:val="008F0645"/>
    <w:rsid w:val="008F0890"/>
    <w:rsid w:val="008F1E62"/>
    <w:rsid w:val="008F2E23"/>
    <w:rsid w:val="008F312A"/>
    <w:rsid w:val="008F322B"/>
    <w:rsid w:val="008F3CF4"/>
    <w:rsid w:val="008F429B"/>
    <w:rsid w:val="008F49AE"/>
    <w:rsid w:val="008F4A14"/>
    <w:rsid w:val="008F4F6E"/>
    <w:rsid w:val="008F587B"/>
    <w:rsid w:val="008F5986"/>
    <w:rsid w:val="008F5CD5"/>
    <w:rsid w:val="008F5E8C"/>
    <w:rsid w:val="008F7314"/>
    <w:rsid w:val="008F7523"/>
    <w:rsid w:val="008F76EB"/>
    <w:rsid w:val="00901276"/>
    <w:rsid w:val="0090141F"/>
    <w:rsid w:val="009017F6"/>
    <w:rsid w:val="00901A01"/>
    <w:rsid w:val="0090221B"/>
    <w:rsid w:val="0090271D"/>
    <w:rsid w:val="00902AE8"/>
    <w:rsid w:val="00902B7A"/>
    <w:rsid w:val="00902DAD"/>
    <w:rsid w:val="00902F48"/>
    <w:rsid w:val="0090314E"/>
    <w:rsid w:val="009032C8"/>
    <w:rsid w:val="0090333B"/>
    <w:rsid w:val="0090368A"/>
    <w:rsid w:val="0090379B"/>
    <w:rsid w:val="00903956"/>
    <w:rsid w:val="0090420F"/>
    <w:rsid w:val="00904489"/>
    <w:rsid w:val="009044FA"/>
    <w:rsid w:val="00904E62"/>
    <w:rsid w:val="00905264"/>
    <w:rsid w:val="009052B2"/>
    <w:rsid w:val="00905538"/>
    <w:rsid w:val="009055B5"/>
    <w:rsid w:val="00905848"/>
    <w:rsid w:val="00905A11"/>
    <w:rsid w:val="00905BE1"/>
    <w:rsid w:val="00905F6D"/>
    <w:rsid w:val="00906CC4"/>
    <w:rsid w:val="00906FB0"/>
    <w:rsid w:val="009070F6"/>
    <w:rsid w:val="009072C1"/>
    <w:rsid w:val="00907590"/>
    <w:rsid w:val="00907A92"/>
    <w:rsid w:val="00907E80"/>
    <w:rsid w:val="00907E8A"/>
    <w:rsid w:val="00907ED7"/>
    <w:rsid w:val="00910306"/>
    <w:rsid w:val="00910E4C"/>
    <w:rsid w:val="009110F3"/>
    <w:rsid w:val="00911799"/>
    <w:rsid w:val="00911F8D"/>
    <w:rsid w:val="00913047"/>
    <w:rsid w:val="009131A9"/>
    <w:rsid w:val="0091322E"/>
    <w:rsid w:val="009134F7"/>
    <w:rsid w:val="009138B5"/>
    <w:rsid w:val="0091441F"/>
    <w:rsid w:val="00914689"/>
    <w:rsid w:val="00914750"/>
    <w:rsid w:val="00914AE9"/>
    <w:rsid w:val="009159C9"/>
    <w:rsid w:val="00915F19"/>
    <w:rsid w:val="009166AD"/>
    <w:rsid w:val="00916AAD"/>
    <w:rsid w:val="00916E0A"/>
    <w:rsid w:val="00916FEB"/>
    <w:rsid w:val="0091729D"/>
    <w:rsid w:val="009202DD"/>
    <w:rsid w:val="009203D8"/>
    <w:rsid w:val="00920CF0"/>
    <w:rsid w:val="0092149D"/>
    <w:rsid w:val="0092179D"/>
    <w:rsid w:val="00921A7E"/>
    <w:rsid w:val="00921B5C"/>
    <w:rsid w:val="009224BC"/>
    <w:rsid w:val="00922E3E"/>
    <w:rsid w:val="00923F20"/>
    <w:rsid w:val="00924579"/>
    <w:rsid w:val="00924D1D"/>
    <w:rsid w:val="009253DA"/>
    <w:rsid w:val="009257BB"/>
    <w:rsid w:val="009259F0"/>
    <w:rsid w:val="00925BA4"/>
    <w:rsid w:val="00925D4A"/>
    <w:rsid w:val="00925FE1"/>
    <w:rsid w:val="00926325"/>
    <w:rsid w:val="00926968"/>
    <w:rsid w:val="00926B3D"/>
    <w:rsid w:val="00927C80"/>
    <w:rsid w:val="00930EDA"/>
    <w:rsid w:val="00930EFA"/>
    <w:rsid w:val="00931623"/>
    <w:rsid w:val="00931F44"/>
    <w:rsid w:val="00931F8D"/>
    <w:rsid w:val="0093244D"/>
    <w:rsid w:val="00932B16"/>
    <w:rsid w:val="00932CBA"/>
    <w:rsid w:val="00932D76"/>
    <w:rsid w:val="0093307A"/>
    <w:rsid w:val="009333D2"/>
    <w:rsid w:val="009334D5"/>
    <w:rsid w:val="009336AC"/>
    <w:rsid w:val="00933C13"/>
    <w:rsid w:val="00933D27"/>
    <w:rsid w:val="00934031"/>
    <w:rsid w:val="00934242"/>
    <w:rsid w:val="00935195"/>
    <w:rsid w:val="00935EE3"/>
    <w:rsid w:val="009360DD"/>
    <w:rsid w:val="009362A2"/>
    <w:rsid w:val="00936479"/>
    <w:rsid w:val="00936BAE"/>
    <w:rsid w:val="00937450"/>
    <w:rsid w:val="00937930"/>
    <w:rsid w:val="009411CF"/>
    <w:rsid w:val="0094174D"/>
    <w:rsid w:val="009418F2"/>
    <w:rsid w:val="0094218D"/>
    <w:rsid w:val="009423DB"/>
    <w:rsid w:val="0094358D"/>
    <w:rsid w:val="00943700"/>
    <w:rsid w:val="00943840"/>
    <w:rsid w:val="00943917"/>
    <w:rsid w:val="00943E9A"/>
    <w:rsid w:val="00944E82"/>
    <w:rsid w:val="0094503D"/>
    <w:rsid w:val="009451B2"/>
    <w:rsid w:val="009451E8"/>
    <w:rsid w:val="0094598A"/>
    <w:rsid w:val="00945ECC"/>
    <w:rsid w:val="00946643"/>
    <w:rsid w:val="00946A16"/>
    <w:rsid w:val="0094707A"/>
    <w:rsid w:val="00947817"/>
    <w:rsid w:val="009503B8"/>
    <w:rsid w:val="009504C6"/>
    <w:rsid w:val="00950786"/>
    <w:rsid w:val="00950831"/>
    <w:rsid w:val="0095092B"/>
    <w:rsid w:val="009509B2"/>
    <w:rsid w:val="00950B9C"/>
    <w:rsid w:val="00950DFE"/>
    <w:rsid w:val="00950EFA"/>
    <w:rsid w:val="00951453"/>
    <w:rsid w:val="00951557"/>
    <w:rsid w:val="00951645"/>
    <w:rsid w:val="00951CCD"/>
    <w:rsid w:val="0095266D"/>
    <w:rsid w:val="00952BFB"/>
    <w:rsid w:val="00952FEC"/>
    <w:rsid w:val="00953039"/>
    <w:rsid w:val="009530FA"/>
    <w:rsid w:val="00953673"/>
    <w:rsid w:val="00953C6D"/>
    <w:rsid w:val="0095447D"/>
    <w:rsid w:val="00954647"/>
    <w:rsid w:val="00954F83"/>
    <w:rsid w:val="00954FBF"/>
    <w:rsid w:val="00955375"/>
    <w:rsid w:val="00955432"/>
    <w:rsid w:val="00955644"/>
    <w:rsid w:val="00955858"/>
    <w:rsid w:val="009561FD"/>
    <w:rsid w:val="00956520"/>
    <w:rsid w:val="00956B5A"/>
    <w:rsid w:val="00956C8E"/>
    <w:rsid w:val="00956FB6"/>
    <w:rsid w:val="0095767A"/>
    <w:rsid w:val="009576A8"/>
    <w:rsid w:val="00957750"/>
    <w:rsid w:val="0095796D"/>
    <w:rsid w:val="00960604"/>
    <w:rsid w:val="009607FB"/>
    <w:rsid w:val="00960A10"/>
    <w:rsid w:val="00960F82"/>
    <w:rsid w:val="0096315B"/>
    <w:rsid w:val="0096329E"/>
    <w:rsid w:val="0096356B"/>
    <w:rsid w:val="00963E41"/>
    <w:rsid w:val="00964DCC"/>
    <w:rsid w:val="00965613"/>
    <w:rsid w:val="0096579C"/>
    <w:rsid w:val="0096593B"/>
    <w:rsid w:val="0096605B"/>
    <w:rsid w:val="009665CF"/>
    <w:rsid w:val="00966C23"/>
    <w:rsid w:val="00966F2B"/>
    <w:rsid w:val="009671DB"/>
    <w:rsid w:val="0096765E"/>
    <w:rsid w:val="00967D31"/>
    <w:rsid w:val="00970240"/>
    <w:rsid w:val="009703E7"/>
    <w:rsid w:val="00970A72"/>
    <w:rsid w:val="00970BC4"/>
    <w:rsid w:val="00971697"/>
    <w:rsid w:val="00971828"/>
    <w:rsid w:val="009721F7"/>
    <w:rsid w:val="00972E97"/>
    <w:rsid w:val="009732DB"/>
    <w:rsid w:val="0097333A"/>
    <w:rsid w:val="00973DA9"/>
    <w:rsid w:val="00974950"/>
    <w:rsid w:val="00974D31"/>
    <w:rsid w:val="00974F37"/>
    <w:rsid w:val="00975956"/>
    <w:rsid w:val="00975DD9"/>
    <w:rsid w:val="0097699F"/>
    <w:rsid w:val="00976C0E"/>
    <w:rsid w:val="0097762D"/>
    <w:rsid w:val="009776B2"/>
    <w:rsid w:val="00977844"/>
    <w:rsid w:val="00977A12"/>
    <w:rsid w:val="00977D80"/>
    <w:rsid w:val="00980729"/>
    <w:rsid w:val="00980756"/>
    <w:rsid w:val="00980CEF"/>
    <w:rsid w:val="00980DDC"/>
    <w:rsid w:val="00980F64"/>
    <w:rsid w:val="009817C5"/>
    <w:rsid w:val="00981E3A"/>
    <w:rsid w:val="00981E75"/>
    <w:rsid w:val="009820BD"/>
    <w:rsid w:val="009821D2"/>
    <w:rsid w:val="00982456"/>
    <w:rsid w:val="0098270A"/>
    <w:rsid w:val="00982D36"/>
    <w:rsid w:val="00983657"/>
    <w:rsid w:val="00983CC4"/>
    <w:rsid w:val="00984688"/>
    <w:rsid w:val="009849B0"/>
    <w:rsid w:val="00984D4D"/>
    <w:rsid w:val="009854E8"/>
    <w:rsid w:val="00985CC5"/>
    <w:rsid w:val="00986178"/>
    <w:rsid w:val="00986857"/>
    <w:rsid w:val="00986AFB"/>
    <w:rsid w:val="00986BFD"/>
    <w:rsid w:val="00986CC3"/>
    <w:rsid w:val="00987532"/>
    <w:rsid w:val="00987BB9"/>
    <w:rsid w:val="00987D03"/>
    <w:rsid w:val="00990181"/>
    <w:rsid w:val="0099018D"/>
    <w:rsid w:val="00990216"/>
    <w:rsid w:val="009909C7"/>
    <w:rsid w:val="009909E3"/>
    <w:rsid w:val="00990A96"/>
    <w:rsid w:val="00990D5C"/>
    <w:rsid w:val="00991016"/>
    <w:rsid w:val="0099105B"/>
    <w:rsid w:val="00991066"/>
    <w:rsid w:val="00992BD9"/>
    <w:rsid w:val="00992FBD"/>
    <w:rsid w:val="00993967"/>
    <w:rsid w:val="00993BB6"/>
    <w:rsid w:val="0099445C"/>
    <w:rsid w:val="009947D9"/>
    <w:rsid w:val="00994BA6"/>
    <w:rsid w:val="00994FEA"/>
    <w:rsid w:val="0099526D"/>
    <w:rsid w:val="00995C11"/>
    <w:rsid w:val="00996036"/>
    <w:rsid w:val="00996140"/>
    <w:rsid w:val="00996CC3"/>
    <w:rsid w:val="00996D21"/>
    <w:rsid w:val="00997CC2"/>
    <w:rsid w:val="00997FC3"/>
    <w:rsid w:val="009A05F9"/>
    <w:rsid w:val="009A0B66"/>
    <w:rsid w:val="009A0D46"/>
    <w:rsid w:val="009A0F79"/>
    <w:rsid w:val="009A14BF"/>
    <w:rsid w:val="009A163B"/>
    <w:rsid w:val="009A16CB"/>
    <w:rsid w:val="009A1706"/>
    <w:rsid w:val="009A24D3"/>
    <w:rsid w:val="009A2A71"/>
    <w:rsid w:val="009A2AB9"/>
    <w:rsid w:val="009A2D6D"/>
    <w:rsid w:val="009A2E33"/>
    <w:rsid w:val="009A38CF"/>
    <w:rsid w:val="009A4026"/>
    <w:rsid w:val="009A405C"/>
    <w:rsid w:val="009A406E"/>
    <w:rsid w:val="009A40A6"/>
    <w:rsid w:val="009A4147"/>
    <w:rsid w:val="009A4427"/>
    <w:rsid w:val="009A4521"/>
    <w:rsid w:val="009A46A8"/>
    <w:rsid w:val="009A4813"/>
    <w:rsid w:val="009A49BE"/>
    <w:rsid w:val="009A4AD7"/>
    <w:rsid w:val="009A4CE0"/>
    <w:rsid w:val="009A4E70"/>
    <w:rsid w:val="009A5672"/>
    <w:rsid w:val="009A5823"/>
    <w:rsid w:val="009A5ECE"/>
    <w:rsid w:val="009A60DB"/>
    <w:rsid w:val="009A61AF"/>
    <w:rsid w:val="009A63D2"/>
    <w:rsid w:val="009A7100"/>
    <w:rsid w:val="009A7969"/>
    <w:rsid w:val="009A7AA0"/>
    <w:rsid w:val="009B0844"/>
    <w:rsid w:val="009B09B0"/>
    <w:rsid w:val="009B0B84"/>
    <w:rsid w:val="009B171F"/>
    <w:rsid w:val="009B1A71"/>
    <w:rsid w:val="009B260A"/>
    <w:rsid w:val="009B27F8"/>
    <w:rsid w:val="009B2EA1"/>
    <w:rsid w:val="009B35B3"/>
    <w:rsid w:val="009B3672"/>
    <w:rsid w:val="009B3FA1"/>
    <w:rsid w:val="009B4056"/>
    <w:rsid w:val="009B4422"/>
    <w:rsid w:val="009B442C"/>
    <w:rsid w:val="009B5136"/>
    <w:rsid w:val="009B540B"/>
    <w:rsid w:val="009B581F"/>
    <w:rsid w:val="009B5A0E"/>
    <w:rsid w:val="009B64D3"/>
    <w:rsid w:val="009B69B3"/>
    <w:rsid w:val="009B71B6"/>
    <w:rsid w:val="009C0786"/>
    <w:rsid w:val="009C07DD"/>
    <w:rsid w:val="009C23EC"/>
    <w:rsid w:val="009C2406"/>
    <w:rsid w:val="009C2825"/>
    <w:rsid w:val="009C2EAB"/>
    <w:rsid w:val="009C31A7"/>
    <w:rsid w:val="009C38F1"/>
    <w:rsid w:val="009C3A26"/>
    <w:rsid w:val="009C3AA9"/>
    <w:rsid w:val="009C42C0"/>
    <w:rsid w:val="009C4A98"/>
    <w:rsid w:val="009C4C26"/>
    <w:rsid w:val="009C4E7A"/>
    <w:rsid w:val="009C52A9"/>
    <w:rsid w:val="009C54DD"/>
    <w:rsid w:val="009C559C"/>
    <w:rsid w:val="009C5B84"/>
    <w:rsid w:val="009C5C09"/>
    <w:rsid w:val="009C5D78"/>
    <w:rsid w:val="009C5F35"/>
    <w:rsid w:val="009C613E"/>
    <w:rsid w:val="009C6735"/>
    <w:rsid w:val="009C68C7"/>
    <w:rsid w:val="009C6C0A"/>
    <w:rsid w:val="009C70DB"/>
    <w:rsid w:val="009C7562"/>
    <w:rsid w:val="009C79A0"/>
    <w:rsid w:val="009C7A9E"/>
    <w:rsid w:val="009C7AC9"/>
    <w:rsid w:val="009C7B35"/>
    <w:rsid w:val="009C7F8F"/>
    <w:rsid w:val="009D0B19"/>
    <w:rsid w:val="009D0DAF"/>
    <w:rsid w:val="009D0E58"/>
    <w:rsid w:val="009D1458"/>
    <w:rsid w:val="009D1D10"/>
    <w:rsid w:val="009D218B"/>
    <w:rsid w:val="009D25FD"/>
    <w:rsid w:val="009D26C5"/>
    <w:rsid w:val="009D2A23"/>
    <w:rsid w:val="009D321B"/>
    <w:rsid w:val="009D3226"/>
    <w:rsid w:val="009D383D"/>
    <w:rsid w:val="009D3ABC"/>
    <w:rsid w:val="009D69AD"/>
    <w:rsid w:val="009D6EC1"/>
    <w:rsid w:val="009D7005"/>
    <w:rsid w:val="009D7158"/>
    <w:rsid w:val="009E02A7"/>
    <w:rsid w:val="009E0E98"/>
    <w:rsid w:val="009E10BC"/>
    <w:rsid w:val="009E27EE"/>
    <w:rsid w:val="009E293C"/>
    <w:rsid w:val="009E3020"/>
    <w:rsid w:val="009E36CC"/>
    <w:rsid w:val="009E37AD"/>
    <w:rsid w:val="009E3C6F"/>
    <w:rsid w:val="009E3DF4"/>
    <w:rsid w:val="009E4217"/>
    <w:rsid w:val="009E43C1"/>
    <w:rsid w:val="009E4ABB"/>
    <w:rsid w:val="009E51BA"/>
    <w:rsid w:val="009E51EF"/>
    <w:rsid w:val="009E539C"/>
    <w:rsid w:val="009E5E9A"/>
    <w:rsid w:val="009E63EE"/>
    <w:rsid w:val="009E6A9A"/>
    <w:rsid w:val="009E7122"/>
    <w:rsid w:val="009E766A"/>
    <w:rsid w:val="009E775A"/>
    <w:rsid w:val="009E7B46"/>
    <w:rsid w:val="009E7CD7"/>
    <w:rsid w:val="009F1E57"/>
    <w:rsid w:val="009F243B"/>
    <w:rsid w:val="009F2654"/>
    <w:rsid w:val="009F278E"/>
    <w:rsid w:val="009F2978"/>
    <w:rsid w:val="009F2B37"/>
    <w:rsid w:val="009F2F02"/>
    <w:rsid w:val="009F41EE"/>
    <w:rsid w:val="009F42AB"/>
    <w:rsid w:val="009F4441"/>
    <w:rsid w:val="009F4A5E"/>
    <w:rsid w:val="009F4A89"/>
    <w:rsid w:val="009F5E80"/>
    <w:rsid w:val="009F651D"/>
    <w:rsid w:val="009F6612"/>
    <w:rsid w:val="009F696B"/>
    <w:rsid w:val="009F73E2"/>
    <w:rsid w:val="009F78A4"/>
    <w:rsid w:val="00A0006D"/>
    <w:rsid w:val="00A000D6"/>
    <w:rsid w:val="00A00471"/>
    <w:rsid w:val="00A0069F"/>
    <w:rsid w:val="00A00851"/>
    <w:rsid w:val="00A00EC0"/>
    <w:rsid w:val="00A00FFC"/>
    <w:rsid w:val="00A01134"/>
    <w:rsid w:val="00A01396"/>
    <w:rsid w:val="00A01C9D"/>
    <w:rsid w:val="00A01DC2"/>
    <w:rsid w:val="00A02AC0"/>
    <w:rsid w:val="00A04239"/>
    <w:rsid w:val="00A0490E"/>
    <w:rsid w:val="00A04C50"/>
    <w:rsid w:val="00A04EDA"/>
    <w:rsid w:val="00A052CC"/>
    <w:rsid w:val="00A05B2E"/>
    <w:rsid w:val="00A07B67"/>
    <w:rsid w:val="00A1061B"/>
    <w:rsid w:val="00A1064C"/>
    <w:rsid w:val="00A107BE"/>
    <w:rsid w:val="00A11C34"/>
    <w:rsid w:val="00A1205B"/>
    <w:rsid w:val="00A120D0"/>
    <w:rsid w:val="00A12914"/>
    <w:rsid w:val="00A12DA1"/>
    <w:rsid w:val="00A137EC"/>
    <w:rsid w:val="00A138B9"/>
    <w:rsid w:val="00A13AA9"/>
    <w:rsid w:val="00A13CFC"/>
    <w:rsid w:val="00A1444B"/>
    <w:rsid w:val="00A14595"/>
    <w:rsid w:val="00A14B3A"/>
    <w:rsid w:val="00A14B84"/>
    <w:rsid w:val="00A14C55"/>
    <w:rsid w:val="00A14C5D"/>
    <w:rsid w:val="00A14F94"/>
    <w:rsid w:val="00A15646"/>
    <w:rsid w:val="00A15675"/>
    <w:rsid w:val="00A15FE4"/>
    <w:rsid w:val="00A16385"/>
    <w:rsid w:val="00A166B4"/>
    <w:rsid w:val="00A168B8"/>
    <w:rsid w:val="00A16E18"/>
    <w:rsid w:val="00A16E71"/>
    <w:rsid w:val="00A16EF2"/>
    <w:rsid w:val="00A17223"/>
    <w:rsid w:val="00A172BE"/>
    <w:rsid w:val="00A17759"/>
    <w:rsid w:val="00A17C91"/>
    <w:rsid w:val="00A17CB4"/>
    <w:rsid w:val="00A2018F"/>
    <w:rsid w:val="00A20819"/>
    <w:rsid w:val="00A20BF1"/>
    <w:rsid w:val="00A21571"/>
    <w:rsid w:val="00A21586"/>
    <w:rsid w:val="00A2181C"/>
    <w:rsid w:val="00A21885"/>
    <w:rsid w:val="00A21C28"/>
    <w:rsid w:val="00A21FA7"/>
    <w:rsid w:val="00A22E0A"/>
    <w:rsid w:val="00A2347D"/>
    <w:rsid w:val="00A23805"/>
    <w:rsid w:val="00A2447D"/>
    <w:rsid w:val="00A246A3"/>
    <w:rsid w:val="00A24BBF"/>
    <w:rsid w:val="00A24DAC"/>
    <w:rsid w:val="00A24E75"/>
    <w:rsid w:val="00A25145"/>
    <w:rsid w:val="00A259EF"/>
    <w:rsid w:val="00A25AD7"/>
    <w:rsid w:val="00A26576"/>
    <w:rsid w:val="00A268B2"/>
    <w:rsid w:val="00A26A74"/>
    <w:rsid w:val="00A26A90"/>
    <w:rsid w:val="00A26B5D"/>
    <w:rsid w:val="00A26CBB"/>
    <w:rsid w:val="00A302B5"/>
    <w:rsid w:val="00A304CC"/>
    <w:rsid w:val="00A3060F"/>
    <w:rsid w:val="00A308B5"/>
    <w:rsid w:val="00A30E1F"/>
    <w:rsid w:val="00A31E38"/>
    <w:rsid w:val="00A3243D"/>
    <w:rsid w:val="00A324F1"/>
    <w:rsid w:val="00A33089"/>
    <w:rsid w:val="00A3340A"/>
    <w:rsid w:val="00A33491"/>
    <w:rsid w:val="00A33DA6"/>
    <w:rsid w:val="00A344EE"/>
    <w:rsid w:val="00A3488A"/>
    <w:rsid w:val="00A34ABD"/>
    <w:rsid w:val="00A34CC2"/>
    <w:rsid w:val="00A352CA"/>
    <w:rsid w:val="00A35AB6"/>
    <w:rsid w:val="00A35D63"/>
    <w:rsid w:val="00A35DE2"/>
    <w:rsid w:val="00A367DB"/>
    <w:rsid w:val="00A36897"/>
    <w:rsid w:val="00A36955"/>
    <w:rsid w:val="00A36B8C"/>
    <w:rsid w:val="00A3701E"/>
    <w:rsid w:val="00A3721B"/>
    <w:rsid w:val="00A37478"/>
    <w:rsid w:val="00A376B6"/>
    <w:rsid w:val="00A3780D"/>
    <w:rsid w:val="00A37DA1"/>
    <w:rsid w:val="00A37F6B"/>
    <w:rsid w:val="00A400B1"/>
    <w:rsid w:val="00A40252"/>
    <w:rsid w:val="00A40C24"/>
    <w:rsid w:val="00A427C7"/>
    <w:rsid w:val="00A42D86"/>
    <w:rsid w:val="00A42E36"/>
    <w:rsid w:val="00A437B2"/>
    <w:rsid w:val="00A43B97"/>
    <w:rsid w:val="00A43F39"/>
    <w:rsid w:val="00A44A2E"/>
    <w:rsid w:val="00A44A67"/>
    <w:rsid w:val="00A44F8E"/>
    <w:rsid w:val="00A4529B"/>
    <w:rsid w:val="00A458E1"/>
    <w:rsid w:val="00A46009"/>
    <w:rsid w:val="00A46056"/>
    <w:rsid w:val="00A46103"/>
    <w:rsid w:val="00A4650E"/>
    <w:rsid w:val="00A466A2"/>
    <w:rsid w:val="00A46B10"/>
    <w:rsid w:val="00A46DAD"/>
    <w:rsid w:val="00A47BB4"/>
    <w:rsid w:val="00A5025B"/>
    <w:rsid w:val="00A50C15"/>
    <w:rsid w:val="00A50C24"/>
    <w:rsid w:val="00A51EDD"/>
    <w:rsid w:val="00A52300"/>
    <w:rsid w:val="00A52582"/>
    <w:rsid w:val="00A5279A"/>
    <w:rsid w:val="00A52CFE"/>
    <w:rsid w:val="00A53359"/>
    <w:rsid w:val="00A53393"/>
    <w:rsid w:val="00A53566"/>
    <w:rsid w:val="00A53F50"/>
    <w:rsid w:val="00A55696"/>
    <w:rsid w:val="00A5643F"/>
    <w:rsid w:val="00A56A84"/>
    <w:rsid w:val="00A56CD8"/>
    <w:rsid w:val="00A5709A"/>
    <w:rsid w:val="00A57D9C"/>
    <w:rsid w:val="00A57EEF"/>
    <w:rsid w:val="00A60729"/>
    <w:rsid w:val="00A609FB"/>
    <w:rsid w:val="00A60B65"/>
    <w:rsid w:val="00A619DE"/>
    <w:rsid w:val="00A61B2E"/>
    <w:rsid w:val="00A62E0A"/>
    <w:rsid w:val="00A62F85"/>
    <w:rsid w:val="00A63D30"/>
    <w:rsid w:val="00A64019"/>
    <w:rsid w:val="00A646D8"/>
    <w:rsid w:val="00A64B68"/>
    <w:rsid w:val="00A64D9F"/>
    <w:rsid w:val="00A64FB2"/>
    <w:rsid w:val="00A65159"/>
    <w:rsid w:val="00A658C1"/>
    <w:rsid w:val="00A65D04"/>
    <w:rsid w:val="00A673F0"/>
    <w:rsid w:val="00A70403"/>
    <w:rsid w:val="00A709EC"/>
    <w:rsid w:val="00A71376"/>
    <w:rsid w:val="00A7159A"/>
    <w:rsid w:val="00A72248"/>
    <w:rsid w:val="00A72B90"/>
    <w:rsid w:val="00A72FF4"/>
    <w:rsid w:val="00A7317A"/>
    <w:rsid w:val="00A73476"/>
    <w:rsid w:val="00A7358E"/>
    <w:rsid w:val="00A73E54"/>
    <w:rsid w:val="00A73E71"/>
    <w:rsid w:val="00A73FAA"/>
    <w:rsid w:val="00A73FC6"/>
    <w:rsid w:val="00A74CC5"/>
    <w:rsid w:val="00A7557B"/>
    <w:rsid w:val="00A75840"/>
    <w:rsid w:val="00A75BA1"/>
    <w:rsid w:val="00A75D4C"/>
    <w:rsid w:val="00A75F4B"/>
    <w:rsid w:val="00A76456"/>
    <w:rsid w:val="00A77488"/>
    <w:rsid w:val="00A779EA"/>
    <w:rsid w:val="00A77AD0"/>
    <w:rsid w:val="00A8089B"/>
    <w:rsid w:val="00A818A0"/>
    <w:rsid w:val="00A81A5E"/>
    <w:rsid w:val="00A81B10"/>
    <w:rsid w:val="00A82498"/>
    <w:rsid w:val="00A82887"/>
    <w:rsid w:val="00A83025"/>
    <w:rsid w:val="00A83461"/>
    <w:rsid w:val="00A84154"/>
    <w:rsid w:val="00A84391"/>
    <w:rsid w:val="00A84433"/>
    <w:rsid w:val="00A84C43"/>
    <w:rsid w:val="00A84C5F"/>
    <w:rsid w:val="00A84CBE"/>
    <w:rsid w:val="00A84D70"/>
    <w:rsid w:val="00A84E79"/>
    <w:rsid w:val="00A85194"/>
    <w:rsid w:val="00A863AF"/>
    <w:rsid w:val="00A86594"/>
    <w:rsid w:val="00A870AB"/>
    <w:rsid w:val="00A87A77"/>
    <w:rsid w:val="00A87ACC"/>
    <w:rsid w:val="00A90260"/>
    <w:rsid w:val="00A90B26"/>
    <w:rsid w:val="00A90D51"/>
    <w:rsid w:val="00A90E38"/>
    <w:rsid w:val="00A91612"/>
    <w:rsid w:val="00A91627"/>
    <w:rsid w:val="00A91A72"/>
    <w:rsid w:val="00A91CE6"/>
    <w:rsid w:val="00A920AE"/>
    <w:rsid w:val="00A9211C"/>
    <w:rsid w:val="00A92A5E"/>
    <w:rsid w:val="00A93322"/>
    <w:rsid w:val="00A9332F"/>
    <w:rsid w:val="00A937B3"/>
    <w:rsid w:val="00A93DF2"/>
    <w:rsid w:val="00A94219"/>
    <w:rsid w:val="00A94A14"/>
    <w:rsid w:val="00A95F8D"/>
    <w:rsid w:val="00A96317"/>
    <w:rsid w:val="00A9652D"/>
    <w:rsid w:val="00A9689D"/>
    <w:rsid w:val="00A96A8C"/>
    <w:rsid w:val="00A96AF8"/>
    <w:rsid w:val="00A9731E"/>
    <w:rsid w:val="00A97484"/>
    <w:rsid w:val="00A9749D"/>
    <w:rsid w:val="00A97F3F"/>
    <w:rsid w:val="00AA07CD"/>
    <w:rsid w:val="00AA0AB9"/>
    <w:rsid w:val="00AA1A1D"/>
    <w:rsid w:val="00AA22F5"/>
    <w:rsid w:val="00AA2D4A"/>
    <w:rsid w:val="00AA2D7C"/>
    <w:rsid w:val="00AA32F8"/>
    <w:rsid w:val="00AA3DD5"/>
    <w:rsid w:val="00AA3FF6"/>
    <w:rsid w:val="00AA49E8"/>
    <w:rsid w:val="00AA4F6D"/>
    <w:rsid w:val="00AA588A"/>
    <w:rsid w:val="00AA5B8C"/>
    <w:rsid w:val="00AA665A"/>
    <w:rsid w:val="00AA6CF4"/>
    <w:rsid w:val="00AA6D39"/>
    <w:rsid w:val="00AA7BA2"/>
    <w:rsid w:val="00AB0E86"/>
    <w:rsid w:val="00AB11DD"/>
    <w:rsid w:val="00AB1415"/>
    <w:rsid w:val="00AB2371"/>
    <w:rsid w:val="00AB26B3"/>
    <w:rsid w:val="00AB2704"/>
    <w:rsid w:val="00AB28A2"/>
    <w:rsid w:val="00AB2FC6"/>
    <w:rsid w:val="00AB3B33"/>
    <w:rsid w:val="00AB435F"/>
    <w:rsid w:val="00AB5503"/>
    <w:rsid w:val="00AB6632"/>
    <w:rsid w:val="00AB6BC1"/>
    <w:rsid w:val="00AB6DD4"/>
    <w:rsid w:val="00AB6E2A"/>
    <w:rsid w:val="00AB6F81"/>
    <w:rsid w:val="00AB7090"/>
    <w:rsid w:val="00AB72B0"/>
    <w:rsid w:val="00AB74A3"/>
    <w:rsid w:val="00AB7505"/>
    <w:rsid w:val="00AC002E"/>
    <w:rsid w:val="00AC0209"/>
    <w:rsid w:val="00AC0978"/>
    <w:rsid w:val="00AC0A7E"/>
    <w:rsid w:val="00AC0CD9"/>
    <w:rsid w:val="00AC1176"/>
    <w:rsid w:val="00AC124C"/>
    <w:rsid w:val="00AC1422"/>
    <w:rsid w:val="00AC15B1"/>
    <w:rsid w:val="00AC15E2"/>
    <w:rsid w:val="00AC17EB"/>
    <w:rsid w:val="00AC1B3E"/>
    <w:rsid w:val="00AC1B45"/>
    <w:rsid w:val="00AC1C1F"/>
    <w:rsid w:val="00AC1EA6"/>
    <w:rsid w:val="00AC20D0"/>
    <w:rsid w:val="00AC2381"/>
    <w:rsid w:val="00AC24CB"/>
    <w:rsid w:val="00AC2BFE"/>
    <w:rsid w:val="00AC3484"/>
    <w:rsid w:val="00AC39DD"/>
    <w:rsid w:val="00AC4B27"/>
    <w:rsid w:val="00AC5029"/>
    <w:rsid w:val="00AC5BD2"/>
    <w:rsid w:val="00AC6116"/>
    <w:rsid w:val="00AC61FD"/>
    <w:rsid w:val="00AC63E0"/>
    <w:rsid w:val="00AC7F09"/>
    <w:rsid w:val="00AC7F31"/>
    <w:rsid w:val="00AD07C4"/>
    <w:rsid w:val="00AD07E5"/>
    <w:rsid w:val="00AD137F"/>
    <w:rsid w:val="00AD19EB"/>
    <w:rsid w:val="00AD1AD1"/>
    <w:rsid w:val="00AD1CA2"/>
    <w:rsid w:val="00AD1DED"/>
    <w:rsid w:val="00AD3267"/>
    <w:rsid w:val="00AD3392"/>
    <w:rsid w:val="00AD3A06"/>
    <w:rsid w:val="00AD3A54"/>
    <w:rsid w:val="00AD3CF2"/>
    <w:rsid w:val="00AD3EDB"/>
    <w:rsid w:val="00AD4206"/>
    <w:rsid w:val="00AD4AF2"/>
    <w:rsid w:val="00AD4CCA"/>
    <w:rsid w:val="00AD4F62"/>
    <w:rsid w:val="00AD506F"/>
    <w:rsid w:val="00AD5779"/>
    <w:rsid w:val="00AD5AA1"/>
    <w:rsid w:val="00AD5AD6"/>
    <w:rsid w:val="00AD5E6C"/>
    <w:rsid w:val="00AD6B7F"/>
    <w:rsid w:val="00AD6DF6"/>
    <w:rsid w:val="00AD7020"/>
    <w:rsid w:val="00AD726C"/>
    <w:rsid w:val="00AD75F2"/>
    <w:rsid w:val="00AD7994"/>
    <w:rsid w:val="00AE026B"/>
    <w:rsid w:val="00AE0355"/>
    <w:rsid w:val="00AE096A"/>
    <w:rsid w:val="00AE0C2B"/>
    <w:rsid w:val="00AE0E48"/>
    <w:rsid w:val="00AE129C"/>
    <w:rsid w:val="00AE12F5"/>
    <w:rsid w:val="00AE1401"/>
    <w:rsid w:val="00AE14E4"/>
    <w:rsid w:val="00AE1BFD"/>
    <w:rsid w:val="00AE1E14"/>
    <w:rsid w:val="00AE23E3"/>
    <w:rsid w:val="00AE2F16"/>
    <w:rsid w:val="00AE3032"/>
    <w:rsid w:val="00AE33CA"/>
    <w:rsid w:val="00AE3B68"/>
    <w:rsid w:val="00AE463D"/>
    <w:rsid w:val="00AE46F8"/>
    <w:rsid w:val="00AE49BD"/>
    <w:rsid w:val="00AE4DA5"/>
    <w:rsid w:val="00AE4E63"/>
    <w:rsid w:val="00AE5493"/>
    <w:rsid w:val="00AE7094"/>
    <w:rsid w:val="00AE71CA"/>
    <w:rsid w:val="00AE7950"/>
    <w:rsid w:val="00AF0710"/>
    <w:rsid w:val="00AF0B28"/>
    <w:rsid w:val="00AF0BDD"/>
    <w:rsid w:val="00AF1079"/>
    <w:rsid w:val="00AF10B2"/>
    <w:rsid w:val="00AF25C9"/>
    <w:rsid w:val="00AF2654"/>
    <w:rsid w:val="00AF2875"/>
    <w:rsid w:val="00AF2D92"/>
    <w:rsid w:val="00AF3DE5"/>
    <w:rsid w:val="00AF3E1A"/>
    <w:rsid w:val="00AF40E8"/>
    <w:rsid w:val="00AF45F4"/>
    <w:rsid w:val="00AF499D"/>
    <w:rsid w:val="00AF50F7"/>
    <w:rsid w:val="00AF5747"/>
    <w:rsid w:val="00AF5C22"/>
    <w:rsid w:val="00AF5C81"/>
    <w:rsid w:val="00AF76E9"/>
    <w:rsid w:val="00AF7B93"/>
    <w:rsid w:val="00B00858"/>
    <w:rsid w:val="00B01685"/>
    <w:rsid w:val="00B01978"/>
    <w:rsid w:val="00B01A1E"/>
    <w:rsid w:val="00B02770"/>
    <w:rsid w:val="00B027D5"/>
    <w:rsid w:val="00B03106"/>
    <w:rsid w:val="00B03454"/>
    <w:rsid w:val="00B03ACC"/>
    <w:rsid w:val="00B03B2A"/>
    <w:rsid w:val="00B03C96"/>
    <w:rsid w:val="00B03F49"/>
    <w:rsid w:val="00B041A5"/>
    <w:rsid w:val="00B0549C"/>
    <w:rsid w:val="00B05FD4"/>
    <w:rsid w:val="00B06410"/>
    <w:rsid w:val="00B069B5"/>
    <w:rsid w:val="00B069F9"/>
    <w:rsid w:val="00B06C90"/>
    <w:rsid w:val="00B06FEF"/>
    <w:rsid w:val="00B071D8"/>
    <w:rsid w:val="00B072CD"/>
    <w:rsid w:val="00B074FF"/>
    <w:rsid w:val="00B0752A"/>
    <w:rsid w:val="00B0797C"/>
    <w:rsid w:val="00B07CF2"/>
    <w:rsid w:val="00B07FDD"/>
    <w:rsid w:val="00B103B2"/>
    <w:rsid w:val="00B106B3"/>
    <w:rsid w:val="00B10CD1"/>
    <w:rsid w:val="00B11927"/>
    <w:rsid w:val="00B11D47"/>
    <w:rsid w:val="00B12009"/>
    <w:rsid w:val="00B12E0B"/>
    <w:rsid w:val="00B132D3"/>
    <w:rsid w:val="00B13A28"/>
    <w:rsid w:val="00B14223"/>
    <w:rsid w:val="00B1445F"/>
    <w:rsid w:val="00B1487B"/>
    <w:rsid w:val="00B158E5"/>
    <w:rsid w:val="00B1627E"/>
    <w:rsid w:val="00B165B8"/>
    <w:rsid w:val="00B16ED4"/>
    <w:rsid w:val="00B1709E"/>
    <w:rsid w:val="00B1744A"/>
    <w:rsid w:val="00B174CD"/>
    <w:rsid w:val="00B17EB3"/>
    <w:rsid w:val="00B17EFF"/>
    <w:rsid w:val="00B17FE1"/>
    <w:rsid w:val="00B204C3"/>
    <w:rsid w:val="00B21228"/>
    <w:rsid w:val="00B21794"/>
    <w:rsid w:val="00B21911"/>
    <w:rsid w:val="00B21C0C"/>
    <w:rsid w:val="00B21D97"/>
    <w:rsid w:val="00B22E75"/>
    <w:rsid w:val="00B22EC5"/>
    <w:rsid w:val="00B2339F"/>
    <w:rsid w:val="00B234CC"/>
    <w:rsid w:val="00B23F11"/>
    <w:rsid w:val="00B23F1F"/>
    <w:rsid w:val="00B24ABC"/>
    <w:rsid w:val="00B24CE8"/>
    <w:rsid w:val="00B250E4"/>
    <w:rsid w:val="00B250FB"/>
    <w:rsid w:val="00B2553F"/>
    <w:rsid w:val="00B25742"/>
    <w:rsid w:val="00B257F4"/>
    <w:rsid w:val="00B2642B"/>
    <w:rsid w:val="00B26491"/>
    <w:rsid w:val="00B26947"/>
    <w:rsid w:val="00B26C53"/>
    <w:rsid w:val="00B272B4"/>
    <w:rsid w:val="00B2730E"/>
    <w:rsid w:val="00B30050"/>
    <w:rsid w:val="00B30267"/>
    <w:rsid w:val="00B304A0"/>
    <w:rsid w:val="00B3089B"/>
    <w:rsid w:val="00B309AC"/>
    <w:rsid w:val="00B31F00"/>
    <w:rsid w:val="00B31F79"/>
    <w:rsid w:val="00B32320"/>
    <w:rsid w:val="00B32396"/>
    <w:rsid w:val="00B32801"/>
    <w:rsid w:val="00B32A11"/>
    <w:rsid w:val="00B32C36"/>
    <w:rsid w:val="00B33295"/>
    <w:rsid w:val="00B3339C"/>
    <w:rsid w:val="00B33406"/>
    <w:rsid w:val="00B33F0A"/>
    <w:rsid w:val="00B33F56"/>
    <w:rsid w:val="00B34213"/>
    <w:rsid w:val="00B3535F"/>
    <w:rsid w:val="00B354D4"/>
    <w:rsid w:val="00B3557B"/>
    <w:rsid w:val="00B35C88"/>
    <w:rsid w:val="00B36838"/>
    <w:rsid w:val="00B36FF3"/>
    <w:rsid w:val="00B37162"/>
    <w:rsid w:val="00B3744E"/>
    <w:rsid w:val="00B3746A"/>
    <w:rsid w:val="00B37536"/>
    <w:rsid w:val="00B378F7"/>
    <w:rsid w:val="00B37EB5"/>
    <w:rsid w:val="00B40A47"/>
    <w:rsid w:val="00B40C9A"/>
    <w:rsid w:val="00B4159B"/>
    <w:rsid w:val="00B41B2F"/>
    <w:rsid w:val="00B41FEA"/>
    <w:rsid w:val="00B422D5"/>
    <w:rsid w:val="00B422E5"/>
    <w:rsid w:val="00B42A51"/>
    <w:rsid w:val="00B42E7F"/>
    <w:rsid w:val="00B43379"/>
    <w:rsid w:val="00B43665"/>
    <w:rsid w:val="00B4377C"/>
    <w:rsid w:val="00B43852"/>
    <w:rsid w:val="00B43D55"/>
    <w:rsid w:val="00B43DDF"/>
    <w:rsid w:val="00B441E9"/>
    <w:rsid w:val="00B44D9C"/>
    <w:rsid w:val="00B44E3C"/>
    <w:rsid w:val="00B45250"/>
    <w:rsid w:val="00B455DC"/>
    <w:rsid w:val="00B45901"/>
    <w:rsid w:val="00B45A29"/>
    <w:rsid w:val="00B45D9C"/>
    <w:rsid w:val="00B461DD"/>
    <w:rsid w:val="00B4661C"/>
    <w:rsid w:val="00B46FE6"/>
    <w:rsid w:val="00B475E1"/>
    <w:rsid w:val="00B47623"/>
    <w:rsid w:val="00B4773A"/>
    <w:rsid w:val="00B47A35"/>
    <w:rsid w:val="00B47FCA"/>
    <w:rsid w:val="00B50BE0"/>
    <w:rsid w:val="00B50CE2"/>
    <w:rsid w:val="00B50DAA"/>
    <w:rsid w:val="00B50ED2"/>
    <w:rsid w:val="00B5176D"/>
    <w:rsid w:val="00B51C8F"/>
    <w:rsid w:val="00B51D5D"/>
    <w:rsid w:val="00B51FE5"/>
    <w:rsid w:val="00B52757"/>
    <w:rsid w:val="00B52F0E"/>
    <w:rsid w:val="00B534D1"/>
    <w:rsid w:val="00B538B4"/>
    <w:rsid w:val="00B53A30"/>
    <w:rsid w:val="00B54695"/>
    <w:rsid w:val="00B54779"/>
    <w:rsid w:val="00B54DD9"/>
    <w:rsid w:val="00B54EE8"/>
    <w:rsid w:val="00B554BC"/>
    <w:rsid w:val="00B5570B"/>
    <w:rsid w:val="00B55A88"/>
    <w:rsid w:val="00B55BF3"/>
    <w:rsid w:val="00B56CEA"/>
    <w:rsid w:val="00B56F16"/>
    <w:rsid w:val="00B573C4"/>
    <w:rsid w:val="00B576DA"/>
    <w:rsid w:val="00B57D1F"/>
    <w:rsid w:val="00B57E6E"/>
    <w:rsid w:val="00B57EF7"/>
    <w:rsid w:val="00B602F2"/>
    <w:rsid w:val="00B6034B"/>
    <w:rsid w:val="00B60479"/>
    <w:rsid w:val="00B6078E"/>
    <w:rsid w:val="00B6097B"/>
    <w:rsid w:val="00B60FCF"/>
    <w:rsid w:val="00B61F42"/>
    <w:rsid w:val="00B62083"/>
    <w:rsid w:val="00B6227D"/>
    <w:rsid w:val="00B62345"/>
    <w:rsid w:val="00B62717"/>
    <w:rsid w:val="00B6277C"/>
    <w:rsid w:val="00B62C1C"/>
    <w:rsid w:val="00B635B3"/>
    <w:rsid w:val="00B63849"/>
    <w:rsid w:val="00B63ACA"/>
    <w:rsid w:val="00B6454C"/>
    <w:rsid w:val="00B64AD5"/>
    <w:rsid w:val="00B64EFB"/>
    <w:rsid w:val="00B64F94"/>
    <w:rsid w:val="00B6518A"/>
    <w:rsid w:val="00B65C7E"/>
    <w:rsid w:val="00B65E88"/>
    <w:rsid w:val="00B6709A"/>
    <w:rsid w:val="00B67CC6"/>
    <w:rsid w:val="00B67F9A"/>
    <w:rsid w:val="00B7135D"/>
    <w:rsid w:val="00B7159D"/>
    <w:rsid w:val="00B7171A"/>
    <w:rsid w:val="00B71AF8"/>
    <w:rsid w:val="00B71BD6"/>
    <w:rsid w:val="00B71BF1"/>
    <w:rsid w:val="00B71C7F"/>
    <w:rsid w:val="00B71CF8"/>
    <w:rsid w:val="00B72105"/>
    <w:rsid w:val="00B73652"/>
    <w:rsid w:val="00B73CF3"/>
    <w:rsid w:val="00B74436"/>
    <w:rsid w:val="00B7460A"/>
    <w:rsid w:val="00B747CB"/>
    <w:rsid w:val="00B74838"/>
    <w:rsid w:val="00B74F44"/>
    <w:rsid w:val="00B75955"/>
    <w:rsid w:val="00B75D03"/>
    <w:rsid w:val="00B761D5"/>
    <w:rsid w:val="00B7682B"/>
    <w:rsid w:val="00B76A62"/>
    <w:rsid w:val="00B76A90"/>
    <w:rsid w:val="00B76B2C"/>
    <w:rsid w:val="00B804E6"/>
    <w:rsid w:val="00B80640"/>
    <w:rsid w:val="00B80FA2"/>
    <w:rsid w:val="00B812DB"/>
    <w:rsid w:val="00B82257"/>
    <w:rsid w:val="00B823D5"/>
    <w:rsid w:val="00B824F7"/>
    <w:rsid w:val="00B8395D"/>
    <w:rsid w:val="00B839FF"/>
    <w:rsid w:val="00B83CDE"/>
    <w:rsid w:val="00B84115"/>
    <w:rsid w:val="00B85D95"/>
    <w:rsid w:val="00B85F9B"/>
    <w:rsid w:val="00B8644C"/>
    <w:rsid w:val="00B86494"/>
    <w:rsid w:val="00B86909"/>
    <w:rsid w:val="00B86C3F"/>
    <w:rsid w:val="00B87097"/>
    <w:rsid w:val="00B87432"/>
    <w:rsid w:val="00B87563"/>
    <w:rsid w:val="00B877D7"/>
    <w:rsid w:val="00B87B73"/>
    <w:rsid w:val="00B9012C"/>
    <w:rsid w:val="00B9059C"/>
    <w:rsid w:val="00B90D63"/>
    <w:rsid w:val="00B90E8A"/>
    <w:rsid w:val="00B910DC"/>
    <w:rsid w:val="00B91851"/>
    <w:rsid w:val="00B91985"/>
    <w:rsid w:val="00B92379"/>
    <w:rsid w:val="00B924C9"/>
    <w:rsid w:val="00B93B5D"/>
    <w:rsid w:val="00B93C31"/>
    <w:rsid w:val="00B9455D"/>
    <w:rsid w:val="00B94DAC"/>
    <w:rsid w:val="00B95730"/>
    <w:rsid w:val="00B95924"/>
    <w:rsid w:val="00B95FF2"/>
    <w:rsid w:val="00B9642A"/>
    <w:rsid w:val="00B964C2"/>
    <w:rsid w:val="00B96511"/>
    <w:rsid w:val="00B975D8"/>
    <w:rsid w:val="00B97CB6"/>
    <w:rsid w:val="00BA012A"/>
    <w:rsid w:val="00BA0533"/>
    <w:rsid w:val="00BA0739"/>
    <w:rsid w:val="00BA0843"/>
    <w:rsid w:val="00BA0BAD"/>
    <w:rsid w:val="00BA121F"/>
    <w:rsid w:val="00BA1379"/>
    <w:rsid w:val="00BA1A03"/>
    <w:rsid w:val="00BA1D2D"/>
    <w:rsid w:val="00BA1E92"/>
    <w:rsid w:val="00BA2530"/>
    <w:rsid w:val="00BA25E5"/>
    <w:rsid w:val="00BA2FBD"/>
    <w:rsid w:val="00BA3912"/>
    <w:rsid w:val="00BA3A5E"/>
    <w:rsid w:val="00BA4085"/>
    <w:rsid w:val="00BA4173"/>
    <w:rsid w:val="00BA4593"/>
    <w:rsid w:val="00BA5028"/>
    <w:rsid w:val="00BA5BD9"/>
    <w:rsid w:val="00BA61AA"/>
    <w:rsid w:val="00BA6AC6"/>
    <w:rsid w:val="00BA6B26"/>
    <w:rsid w:val="00BA6BEF"/>
    <w:rsid w:val="00BA7010"/>
    <w:rsid w:val="00BA7522"/>
    <w:rsid w:val="00BA7A33"/>
    <w:rsid w:val="00BB00FA"/>
    <w:rsid w:val="00BB026A"/>
    <w:rsid w:val="00BB0329"/>
    <w:rsid w:val="00BB0510"/>
    <w:rsid w:val="00BB0D67"/>
    <w:rsid w:val="00BB111E"/>
    <w:rsid w:val="00BB17D9"/>
    <w:rsid w:val="00BB18C4"/>
    <w:rsid w:val="00BB1D68"/>
    <w:rsid w:val="00BB1FAD"/>
    <w:rsid w:val="00BB2790"/>
    <w:rsid w:val="00BB2E59"/>
    <w:rsid w:val="00BB2F8A"/>
    <w:rsid w:val="00BB2FAC"/>
    <w:rsid w:val="00BB36B7"/>
    <w:rsid w:val="00BB3700"/>
    <w:rsid w:val="00BB3805"/>
    <w:rsid w:val="00BB3BA8"/>
    <w:rsid w:val="00BB4109"/>
    <w:rsid w:val="00BB4131"/>
    <w:rsid w:val="00BB437F"/>
    <w:rsid w:val="00BB4C31"/>
    <w:rsid w:val="00BB4EFE"/>
    <w:rsid w:val="00BB5811"/>
    <w:rsid w:val="00BB5A36"/>
    <w:rsid w:val="00BB6868"/>
    <w:rsid w:val="00BB7BF6"/>
    <w:rsid w:val="00BC02FB"/>
    <w:rsid w:val="00BC0395"/>
    <w:rsid w:val="00BC0C6A"/>
    <w:rsid w:val="00BC1633"/>
    <w:rsid w:val="00BC1964"/>
    <w:rsid w:val="00BC1CED"/>
    <w:rsid w:val="00BC1E18"/>
    <w:rsid w:val="00BC2211"/>
    <w:rsid w:val="00BC2285"/>
    <w:rsid w:val="00BC29AC"/>
    <w:rsid w:val="00BC2B8F"/>
    <w:rsid w:val="00BC2CFA"/>
    <w:rsid w:val="00BC3779"/>
    <w:rsid w:val="00BC3780"/>
    <w:rsid w:val="00BC38AD"/>
    <w:rsid w:val="00BC3ACB"/>
    <w:rsid w:val="00BC3F08"/>
    <w:rsid w:val="00BC4C5A"/>
    <w:rsid w:val="00BC4E70"/>
    <w:rsid w:val="00BC4F33"/>
    <w:rsid w:val="00BC54EA"/>
    <w:rsid w:val="00BC5580"/>
    <w:rsid w:val="00BC560E"/>
    <w:rsid w:val="00BC64CC"/>
    <w:rsid w:val="00BC6BC7"/>
    <w:rsid w:val="00BC720E"/>
    <w:rsid w:val="00BC7269"/>
    <w:rsid w:val="00BC7616"/>
    <w:rsid w:val="00BC7EFA"/>
    <w:rsid w:val="00BD0143"/>
    <w:rsid w:val="00BD078D"/>
    <w:rsid w:val="00BD08DF"/>
    <w:rsid w:val="00BD0A68"/>
    <w:rsid w:val="00BD0AE6"/>
    <w:rsid w:val="00BD1206"/>
    <w:rsid w:val="00BD1EC4"/>
    <w:rsid w:val="00BD230F"/>
    <w:rsid w:val="00BD2420"/>
    <w:rsid w:val="00BD2FC0"/>
    <w:rsid w:val="00BD33BF"/>
    <w:rsid w:val="00BD36CB"/>
    <w:rsid w:val="00BD37B6"/>
    <w:rsid w:val="00BD3908"/>
    <w:rsid w:val="00BD4340"/>
    <w:rsid w:val="00BD45DA"/>
    <w:rsid w:val="00BD4875"/>
    <w:rsid w:val="00BD4B0C"/>
    <w:rsid w:val="00BD5042"/>
    <w:rsid w:val="00BD55B7"/>
    <w:rsid w:val="00BD5AAF"/>
    <w:rsid w:val="00BD5EAC"/>
    <w:rsid w:val="00BD6321"/>
    <w:rsid w:val="00BD64DC"/>
    <w:rsid w:val="00BD665E"/>
    <w:rsid w:val="00BD6E10"/>
    <w:rsid w:val="00BD6FCA"/>
    <w:rsid w:val="00BD73A9"/>
    <w:rsid w:val="00BD73FF"/>
    <w:rsid w:val="00BE05A8"/>
    <w:rsid w:val="00BE0C9F"/>
    <w:rsid w:val="00BE103B"/>
    <w:rsid w:val="00BE17A8"/>
    <w:rsid w:val="00BE17C5"/>
    <w:rsid w:val="00BE1809"/>
    <w:rsid w:val="00BE2125"/>
    <w:rsid w:val="00BE240B"/>
    <w:rsid w:val="00BE25C8"/>
    <w:rsid w:val="00BE26AB"/>
    <w:rsid w:val="00BE2A85"/>
    <w:rsid w:val="00BE3540"/>
    <w:rsid w:val="00BE3803"/>
    <w:rsid w:val="00BE3820"/>
    <w:rsid w:val="00BE430E"/>
    <w:rsid w:val="00BE4F0A"/>
    <w:rsid w:val="00BE5549"/>
    <w:rsid w:val="00BE5B6E"/>
    <w:rsid w:val="00BE5E75"/>
    <w:rsid w:val="00BE64BB"/>
    <w:rsid w:val="00BE7327"/>
    <w:rsid w:val="00BE7A26"/>
    <w:rsid w:val="00BF037B"/>
    <w:rsid w:val="00BF1188"/>
    <w:rsid w:val="00BF14A6"/>
    <w:rsid w:val="00BF17E9"/>
    <w:rsid w:val="00BF2201"/>
    <w:rsid w:val="00BF2798"/>
    <w:rsid w:val="00BF281C"/>
    <w:rsid w:val="00BF2A24"/>
    <w:rsid w:val="00BF2B9B"/>
    <w:rsid w:val="00BF2EB5"/>
    <w:rsid w:val="00BF3534"/>
    <w:rsid w:val="00BF41AC"/>
    <w:rsid w:val="00BF4AF9"/>
    <w:rsid w:val="00BF4B49"/>
    <w:rsid w:val="00BF4EEA"/>
    <w:rsid w:val="00BF5D72"/>
    <w:rsid w:val="00BF5D73"/>
    <w:rsid w:val="00BF6178"/>
    <w:rsid w:val="00BF6207"/>
    <w:rsid w:val="00BF6428"/>
    <w:rsid w:val="00BF73EC"/>
    <w:rsid w:val="00BF7BEE"/>
    <w:rsid w:val="00BF7D3F"/>
    <w:rsid w:val="00C00066"/>
    <w:rsid w:val="00C00425"/>
    <w:rsid w:val="00C00468"/>
    <w:rsid w:val="00C00599"/>
    <w:rsid w:val="00C008AA"/>
    <w:rsid w:val="00C01A5C"/>
    <w:rsid w:val="00C01ADA"/>
    <w:rsid w:val="00C01BF3"/>
    <w:rsid w:val="00C022A6"/>
    <w:rsid w:val="00C02867"/>
    <w:rsid w:val="00C02E43"/>
    <w:rsid w:val="00C03750"/>
    <w:rsid w:val="00C049D3"/>
    <w:rsid w:val="00C0511E"/>
    <w:rsid w:val="00C059EA"/>
    <w:rsid w:val="00C05F2C"/>
    <w:rsid w:val="00C06BEC"/>
    <w:rsid w:val="00C07609"/>
    <w:rsid w:val="00C103E6"/>
    <w:rsid w:val="00C104F3"/>
    <w:rsid w:val="00C1072C"/>
    <w:rsid w:val="00C11D8B"/>
    <w:rsid w:val="00C11EF3"/>
    <w:rsid w:val="00C121F1"/>
    <w:rsid w:val="00C13518"/>
    <w:rsid w:val="00C13EDE"/>
    <w:rsid w:val="00C14D41"/>
    <w:rsid w:val="00C14D62"/>
    <w:rsid w:val="00C14DDB"/>
    <w:rsid w:val="00C151AD"/>
    <w:rsid w:val="00C16393"/>
    <w:rsid w:val="00C166FE"/>
    <w:rsid w:val="00C16B39"/>
    <w:rsid w:val="00C16BE4"/>
    <w:rsid w:val="00C16E09"/>
    <w:rsid w:val="00C1723C"/>
    <w:rsid w:val="00C20542"/>
    <w:rsid w:val="00C20552"/>
    <w:rsid w:val="00C2079D"/>
    <w:rsid w:val="00C21342"/>
    <w:rsid w:val="00C2183A"/>
    <w:rsid w:val="00C21A68"/>
    <w:rsid w:val="00C21E27"/>
    <w:rsid w:val="00C21F41"/>
    <w:rsid w:val="00C220D1"/>
    <w:rsid w:val="00C224F6"/>
    <w:rsid w:val="00C22517"/>
    <w:rsid w:val="00C22C8C"/>
    <w:rsid w:val="00C22E69"/>
    <w:rsid w:val="00C23259"/>
    <w:rsid w:val="00C24524"/>
    <w:rsid w:val="00C24A7D"/>
    <w:rsid w:val="00C24C9B"/>
    <w:rsid w:val="00C24E8A"/>
    <w:rsid w:val="00C2566A"/>
    <w:rsid w:val="00C25D7D"/>
    <w:rsid w:val="00C25E52"/>
    <w:rsid w:val="00C26200"/>
    <w:rsid w:val="00C27052"/>
    <w:rsid w:val="00C27123"/>
    <w:rsid w:val="00C27225"/>
    <w:rsid w:val="00C272CC"/>
    <w:rsid w:val="00C27980"/>
    <w:rsid w:val="00C27B02"/>
    <w:rsid w:val="00C27DE5"/>
    <w:rsid w:val="00C27F74"/>
    <w:rsid w:val="00C30115"/>
    <w:rsid w:val="00C301E8"/>
    <w:rsid w:val="00C303AC"/>
    <w:rsid w:val="00C30505"/>
    <w:rsid w:val="00C30AD7"/>
    <w:rsid w:val="00C30B4A"/>
    <w:rsid w:val="00C30B90"/>
    <w:rsid w:val="00C30D4B"/>
    <w:rsid w:val="00C30DE5"/>
    <w:rsid w:val="00C317B0"/>
    <w:rsid w:val="00C31C5B"/>
    <w:rsid w:val="00C3222F"/>
    <w:rsid w:val="00C32576"/>
    <w:rsid w:val="00C3276A"/>
    <w:rsid w:val="00C32A7F"/>
    <w:rsid w:val="00C331E7"/>
    <w:rsid w:val="00C3387E"/>
    <w:rsid w:val="00C33A94"/>
    <w:rsid w:val="00C34053"/>
    <w:rsid w:val="00C3457B"/>
    <w:rsid w:val="00C347DB"/>
    <w:rsid w:val="00C34965"/>
    <w:rsid w:val="00C35127"/>
    <w:rsid w:val="00C35574"/>
    <w:rsid w:val="00C35593"/>
    <w:rsid w:val="00C35876"/>
    <w:rsid w:val="00C358BE"/>
    <w:rsid w:val="00C36391"/>
    <w:rsid w:val="00C369D0"/>
    <w:rsid w:val="00C36FB4"/>
    <w:rsid w:val="00C3737D"/>
    <w:rsid w:val="00C37391"/>
    <w:rsid w:val="00C377F0"/>
    <w:rsid w:val="00C37A10"/>
    <w:rsid w:val="00C40AD9"/>
    <w:rsid w:val="00C40F6D"/>
    <w:rsid w:val="00C40FE2"/>
    <w:rsid w:val="00C410AF"/>
    <w:rsid w:val="00C41629"/>
    <w:rsid w:val="00C41C35"/>
    <w:rsid w:val="00C42837"/>
    <w:rsid w:val="00C42DC7"/>
    <w:rsid w:val="00C4318C"/>
    <w:rsid w:val="00C437EE"/>
    <w:rsid w:val="00C4460A"/>
    <w:rsid w:val="00C44E92"/>
    <w:rsid w:val="00C451B6"/>
    <w:rsid w:val="00C45A66"/>
    <w:rsid w:val="00C45ADB"/>
    <w:rsid w:val="00C46859"/>
    <w:rsid w:val="00C46AFE"/>
    <w:rsid w:val="00C46F52"/>
    <w:rsid w:val="00C47B8C"/>
    <w:rsid w:val="00C47BF7"/>
    <w:rsid w:val="00C47D4C"/>
    <w:rsid w:val="00C47DAB"/>
    <w:rsid w:val="00C5001E"/>
    <w:rsid w:val="00C50CF0"/>
    <w:rsid w:val="00C50FC4"/>
    <w:rsid w:val="00C51198"/>
    <w:rsid w:val="00C518FA"/>
    <w:rsid w:val="00C5196B"/>
    <w:rsid w:val="00C51CDA"/>
    <w:rsid w:val="00C520D1"/>
    <w:rsid w:val="00C52469"/>
    <w:rsid w:val="00C524D2"/>
    <w:rsid w:val="00C525B7"/>
    <w:rsid w:val="00C5387E"/>
    <w:rsid w:val="00C54363"/>
    <w:rsid w:val="00C5437A"/>
    <w:rsid w:val="00C54921"/>
    <w:rsid w:val="00C54D48"/>
    <w:rsid w:val="00C5585F"/>
    <w:rsid w:val="00C55D24"/>
    <w:rsid w:val="00C56257"/>
    <w:rsid w:val="00C565FE"/>
    <w:rsid w:val="00C567A1"/>
    <w:rsid w:val="00C5701A"/>
    <w:rsid w:val="00C57FA7"/>
    <w:rsid w:val="00C6010B"/>
    <w:rsid w:val="00C60204"/>
    <w:rsid w:val="00C6030A"/>
    <w:rsid w:val="00C60407"/>
    <w:rsid w:val="00C60EB8"/>
    <w:rsid w:val="00C615B6"/>
    <w:rsid w:val="00C615D5"/>
    <w:rsid w:val="00C6194B"/>
    <w:rsid w:val="00C61A04"/>
    <w:rsid w:val="00C62077"/>
    <w:rsid w:val="00C620DA"/>
    <w:rsid w:val="00C62399"/>
    <w:rsid w:val="00C63B49"/>
    <w:rsid w:val="00C648DB"/>
    <w:rsid w:val="00C6490F"/>
    <w:rsid w:val="00C64C87"/>
    <w:rsid w:val="00C650BD"/>
    <w:rsid w:val="00C652C4"/>
    <w:rsid w:val="00C6546C"/>
    <w:rsid w:val="00C65631"/>
    <w:rsid w:val="00C6612A"/>
    <w:rsid w:val="00C6614B"/>
    <w:rsid w:val="00C66336"/>
    <w:rsid w:val="00C66674"/>
    <w:rsid w:val="00C66C49"/>
    <w:rsid w:val="00C67C32"/>
    <w:rsid w:val="00C70335"/>
    <w:rsid w:val="00C70CD2"/>
    <w:rsid w:val="00C70D3B"/>
    <w:rsid w:val="00C70EBD"/>
    <w:rsid w:val="00C71803"/>
    <w:rsid w:val="00C73821"/>
    <w:rsid w:val="00C73A27"/>
    <w:rsid w:val="00C74873"/>
    <w:rsid w:val="00C7506D"/>
    <w:rsid w:val="00C7514C"/>
    <w:rsid w:val="00C7544A"/>
    <w:rsid w:val="00C75C30"/>
    <w:rsid w:val="00C76490"/>
    <w:rsid w:val="00C765E6"/>
    <w:rsid w:val="00C77BE8"/>
    <w:rsid w:val="00C8031F"/>
    <w:rsid w:val="00C803B4"/>
    <w:rsid w:val="00C804F2"/>
    <w:rsid w:val="00C80C6D"/>
    <w:rsid w:val="00C81602"/>
    <w:rsid w:val="00C8161A"/>
    <w:rsid w:val="00C8173A"/>
    <w:rsid w:val="00C81F28"/>
    <w:rsid w:val="00C82419"/>
    <w:rsid w:val="00C824D5"/>
    <w:rsid w:val="00C827A7"/>
    <w:rsid w:val="00C830A4"/>
    <w:rsid w:val="00C83799"/>
    <w:rsid w:val="00C83A56"/>
    <w:rsid w:val="00C8420B"/>
    <w:rsid w:val="00C844AA"/>
    <w:rsid w:val="00C847C6"/>
    <w:rsid w:val="00C8496A"/>
    <w:rsid w:val="00C84CBC"/>
    <w:rsid w:val="00C84D0A"/>
    <w:rsid w:val="00C84D4A"/>
    <w:rsid w:val="00C84E61"/>
    <w:rsid w:val="00C85090"/>
    <w:rsid w:val="00C85552"/>
    <w:rsid w:val="00C85748"/>
    <w:rsid w:val="00C8581C"/>
    <w:rsid w:val="00C859F0"/>
    <w:rsid w:val="00C85BF8"/>
    <w:rsid w:val="00C85E39"/>
    <w:rsid w:val="00C86391"/>
    <w:rsid w:val="00C867FE"/>
    <w:rsid w:val="00C871B0"/>
    <w:rsid w:val="00C876CE"/>
    <w:rsid w:val="00C8771E"/>
    <w:rsid w:val="00C877A9"/>
    <w:rsid w:val="00C90667"/>
    <w:rsid w:val="00C908F5"/>
    <w:rsid w:val="00C9120C"/>
    <w:rsid w:val="00C9139F"/>
    <w:rsid w:val="00C91913"/>
    <w:rsid w:val="00C919BC"/>
    <w:rsid w:val="00C92024"/>
    <w:rsid w:val="00C924E5"/>
    <w:rsid w:val="00C92610"/>
    <w:rsid w:val="00C9275A"/>
    <w:rsid w:val="00C927F7"/>
    <w:rsid w:val="00C92831"/>
    <w:rsid w:val="00C92A0A"/>
    <w:rsid w:val="00C93599"/>
    <w:rsid w:val="00C94147"/>
    <w:rsid w:val="00C94559"/>
    <w:rsid w:val="00C9490E"/>
    <w:rsid w:val="00C94B02"/>
    <w:rsid w:val="00C954EF"/>
    <w:rsid w:val="00C95A42"/>
    <w:rsid w:val="00C95B92"/>
    <w:rsid w:val="00C95C77"/>
    <w:rsid w:val="00C95E78"/>
    <w:rsid w:val="00C95EA6"/>
    <w:rsid w:val="00C96BC7"/>
    <w:rsid w:val="00C96F31"/>
    <w:rsid w:val="00C970CC"/>
    <w:rsid w:val="00C97B68"/>
    <w:rsid w:val="00CA0237"/>
    <w:rsid w:val="00CA09A5"/>
    <w:rsid w:val="00CA0EFF"/>
    <w:rsid w:val="00CA1A57"/>
    <w:rsid w:val="00CA1B39"/>
    <w:rsid w:val="00CA2788"/>
    <w:rsid w:val="00CA28CE"/>
    <w:rsid w:val="00CA2C76"/>
    <w:rsid w:val="00CA364B"/>
    <w:rsid w:val="00CA382A"/>
    <w:rsid w:val="00CA4095"/>
    <w:rsid w:val="00CA507A"/>
    <w:rsid w:val="00CA510C"/>
    <w:rsid w:val="00CA5C1B"/>
    <w:rsid w:val="00CA6120"/>
    <w:rsid w:val="00CA64A3"/>
    <w:rsid w:val="00CA68AF"/>
    <w:rsid w:val="00CA69A2"/>
    <w:rsid w:val="00CA7B6E"/>
    <w:rsid w:val="00CB133B"/>
    <w:rsid w:val="00CB1591"/>
    <w:rsid w:val="00CB1A8C"/>
    <w:rsid w:val="00CB316A"/>
    <w:rsid w:val="00CB37D9"/>
    <w:rsid w:val="00CB43B7"/>
    <w:rsid w:val="00CB4BB1"/>
    <w:rsid w:val="00CB4E49"/>
    <w:rsid w:val="00CB5455"/>
    <w:rsid w:val="00CB5ACE"/>
    <w:rsid w:val="00CB5B21"/>
    <w:rsid w:val="00CB5BA5"/>
    <w:rsid w:val="00CB632D"/>
    <w:rsid w:val="00CB681B"/>
    <w:rsid w:val="00CB6EF0"/>
    <w:rsid w:val="00CB7DA1"/>
    <w:rsid w:val="00CC004D"/>
    <w:rsid w:val="00CC033D"/>
    <w:rsid w:val="00CC05FE"/>
    <w:rsid w:val="00CC0897"/>
    <w:rsid w:val="00CC0C9E"/>
    <w:rsid w:val="00CC15E8"/>
    <w:rsid w:val="00CC19DE"/>
    <w:rsid w:val="00CC19F4"/>
    <w:rsid w:val="00CC1CA9"/>
    <w:rsid w:val="00CC21F5"/>
    <w:rsid w:val="00CC2846"/>
    <w:rsid w:val="00CC2931"/>
    <w:rsid w:val="00CC351D"/>
    <w:rsid w:val="00CC35FF"/>
    <w:rsid w:val="00CC3C4E"/>
    <w:rsid w:val="00CC3EB9"/>
    <w:rsid w:val="00CC4153"/>
    <w:rsid w:val="00CC495C"/>
    <w:rsid w:val="00CC4C9C"/>
    <w:rsid w:val="00CC4D7C"/>
    <w:rsid w:val="00CC4F0B"/>
    <w:rsid w:val="00CC57AF"/>
    <w:rsid w:val="00CC5E5B"/>
    <w:rsid w:val="00CC6126"/>
    <w:rsid w:val="00CC6717"/>
    <w:rsid w:val="00CC67F4"/>
    <w:rsid w:val="00CC6E55"/>
    <w:rsid w:val="00CC6FEE"/>
    <w:rsid w:val="00CC748D"/>
    <w:rsid w:val="00CC76E2"/>
    <w:rsid w:val="00CC7D39"/>
    <w:rsid w:val="00CD0937"/>
    <w:rsid w:val="00CD09A6"/>
    <w:rsid w:val="00CD110F"/>
    <w:rsid w:val="00CD1833"/>
    <w:rsid w:val="00CD2061"/>
    <w:rsid w:val="00CD24EB"/>
    <w:rsid w:val="00CD25ED"/>
    <w:rsid w:val="00CD33C3"/>
    <w:rsid w:val="00CD341E"/>
    <w:rsid w:val="00CD3782"/>
    <w:rsid w:val="00CD3854"/>
    <w:rsid w:val="00CD40DB"/>
    <w:rsid w:val="00CD440D"/>
    <w:rsid w:val="00CD476A"/>
    <w:rsid w:val="00CD484F"/>
    <w:rsid w:val="00CD4E1F"/>
    <w:rsid w:val="00CD6051"/>
    <w:rsid w:val="00CD6DB7"/>
    <w:rsid w:val="00CD72AB"/>
    <w:rsid w:val="00CE001B"/>
    <w:rsid w:val="00CE055B"/>
    <w:rsid w:val="00CE0658"/>
    <w:rsid w:val="00CE1391"/>
    <w:rsid w:val="00CE2025"/>
    <w:rsid w:val="00CE2061"/>
    <w:rsid w:val="00CE20DF"/>
    <w:rsid w:val="00CE2B5F"/>
    <w:rsid w:val="00CE2B68"/>
    <w:rsid w:val="00CE34C7"/>
    <w:rsid w:val="00CE3516"/>
    <w:rsid w:val="00CE386C"/>
    <w:rsid w:val="00CE3C4A"/>
    <w:rsid w:val="00CE4542"/>
    <w:rsid w:val="00CE4555"/>
    <w:rsid w:val="00CE4B1C"/>
    <w:rsid w:val="00CE51FF"/>
    <w:rsid w:val="00CE5442"/>
    <w:rsid w:val="00CE54D6"/>
    <w:rsid w:val="00CE593C"/>
    <w:rsid w:val="00CE5F78"/>
    <w:rsid w:val="00CE6298"/>
    <w:rsid w:val="00CE70DA"/>
    <w:rsid w:val="00CE713F"/>
    <w:rsid w:val="00CE71AD"/>
    <w:rsid w:val="00CE736D"/>
    <w:rsid w:val="00CE763B"/>
    <w:rsid w:val="00CE7D60"/>
    <w:rsid w:val="00CF0286"/>
    <w:rsid w:val="00CF0289"/>
    <w:rsid w:val="00CF0495"/>
    <w:rsid w:val="00CF0BA5"/>
    <w:rsid w:val="00CF0C7C"/>
    <w:rsid w:val="00CF0C9D"/>
    <w:rsid w:val="00CF1980"/>
    <w:rsid w:val="00CF2520"/>
    <w:rsid w:val="00CF25D6"/>
    <w:rsid w:val="00CF2F78"/>
    <w:rsid w:val="00CF2FDF"/>
    <w:rsid w:val="00CF318B"/>
    <w:rsid w:val="00CF31A5"/>
    <w:rsid w:val="00CF33E0"/>
    <w:rsid w:val="00CF3EB8"/>
    <w:rsid w:val="00CF44E3"/>
    <w:rsid w:val="00CF4B80"/>
    <w:rsid w:val="00CF53C4"/>
    <w:rsid w:val="00CF5605"/>
    <w:rsid w:val="00CF576B"/>
    <w:rsid w:val="00CF5C85"/>
    <w:rsid w:val="00CF5D55"/>
    <w:rsid w:val="00CF611D"/>
    <w:rsid w:val="00CF6CA2"/>
    <w:rsid w:val="00CF71E3"/>
    <w:rsid w:val="00CF74F0"/>
    <w:rsid w:val="00CF7B71"/>
    <w:rsid w:val="00D0076B"/>
    <w:rsid w:val="00D00F58"/>
    <w:rsid w:val="00D01038"/>
    <w:rsid w:val="00D012D1"/>
    <w:rsid w:val="00D0159B"/>
    <w:rsid w:val="00D02351"/>
    <w:rsid w:val="00D0239C"/>
    <w:rsid w:val="00D024F7"/>
    <w:rsid w:val="00D029D4"/>
    <w:rsid w:val="00D02C84"/>
    <w:rsid w:val="00D02D52"/>
    <w:rsid w:val="00D030A0"/>
    <w:rsid w:val="00D0349C"/>
    <w:rsid w:val="00D034D5"/>
    <w:rsid w:val="00D038B4"/>
    <w:rsid w:val="00D03DB8"/>
    <w:rsid w:val="00D0401C"/>
    <w:rsid w:val="00D045AB"/>
    <w:rsid w:val="00D05376"/>
    <w:rsid w:val="00D05B23"/>
    <w:rsid w:val="00D05F59"/>
    <w:rsid w:val="00D06006"/>
    <w:rsid w:val="00D064D3"/>
    <w:rsid w:val="00D070C9"/>
    <w:rsid w:val="00D07614"/>
    <w:rsid w:val="00D100E6"/>
    <w:rsid w:val="00D10151"/>
    <w:rsid w:val="00D10476"/>
    <w:rsid w:val="00D1052E"/>
    <w:rsid w:val="00D10530"/>
    <w:rsid w:val="00D10707"/>
    <w:rsid w:val="00D110F8"/>
    <w:rsid w:val="00D117BE"/>
    <w:rsid w:val="00D117F6"/>
    <w:rsid w:val="00D1189C"/>
    <w:rsid w:val="00D119CF"/>
    <w:rsid w:val="00D11F37"/>
    <w:rsid w:val="00D12016"/>
    <w:rsid w:val="00D12D83"/>
    <w:rsid w:val="00D1330E"/>
    <w:rsid w:val="00D13386"/>
    <w:rsid w:val="00D135EE"/>
    <w:rsid w:val="00D13B8E"/>
    <w:rsid w:val="00D13BF5"/>
    <w:rsid w:val="00D13DC3"/>
    <w:rsid w:val="00D1437E"/>
    <w:rsid w:val="00D146A9"/>
    <w:rsid w:val="00D14E66"/>
    <w:rsid w:val="00D151B3"/>
    <w:rsid w:val="00D15861"/>
    <w:rsid w:val="00D15C5F"/>
    <w:rsid w:val="00D16378"/>
    <w:rsid w:val="00D16458"/>
    <w:rsid w:val="00D16553"/>
    <w:rsid w:val="00D17224"/>
    <w:rsid w:val="00D1748E"/>
    <w:rsid w:val="00D17922"/>
    <w:rsid w:val="00D17BE1"/>
    <w:rsid w:val="00D2032B"/>
    <w:rsid w:val="00D20472"/>
    <w:rsid w:val="00D209FC"/>
    <w:rsid w:val="00D214BD"/>
    <w:rsid w:val="00D21809"/>
    <w:rsid w:val="00D2195C"/>
    <w:rsid w:val="00D22651"/>
    <w:rsid w:val="00D2346F"/>
    <w:rsid w:val="00D234B8"/>
    <w:rsid w:val="00D23FA7"/>
    <w:rsid w:val="00D2445B"/>
    <w:rsid w:val="00D24774"/>
    <w:rsid w:val="00D24779"/>
    <w:rsid w:val="00D24A0E"/>
    <w:rsid w:val="00D24A23"/>
    <w:rsid w:val="00D24EAB"/>
    <w:rsid w:val="00D25573"/>
    <w:rsid w:val="00D259E2"/>
    <w:rsid w:val="00D25AFA"/>
    <w:rsid w:val="00D25DB6"/>
    <w:rsid w:val="00D260B1"/>
    <w:rsid w:val="00D2656F"/>
    <w:rsid w:val="00D267A4"/>
    <w:rsid w:val="00D26848"/>
    <w:rsid w:val="00D26E13"/>
    <w:rsid w:val="00D27584"/>
    <w:rsid w:val="00D275E3"/>
    <w:rsid w:val="00D27CCA"/>
    <w:rsid w:val="00D27E03"/>
    <w:rsid w:val="00D303D0"/>
    <w:rsid w:val="00D30F32"/>
    <w:rsid w:val="00D31084"/>
    <w:rsid w:val="00D31255"/>
    <w:rsid w:val="00D313F9"/>
    <w:rsid w:val="00D31405"/>
    <w:rsid w:val="00D31BE8"/>
    <w:rsid w:val="00D31FCC"/>
    <w:rsid w:val="00D3223F"/>
    <w:rsid w:val="00D32C48"/>
    <w:rsid w:val="00D32D75"/>
    <w:rsid w:val="00D32F9D"/>
    <w:rsid w:val="00D331C2"/>
    <w:rsid w:val="00D33936"/>
    <w:rsid w:val="00D33A9A"/>
    <w:rsid w:val="00D33B8E"/>
    <w:rsid w:val="00D33C04"/>
    <w:rsid w:val="00D33D1E"/>
    <w:rsid w:val="00D341CC"/>
    <w:rsid w:val="00D346BF"/>
    <w:rsid w:val="00D34EAD"/>
    <w:rsid w:val="00D34F80"/>
    <w:rsid w:val="00D35074"/>
    <w:rsid w:val="00D3567C"/>
    <w:rsid w:val="00D35722"/>
    <w:rsid w:val="00D36637"/>
    <w:rsid w:val="00D368E9"/>
    <w:rsid w:val="00D36CB3"/>
    <w:rsid w:val="00D37446"/>
    <w:rsid w:val="00D376A0"/>
    <w:rsid w:val="00D400FA"/>
    <w:rsid w:val="00D402EF"/>
    <w:rsid w:val="00D40AF0"/>
    <w:rsid w:val="00D40B5B"/>
    <w:rsid w:val="00D40D63"/>
    <w:rsid w:val="00D4224E"/>
    <w:rsid w:val="00D42761"/>
    <w:rsid w:val="00D4284B"/>
    <w:rsid w:val="00D435A8"/>
    <w:rsid w:val="00D43D3F"/>
    <w:rsid w:val="00D43F8D"/>
    <w:rsid w:val="00D44504"/>
    <w:rsid w:val="00D44D17"/>
    <w:rsid w:val="00D454E3"/>
    <w:rsid w:val="00D455B4"/>
    <w:rsid w:val="00D45796"/>
    <w:rsid w:val="00D45D6E"/>
    <w:rsid w:val="00D46763"/>
    <w:rsid w:val="00D46951"/>
    <w:rsid w:val="00D46AB1"/>
    <w:rsid w:val="00D46C64"/>
    <w:rsid w:val="00D46DF6"/>
    <w:rsid w:val="00D475D0"/>
    <w:rsid w:val="00D47734"/>
    <w:rsid w:val="00D47A05"/>
    <w:rsid w:val="00D5015D"/>
    <w:rsid w:val="00D501C9"/>
    <w:rsid w:val="00D50593"/>
    <w:rsid w:val="00D50CB9"/>
    <w:rsid w:val="00D50EEE"/>
    <w:rsid w:val="00D51374"/>
    <w:rsid w:val="00D5153E"/>
    <w:rsid w:val="00D51A3C"/>
    <w:rsid w:val="00D51FF8"/>
    <w:rsid w:val="00D52094"/>
    <w:rsid w:val="00D52A95"/>
    <w:rsid w:val="00D52C99"/>
    <w:rsid w:val="00D52CEF"/>
    <w:rsid w:val="00D530C0"/>
    <w:rsid w:val="00D536F3"/>
    <w:rsid w:val="00D53FAF"/>
    <w:rsid w:val="00D54AAA"/>
    <w:rsid w:val="00D54F76"/>
    <w:rsid w:val="00D55A51"/>
    <w:rsid w:val="00D561CE"/>
    <w:rsid w:val="00D565E8"/>
    <w:rsid w:val="00D577A3"/>
    <w:rsid w:val="00D61404"/>
    <w:rsid w:val="00D61704"/>
    <w:rsid w:val="00D61B45"/>
    <w:rsid w:val="00D61F77"/>
    <w:rsid w:val="00D621C8"/>
    <w:rsid w:val="00D6224A"/>
    <w:rsid w:val="00D625A1"/>
    <w:rsid w:val="00D626D1"/>
    <w:rsid w:val="00D62820"/>
    <w:rsid w:val="00D62F0F"/>
    <w:rsid w:val="00D63106"/>
    <w:rsid w:val="00D63BB1"/>
    <w:rsid w:val="00D64848"/>
    <w:rsid w:val="00D64B92"/>
    <w:rsid w:val="00D64EE3"/>
    <w:rsid w:val="00D65A87"/>
    <w:rsid w:val="00D65E0F"/>
    <w:rsid w:val="00D66776"/>
    <w:rsid w:val="00D66EE7"/>
    <w:rsid w:val="00D67052"/>
    <w:rsid w:val="00D675A0"/>
    <w:rsid w:val="00D70057"/>
    <w:rsid w:val="00D70087"/>
    <w:rsid w:val="00D70271"/>
    <w:rsid w:val="00D710D7"/>
    <w:rsid w:val="00D7113C"/>
    <w:rsid w:val="00D718A1"/>
    <w:rsid w:val="00D7199B"/>
    <w:rsid w:val="00D71D7B"/>
    <w:rsid w:val="00D721FE"/>
    <w:rsid w:val="00D726E1"/>
    <w:rsid w:val="00D72757"/>
    <w:rsid w:val="00D72AFB"/>
    <w:rsid w:val="00D735B3"/>
    <w:rsid w:val="00D73BE9"/>
    <w:rsid w:val="00D73D7B"/>
    <w:rsid w:val="00D73FDD"/>
    <w:rsid w:val="00D740D0"/>
    <w:rsid w:val="00D7428D"/>
    <w:rsid w:val="00D74398"/>
    <w:rsid w:val="00D74416"/>
    <w:rsid w:val="00D74932"/>
    <w:rsid w:val="00D75796"/>
    <w:rsid w:val="00D75A11"/>
    <w:rsid w:val="00D75CD9"/>
    <w:rsid w:val="00D762BC"/>
    <w:rsid w:val="00D77D90"/>
    <w:rsid w:val="00D800BD"/>
    <w:rsid w:val="00D8077F"/>
    <w:rsid w:val="00D8086B"/>
    <w:rsid w:val="00D80C5A"/>
    <w:rsid w:val="00D82F11"/>
    <w:rsid w:val="00D83029"/>
    <w:rsid w:val="00D830EA"/>
    <w:rsid w:val="00D8339B"/>
    <w:rsid w:val="00D844B1"/>
    <w:rsid w:val="00D84CB8"/>
    <w:rsid w:val="00D85020"/>
    <w:rsid w:val="00D853E9"/>
    <w:rsid w:val="00D8554C"/>
    <w:rsid w:val="00D859CD"/>
    <w:rsid w:val="00D859D3"/>
    <w:rsid w:val="00D85FE2"/>
    <w:rsid w:val="00D865DF"/>
    <w:rsid w:val="00D86B40"/>
    <w:rsid w:val="00D872FC"/>
    <w:rsid w:val="00D8752E"/>
    <w:rsid w:val="00D87D89"/>
    <w:rsid w:val="00D90179"/>
    <w:rsid w:val="00D90307"/>
    <w:rsid w:val="00D90325"/>
    <w:rsid w:val="00D903D1"/>
    <w:rsid w:val="00D9059C"/>
    <w:rsid w:val="00D908A9"/>
    <w:rsid w:val="00D90D5D"/>
    <w:rsid w:val="00D90FCB"/>
    <w:rsid w:val="00D912AD"/>
    <w:rsid w:val="00D91318"/>
    <w:rsid w:val="00D913AD"/>
    <w:rsid w:val="00D9143E"/>
    <w:rsid w:val="00D916D1"/>
    <w:rsid w:val="00D91772"/>
    <w:rsid w:val="00D92617"/>
    <w:rsid w:val="00D92C73"/>
    <w:rsid w:val="00D92FFB"/>
    <w:rsid w:val="00D93664"/>
    <w:rsid w:val="00D93EF2"/>
    <w:rsid w:val="00D94674"/>
    <w:rsid w:val="00D94A73"/>
    <w:rsid w:val="00D95719"/>
    <w:rsid w:val="00D95810"/>
    <w:rsid w:val="00D95C17"/>
    <w:rsid w:val="00D968CA"/>
    <w:rsid w:val="00D96A7A"/>
    <w:rsid w:val="00D96C10"/>
    <w:rsid w:val="00D97218"/>
    <w:rsid w:val="00D9722D"/>
    <w:rsid w:val="00D97BD7"/>
    <w:rsid w:val="00DA08C7"/>
    <w:rsid w:val="00DA11A4"/>
    <w:rsid w:val="00DA1633"/>
    <w:rsid w:val="00DA1688"/>
    <w:rsid w:val="00DA1A5F"/>
    <w:rsid w:val="00DA1BA0"/>
    <w:rsid w:val="00DA2277"/>
    <w:rsid w:val="00DA2C03"/>
    <w:rsid w:val="00DA3919"/>
    <w:rsid w:val="00DA43F5"/>
    <w:rsid w:val="00DA5A1A"/>
    <w:rsid w:val="00DA5A58"/>
    <w:rsid w:val="00DA5FE4"/>
    <w:rsid w:val="00DA63F8"/>
    <w:rsid w:val="00DA656A"/>
    <w:rsid w:val="00DA6874"/>
    <w:rsid w:val="00DA71B8"/>
    <w:rsid w:val="00DA71DC"/>
    <w:rsid w:val="00DA75D1"/>
    <w:rsid w:val="00DA762D"/>
    <w:rsid w:val="00DA79E1"/>
    <w:rsid w:val="00DB00FD"/>
    <w:rsid w:val="00DB0B62"/>
    <w:rsid w:val="00DB0BC2"/>
    <w:rsid w:val="00DB112B"/>
    <w:rsid w:val="00DB213E"/>
    <w:rsid w:val="00DB222A"/>
    <w:rsid w:val="00DB2273"/>
    <w:rsid w:val="00DB275C"/>
    <w:rsid w:val="00DB2F0B"/>
    <w:rsid w:val="00DB30C7"/>
    <w:rsid w:val="00DB3249"/>
    <w:rsid w:val="00DB366A"/>
    <w:rsid w:val="00DB3781"/>
    <w:rsid w:val="00DB3A71"/>
    <w:rsid w:val="00DB3C59"/>
    <w:rsid w:val="00DB3D6D"/>
    <w:rsid w:val="00DB404E"/>
    <w:rsid w:val="00DB43E8"/>
    <w:rsid w:val="00DB492D"/>
    <w:rsid w:val="00DB4D9E"/>
    <w:rsid w:val="00DB51C6"/>
    <w:rsid w:val="00DB5930"/>
    <w:rsid w:val="00DB5F8D"/>
    <w:rsid w:val="00DB5FF6"/>
    <w:rsid w:val="00DB66AE"/>
    <w:rsid w:val="00DB6F5D"/>
    <w:rsid w:val="00DB7113"/>
    <w:rsid w:val="00DB738E"/>
    <w:rsid w:val="00DC01A5"/>
    <w:rsid w:val="00DC06E1"/>
    <w:rsid w:val="00DC094D"/>
    <w:rsid w:val="00DC0DA9"/>
    <w:rsid w:val="00DC0E1D"/>
    <w:rsid w:val="00DC13AC"/>
    <w:rsid w:val="00DC1E06"/>
    <w:rsid w:val="00DC28F0"/>
    <w:rsid w:val="00DC307E"/>
    <w:rsid w:val="00DC30EF"/>
    <w:rsid w:val="00DC42EE"/>
    <w:rsid w:val="00DC4435"/>
    <w:rsid w:val="00DC44AE"/>
    <w:rsid w:val="00DC46F4"/>
    <w:rsid w:val="00DC47F0"/>
    <w:rsid w:val="00DC48A2"/>
    <w:rsid w:val="00DC4BD3"/>
    <w:rsid w:val="00DC5050"/>
    <w:rsid w:val="00DC50EA"/>
    <w:rsid w:val="00DC5459"/>
    <w:rsid w:val="00DC546C"/>
    <w:rsid w:val="00DC5A57"/>
    <w:rsid w:val="00DC5DAF"/>
    <w:rsid w:val="00DC62CF"/>
    <w:rsid w:val="00DC63EA"/>
    <w:rsid w:val="00DC6500"/>
    <w:rsid w:val="00DC6C35"/>
    <w:rsid w:val="00DC6E86"/>
    <w:rsid w:val="00DC73DA"/>
    <w:rsid w:val="00DC75DF"/>
    <w:rsid w:val="00DC7E0F"/>
    <w:rsid w:val="00DC7FC3"/>
    <w:rsid w:val="00DD005E"/>
    <w:rsid w:val="00DD094F"/>
    <w:rsid w:val="00DD10AE"/>
    <w:rsid w:val="00DD146F"/>
    <w:rsid w:val="00DD15D8"/>
    <w:rsid w:val="00DD163E"/>
    <w:rsid w:val="00DD1A61"/>
    <w:rsid w:val="00DD21C2"/>
    <w:rsid w:val="00DD2C81"/>
    <w:rsid w:val="00DD2E6E"/>
    <w:rsid w:val="00DD3003"/>
    <w:rsid w:val="00DD3190"/>
    <w:rsid w:val="00DD34A5"/>
    <w:rsid w:val="00DD383A"/>
    <w:rsid w:val="00DD3940"/>
    <w:rsid w:val="00DD3DB2"/>
    <w:rsid w:val="00DD3EEF"/>
    <w:rsid w:val="00DD4A5B"/>
    <w:rsid w:val="00DD4ACF"/>
    <w:rsid w:val="00DD4EB5"/>
    <w:rsid w:val="00DD4F59"/>
    <w:rsid w:val="00DD4FDB"/>
    <w:rsid w:val="00DD526F"/>
    <w:rsid w:val="00DD56DD"/>
    <w:rsid w:val="00DD5A18"/>
    <w:rsid w:val="00DD5A33"/>
    <w:rsid w:val="00DD6732"/>
    <w:rsid w:val="00DD73A3"/>
    <w:rsid w:val="00DE05C1"/>
    <w:rsid w:val="00DE10AD"/>
    <w:rsid w:val="00DE11E0"/>
    <w:rsid w:val="00DE1507"/>
    <w:rsid w:val="00DE1511"/>
    <w:rsid w:val="00DE1903"/>
    <w:rsid w:val="00DE227A"/>
    <w:rsid w:val="00DE2F4C"/>
    <w:rsid w:val="00DE3863"/>
    <w:rsid w:val="00DE3D51"/>
    <w:rsid w:val="00DE40CD"/>
    <w:rsid w:val="00DE40E3"/>
    <w:rsid w:val="00DE45A1"/>
    <w:rsid w:val="00DE4CA9"/>
    <w:rsid w:val="00DE4E57"/>
    <w:rsid w:val="00DE53DD"/>
    <w:rsid w:val="00DE55EC"/>
    <w:rsid w:val="00DE5BEB"/>
    <w:rsid w:val="00DE5D61"/>
    <w:rsid w:val="00DE5E61"/>
    <w:rsid w:val="00DE6748"/>
    <w:rsid w:val="00DE6C0F"/>
    <w:rsid w:val="00DE6ECE"/>
    <w:rsid w:val="00DE7D16"/>
    <w:rsid w:val="00DF004D"/>
    <w:rsid w:val="00DF0BA0"/>
    <w:rsid w:val="00DF0C6C"/>
    <w:rsid w:val="00DF133A"/>
    <w:rsid w:val="00DF164C"/>
    <w:rsid w:val="00DF16E9"/>
    <w:rsid w:val="00DF17AE"/>
    <w:rsid w:val="00DF187D"/>
    <w:rsid w:val="00DF2185"/>
    <w:rsid w:val="00DF2591"/>
    <w:rsid w:val="00DF313D"/>
    <w:rsid w:val="00DF341C"/>
    <w:rsid w:val="00DF4296"/>
    <w:rsid w:val="00DF51CB"/>
    <w:rsid w:val="00DF5427"/>
    <w:rsid w:val="00DF5670"/>
    <w:rsid w:val="00DF56DA"/>
    <w:rsid w:val="00DF5802"/>
    <w:rsid w:val="00DF5A8B"/>
    <w:rsid w:val="00DF612D"/>
    <w:rsid w:val="00DF62FA"/>
    <w:rsid w:val="00DF67EC"/>
    <w:rsid w:val="00DF7004"/>
    <w:rsid w:val="00DF7102"/>
    <w:rsid w:val="00DF7E2A"/>
    <w:rsid w:val="00E0085C"/>
    <w:rsid w:val="00E008A1"/>
    <w:rsid w:val="00E00937"/>
    <w:rsid w:val="00E011E9"/>
    <w:rsid w:val="00E01202"/>
    <w:rsid w:val="00E0125E"/>
    <w:rsid w:val="00E015D0"/>
    <w:rsid w:val="00E017E2"/>
    <w:rsid w:val="00E01D96"/>
    <w:rsid w:val="00E025B6"/>
    <w:rsid w:val="00E026DA"/>
    <w:rsid w:val="00E029A0"/>
    <w:rsid w:val="00E034DF"/>
    <w:rsid w:val="00E03848"/>
    <w:rsid w:val="00E03871"/>
    <w:rsid w:val="00E03982"/>
    <w:rsid w:val="00E03C9B"/>
    <w:rsid w:val="00E03F1C"/>
    <w:rsid w:val="00E04158"/>
    <w:rsid w:val="00E0470A"/>
    <w:rsid w:val="00E04ABF"/>
    <w:rsid w:val="00E05882"/>
    <w:rsid w:val="00E059C0"/>
    <w:rsid w:val="00E05D69"/>
    <w:rsid w:val="00E0619B"/>
    <w:rsid w:val="00E0633F"/>
    <w:rsid w:val="00E068C5"/>
    <w:rsid w:val="00E0775D"/>
    <w:rsid w:val="00E0787E"/>
    <w:rsid w:val="00E07BAA"/>
    <w:rsid w:val="00E07E52"/>
    <w:rsid w:val="00E10D06"/>
    <w:rsid w:val="00E10FE5"/>
    <w:rsid w:val="00E1128C"/>
    <w:rsid w:val="00E1173F"/>
    <w:rsid w:val="00E11D0A"/>
    <w:rsid w:val="00E12048"/>
    <w:rsid w:val="00E1284B"/>
    <w:rsid w:val="00E128BA"/>
    <w:rsid w:val="00E12FF6"/>
    <w:rsid w:val="00E13037"/>
    <w:rsid w:val="00E1340E"/>
    <w:rsid w:val="00E13896"/>
    <w:rsid w:val="00E143BB"/>
    <w:rsid w:val="00E14930"/>
    <w:rsid w:val="00E14BA0"/>
    <w:rsid w:val="00E14E46"/>
    <w:rsid w:val="00E1502D"/>
    <w:rsid w:val="00E1527D"/>
    <w:rsid w:val="00E1543A"/>
    <w:rsid w:val="00E157A6"/>
    <w:rsid w:val="00E1593B"/>
    <w:rsid w:val="00E15ABD"/>
    <w:rsid w:val="00E15C3C"/>
    <w:rsid w:val="00E17561"/>
    <w:rsid w:val="00E17600"/>
    <w:rsid w:val="00E1790D"/>
    <w:rsid w:val="00E17A68"/>
    <w:rsid w:val="00E17EE1"/>
    <w:rsid w:val="00E2007C"/>
    <w:rsid w:val="00E20324"/>
    <w:rsid w:val="00E20A51"/>
    <w:rsid w:val="00E20B5A"/>
    <w:rsid w:val="00E20E9D"/>
    <w:rsid w:val="00E21705"/>
    <w:rsid w:val="00E21924"/>
    <w:rsid w:val="00E24472"/>
    <w:rsid w:val="00E2449C"/>
    <w:rsid w:val="00E24542"/>
    <w:rsid w:val="00E24A37"/>
    <w:rsid w:val="00E24D5F"/>
    <w:rsid w:val="00E2545C"/>
    <w:rsid w:val="00E261E2"/>
    <w:rsid w:val="00E26225"/>
    <w:rsid w:val="00E2632D"/>
    <w:rsid w:val="00E26D36"/>
    <w:rsid w:val="00E2732D"/>
    <w:rsid w:val="00E278BB"/>
    <w:rsid w:val="00E27BA8"/>
    <w:rsid w:val="00E27D63"/>
    <w:rsid w:val="00E3046D"/>
    <w:rsid w:val="00E30EF1"/>
    <w:rsid w:val="00E31219"/>
    <w:rsid w:val="00E31807"/>
    <w:rsid w:val="00E31C41"/>
    <w:rsid w:val="00E31FC8"/>
    <w:rsid w:val="00E328A7"/>
    <w:rsid w:val="00E3293C"/>
    <w:rsid w:val="00E32E29"/>
    <w:rsid w:val="00E33414"/>
    <w:rsid w:val="00E33A6E"/>
    <w:rsid w:val="00E33B81"/>
    <w:rsid w:val="00E343A8"/>
    <w:rsid w:val="00E34B49"/>
    <w:rsid w:val="00E35222"/>
    <w:rsid w:val="00E3537B"/>
    <w:rsid w:val="00E3564A"/>
    <w:rsid w:val="00E3575D"/>
    <w:rsid w:val="00E35D07"/>
    <w:rsid w:val="00E35DC8"/>
    <w:rsid w:val="00E36028"/>
    <w:rsid w:val="00E36065"/>
    <w:rsid w:val="00E36546"/>
    <w:rsid w:val="00E3683F"/>
    <w:rsid w:val="00E3733B"/>
    <w:rsid w:val="00E37E0F"/>
    <w:rsid w:val="00E41214"/>
    <w:rsid w:val="00E416C2"/>
    <w:rsid w:val="00E41AF3"/>
    <w:rsid w:val="00E431E4"/>
    <w:rsid w:val="00E436AD"/>
    <w:rsid w:val="00E44190"/>
    <w:rsid w:val="00E44220"/>
    <w:rsid w:val="00E44295"/>
    <w:rsid w:val="00E44591"/>
    <w:rsid w:val="00E4495C"/>
    <w:rsid w:val="00E44B27"/>
    <w:rsid w:val="00E44EB3"/>
    <w:rsid w:val="00E44F19"/>
    <w:rsid w:val="00E451E9"/>
    <w:rsid w:val="00E45C81"/>
    <w:rsid w:val="00E46698"/>
    <w:rsid w:val="00E4716B"/>
    <w:rsid w:val="00E47401"/>
    <w:rsid w:val="00E47745"/>
    <w:rsid w:val="00E47871"/>
    <w:rsid w:val="00E50633"/>
    <w:rsid w:val="00E507E6"/>
    <w:rsid w:val="00E510D7"/>
    <w:rsid w:val="00E515B5"/>
    <w:rsid w:val="00E516D7"/>
    <w:rsid w:val="00E51908"/>
    <w:rsid w:val="00E522EC"/>
    <w:rsid w:val="00E526A9"/>
    <w:rsid w:val="00E52F85"/>
    <w:rsid w:val="00E535AA"/>
    <w:rsid w:val="00E53846"/>
    <w:rsid w:val="00E5384F"/>
    <w:rsid w:val="00E53B21"/>
    <w:rsid w:val="00E53F0F"/>
    <w:rsid w:val="00E544CB"/>
    <w:rsid w:val="00E5496A"/>
    <w:rsid w:val="00E54B7B"/>
    <w:rsid w:val="00E55D70"/>
    <w:rsid w:val="00E57172"/>
    <w:rsid w:val="00E6013D"/>
    <w:rsid w:val="00E609E1"/>
    <w:rsid w:val="00E60B3D"/>
    <w:rsid w:val="00E61217"/>
    <w:rsid w:val="00E61329"/>
    <w:rsid w:val="00E61869"/>
    <w:rsid w:val="00E61E6F"/>
    <w:rsid w:val="00E62AA4"/>
    <w:rsid w:val="00E62FB0"/>
    <w:rsid w:val="00E6394E"/>
    <w:rsid w:val="00E63C04"/>
    <w:rsid w:val="00E64FCA"/>
    <w:rsid w:val="00E65A31"/>
    <w:rsid w:val="00E67112"/>
    <w:rsid w:val="00E678AC"/>
    <w:rsid w:val="00E67B8B"/>
    <w:rsid w:val="00E70484"/>
    <w:rsid w:val="00E7073C"/>
    <w:rsid w:val="00E70807"/>
    <w:rsid w:val="00E7094E"/>
    <w:rsid w:val="00E70C2E"/>
    <w:rsid w:val="00E70E61"/>
    <w:rsid w:val="00E70FBE"/>
    <w:rsid w:val="00E71049"/>
    <w:rsid w:val="00E71269"/>
    <w:rsid w:val="00E7136C"/>
    <w:rsid w:val="00E713F0"/>
    <w:rsid w:val="00E72297"/>
    <w:rsid w:val="00E72E55"/>
    <w:rsid w:val="00E731F5"/>
    <w:rsid w:val="00E735DB"/>
    <w:rsid w:val="00E73A83"/>
    <w:rsid w:val="00E73F78"/>
    <w:rsid w:val="00E7437C"/>
    <w:rsid w:val="00E74588"/>
    <w:rsid w:val="00E74EAD"/>
    <w:rsid w:val="00E7515A"/>
    <w:rsid w:val="00E7526A"/>
    <w:rsid w:val="00E760B6"/>
    <w:rsid w:val="00E76999"/>
    <w:rsid w:val="00E76FF2"/>
    <w:rsid w:val="00E772D1"/>
    <w:rsid w:val="00E77B30"/>
    <w:rsid w:val="00E8007A"/>
    <w:rsid w:val="00E80578"/>
    <w:rsid w:val="00E80DCA"/>
    <w:rsid w:val="00E81875"/>
    <w:rsid w:val="00E81B3F"/>
    <w:rsid w:val="00E82CCA"/>
    <w:rsid w:val="00E82EC4"/>
    <w:rsid w:val="00E8329A"/>
    <w:rsid w:val="00E83DC2"/>
    <w:rsid w:val="00E84007"/>
    <w:rsid w:val="00E84433"/>
    <w:rsid w:val="00E845B0"/>
    <w:rsid w:val="00E8488A"/>
    <w:rsid w:val="00E8490F"/>
    <w:rsid w:val="00E857F0"/>
    <w:rsid w:val="00E86A4D"/>
    <w:rsid w:val="00E8724E"/>
    <w:rsid w:val="00E87A9E"/>
    <w:rsid w:val="00E901A7"/>
    <w:rsid w:val="00E9068A"/>
    <w:rsid w:val="00E90831"/>
    <w:rsid w:val="00E90CD0"/>
    <w:rsid w:val="00E91059"/>
    <w:rsid w:val="00E912CC"/>
    <w:rsid w:val="00E91A74"/>
    <w:rsid w:val="00E91CB3"/>
    <w:rsid w:val="00E92151"/>
    <w:rsid w:val="00E924B2"/>
    <w:rsid w:val="00E92537"/>
    <w:rsid w:val="00E9291E"/>
    <w:rsid w:val="00E92EED"/>
    <w:rsid w:val="00E930B9"/>
    <w:rsid w:val="00E930BE"/>
    <w:rsid w:val="00E93204"/>
    <w:rsid w:val="00E93BC5"/>
    <w:rsid w:val="00E93F8E"/>
    <w:rsid w:val="00E9467B"/>
    <w:rsid w:val="00E94F01"/>
    <w:rsid w:val="00E95229"/>
    <w:rsid w:val="00E9676D"/>
    <w:rsid w:val="00E968FD"/>
    <w:rsid w:val="00E96E3E"/>
    <w:rsid w:val="00E9716F"/>
    <w:rsid w:val="00E97444"/>
    <w:rsid w:val="00E97730"/>
    <w:rsid w:val="00E977B2"/>
    <w:rsid w:val="00E97815"/>
    <w:rsid w:val="00E97C5F"/>
    <w:rsid w:val="00EA0725"/>
    <w:rsid w:val="00EA17F0"/>
    <w:rsid w:val="00EA1BA7"/>
    <w:rsid w:val="00EA2320"/>
    <w:rsid w:val="00EA2BCA"/>
    <w:rsid w:val="00EA2E31"/>
    <w:rsid w:val="00EA3BB4"/>
    <w:rsid w:val="00EA43FB"/>
    <w:rsid w:val="00EA5998"/>
    <w:rsid w:val="00EA6352"/>
    <w:rsid w:val="00EA6D7D"/>
    <w:rsid w:val="00EA74D4"/>
    <w:rsid w:val="00EA7864"/>
    <w:rsid w:val="00EA7E3C"/>
    <w:rsid w:val="00EB0A6E"/>
    <w:rsid w:val="00EB12B9"/>
    <w:rsid w:val="00EB19B8"/>
    <w:rsid w:val="00EB314E"/>
    <w:rsid w:val="00EB3BF5"/>
    <w:rsid w:val="00EB3CC9"/>
    <w:rsid w:val="00EB3E2E"/>
    <w:rsid w:val="00EB3EFF"/>
    <w:rsid w:val="00EB4131"/>
    <w:rsid w:val="00EB44EA"/>
    <w:rsid w:val="00EB609F"/>
    <w:rsid w:val="00EB6422"/>
    <w:rsid w:val="00EB6625"/>
    <w:rsid w:val="00EB6E25"/>
    <w:rsid w:val="00EB71F9"/>
    <w:rsid w:val="00EC0638"/>
    <w:rsid w:val="00EC0790"/>
    <w:rsid w:val="00EC171D"/>
    <w:rsid w:val="00EC1CE4"/>
    <w:rsid w:val="00EC1D26"/>
    <w:rsid w:val="00EC22F6"/>
    <w:rsid w:val="00EC39E7"/>
    <w:rsid w:val="00EC3E04"/>
    <w:rsid w:val="00EC4134"/>
    <w:rsid w:val="00EC45F5"/>
    <w:rsid w:val="00EC4A80"/>
    <w:rsid w:val="00EC4DA6"/>
    <w:rsid w:val="00EC4DF0"/>
    <w:rsid w:val="00EC4F1E"/>
    <w:rsid w:val="00EC517D"/>
    <w:rsid w:val="00EC590E"/>
    <w:rsid w:val="00EC74B3"/>
    <w:rsid w:val="00ED0507"/>
    <w:rsid w:val="00ED064D"/>
    <w:rsid w:val="00ED1674"/>
    <w:rsid w:val="00ED16B8"/>
    <w:rsid w:val="00ED1756"/>
    <w:rsid w:val="00ED21EF"/>
    <w:rsid w:val="00ED3C99"/>
    <w:rsid w:val="00ED42BF"/>
    <w:rsid w:val="00ED4E33"/>
    <w:rsid w:val="00ED4E4D"/>
    <w:rsid w:val="00ED506F"/>
    <w:rsid w:val="00ED5276"/>
    <w:rsid w:val="00ED5485"/>
    <w:rsid w:val="00ED5663"/>
    <w:rsid w:val="00ED613D"/>
    <w:rsid w:val="00ED6A73"/>
    <w:rsid w:val="00ED6DBB"/>
    <w:rsid w:val="00ED71AC"/>
    <w:rsid w:val="00ED785D"/>
    <w:rsid w:val="00ED78FB"/>
    <w:rsid w:val="00ED7A66"/>
    <w:rsid w:val="00ED7D3A"/>
    <w:rsid w:val="00EE05F6"/>
    <w:rsid w:val="00EE0DBD"/>
    <w:rsid w:val="00EE156B"/>
    <w:rsid w:val="00EE187B"/>
    <w:rsid w:val="00EE1B1E"/>
    <w:rsid w:val="00EE24A6"/>
    <w:rsid w:val="00EE2C37"/>
    <w:rsid w:val="00EE304A"/>
    <w:rsid w:val="00EE3148"/>
    <w:rsid w:val="00EE352F"/>
    <w:rsid w:val="00EE365C"/>
    <w:rsid w:val="00EE371C"/>
    <w:rsid w:val="00EE3CCD"/>
    <w:rsid w:val="00EE402E"/>
    <w:rsid w:val="00EE43D1"/>
    <w:rsid w:val="00EE4A0C"/>
    <w:rsid w:val="00EE4AA5"/>
    <w:rsid w:val="00EE4AF9"/>
    <w:rsid w:val="00EE50A1"/>
    <w:rsid w:val="00EE53D2"/>
    <w:rsid w:val="00EE541B"/>
    <w:rsid w:val="00EE5FB8"/>
    <w:rsid w:val="00EE6A2B"/>
    <w:rsid w:val="00EE6DEF"/>
    <w:rsid w:val="00EE6FAB"/>
    <w:rsid w:val="00EE7365"/>
    <w:rsid w:val="00EE790A"/>
    <w:rsid w:val="00EF057D"/>
    <w:rsid w:val="00EF0BC0"/>
    <w:rsid w:val="00EF169F"/>
    <w:rsid w:val="00EF1A5F"/>
    <w:rsid w:val="00EF1B0D"/>
    <w:rsid w:val="00EF20EF"/>
    <w:rsid w:val="00EF27E3"/>
    <w:rsid w:val="00EF287F"/>
    <w:rsid w:val="00EF2FAF"/>
    <w:rsid w:val="00EF3DA5"/>
    <w:rsid w:val="00EF43A2"/>
    <w:rsid w:val="00EF45C7"/>
    <w:rsid w:val="00EF48DC"/>
    <w:rsid w:val="00EF4BC4"/>
    <w:rsid w:val="00EF4E50"/>
    <w:rsid w:val="00EF5092"/>
    <w:rsid w:val="00EF514C"/>
    <w:rsid w:val="00EF5296"/>
    <w:rsid w:val="00EF54BB"/>
    <w:rsid w:val="00EF54FD"/>
    <w:rsid w:val="00EF5754"/>
    <w:rsid w:val="00EF5B47"/>
    <w:rsid w:val="00EF66DA"/>
    <w:rsid w:val="00EF6794"/>
    <w:rsid w:val="00EF6A13"/>
    <w:rsid w:val="00EF6FD9"/>
    <w:rsid w:val="00EF747D"/>
    <w:rsid w:val="00EF760F"/>
    <w:rsid w:val="00EF77FF"/>
    <w:rsid w:val="00EF7801"/>
    <w:rsid w:val="00EF7AC8"/>
    <w:rsid w:val="00F0083C"/>
    <w:rsid w:val="00F00D3E"/>
    <w:rsid w:val="00F012C4"/>
    <w:rsid w:val="00F01326"/>
    <w:rsid w:val="00F01353"/>
    <w:rsid w:val="00F01AE1"/>
    <w:rsid w:val="00F0225E"/>
    <w:rsid w:val="00F0229E"/>
    <w:rsid w:val="00F0255E"/>
    <w:rsid w:val="00F026FB"/>
    <w:rsid w:val="00F0300A"/>
    <w:rsid w:val="00F030FD"/>
    <w:rsid w:val="00F0333C"/>
    <w:rsid w:val="00F0334D"/>
    <w:rsid w:val="00F034E8"/>
    <w:rsid w:val="00F039D1"/>
    <w:rsid w:val="00F0407B"/>
    <w:rsid w:val="00F04AFC"/>
    <w:rsid w:val="00F055B4"/>
    <w:rsid w:val="00F055ED"/>
    <w:rsid w:val="00F056E0"/>
    <w:rsid w:val="00F057E0"/>
    <w:rsid w:val="00F05DD0"/>
    <w:rsid w:val="00F0656B"/>
    <w:rsid w:val="00F06A0E"/>
    <w:rsid w:val="00F06AD8"/>
    <w:rsid w:val="00F06DE7"/>
    <w:rsid w:val="00F0783D"/>
    <w:rsid w:val="00F07B86"/>
    <w:rsid w:val="00F10358"/>
    <w:rsid w:val="00F10620"/>
    <w:rsid w:val="00F1072F"/>
    <w:rsid w:val="00F107A6"/>
    <w:rsid w:val="00F10922"/>
    <w:rsid w:val="00F10D76"/>
    <w:rsid w:val="00F11892"/>
    <w:rsid w:val="00F123E2"/>
    <w:rsid w:val="00F1276F"/>
    <w:rsid w:val="00F1287F"/>
    <w:rsid w:val="00F12BAE"/>
    <w:rsid w:val="00F13728"/>
    <w:rsid w:val="00F137B1"/>
    <w:rsid w:val="00F13F13"/>
    <w:rsid w:val="00F13F40"/>
    <w:rsid w:val="00F1438D"/>
    <w:rsid w:val="00F14D90"/>
    <w:rsid w:val="00F15505"/>
    <w:rsid w:val="00F15636"/>
    <w:rsid w:val="00F159B0"/>
    <w:rsid w:val="00F15DAC"/>
    <w:rsid w:val="00F15E52"/>
    <w:rsid w:val="00F15FD1"/>
    <w:rsid w:val="00F16101"/>
    <w:rsid w:val="00F16615"/>
    <w:rsid w:val="00F171A8"/>
    <w:rsid w:val="00F173E8"/>
    <w:rsid w:val="00F17439"/>
    <w:rsid w:val="00F1783C"/>
    <w:rsid w:val="00F17A6F"/>
    <w:rsid w:val="00F17C6C"/>
    <w:rsid w:val="00F202F5"/>
    <w:rsid w:val="00F20517"/>
    <w:rsid w:val="00F2199D"/>
    <w:rsid w:val="00F21AE6"/>
    <w:rsid w:val="00F21C90"/>
    <w:rsid w:val="00F21DBF"/>
    <w:rsid w:val="00F21F42"/>
    <w:rsid w:val="00F22EB5"/>
    <w:rsid w:val="00F23001"/>
    <w:rsid w:val="00F2316E"/>
    <w:rsid w:val="00F2393C"/>
    <w:rsid w:val="00F23D1D"/>
    <w:rsid w:val="00F246BC"/>
    <w:rsid w:val="00F24B91"/>
    <w:rsid w:val="00F24E99"/>
    <w:rsid w:val="00F255DE"/>
    <w:rsid w:val="00F2560D"/>
    <w:rsid w:val="00F25F9E"/>
    <w:rsid w:val="00F2744A"/>
    <w:rsid w:val="00F30660"/>
    <w:rsid w:val="00F30957"/>
    <w:rsid w:val="00F30F74"/>
    <w:rsid w:val="00F30FCE"/>
    <w:rsid w:val="00F3111E"/>
    <w:rsid w:val="00F31763"/>
    <w:rsid w:val="00F32091"/>
    <w:rsid w:val="00F320C1"/>
    <w:rsid w:val="00F32BEF"/>
    <w:rsid w:val="00F32D7B"/>
    <w:rsid w:val="00F33379"/>
    <w:rsid w:val="00F336EA"/>
    <w:rsid w:val="00F33D80"/>
    <w:rsid w:val="00F3426F"/>
    <w:rsid w:val="00F345F8"/>
    <w:rsid w:val="00F346B0"/>
    <w:rsid w:val="00F35002"/>
    <w:rsid w:val="00F35BB9"/>
    <w:rsid w:val="00F35DA6"/>
    <w:rsid w:val="00F365CF"/>
    <w:rsid w:val="00F367B5"/>
    <w:rsid w:val="00F36F7D"/>
    <w:rsid w:val="00F376C1"/>
    <w:rsid w:val="00F37A98"/>
    <w:rsid w:val="00F40905"/>
    <w:rsid w:val="00F40989"/>
    <w:rsid w:val="00F413FA"/>
    <w:rsid w:val="00F417FD"/>
    <w:rsid w:val="00F42157"/>
    <w:rsid w:val="00F424A6"/>
    <w:rsid w:val="00F42755"/>
    <w:rsid w:val="00F43C22"/>
    <w:rsid w:val="00F44284"/>
    <w:rsid w:val="00F4563C"/>
    <w:rsid w:val="00F457F7"/>
    <w:rsid w:val="00F45E70"/>
    <w:rsid w:val="00F47070"/>
    <w:rsid w:val="00F47ACF"/>
    <w:rsid w:val="00F47BBC"/>
    <w:rsid w:val="00F47CC6"/>
    <w:rsid w:val="00F47D3D"/>
    <w:rsid w:val="00F50679"/>
    <w:rsid w:val="00F5067C"/>
    <w:rsid w:val="00F5141A"/>
    <w:rsid w:val="00F51650"/>
    <w:rsid w:val="00F519C3"/>
    <w:rsid w:val="00F51E10"/>
    <w:rsid w:val="00F5231A"/>
    <w:rsid w:val="00F5252F"/>
    <w:rsid w:val="00F52865"/>
    <w:rsid w:val="00F52A87"/>
    <w:rsid w:val="00F52AF0"/>
    <w:rsid w:val="00F52EE5"/>
    <w:rsid w:val="00F53A11"/>
    <w:rsid w:val="00F53C01"/>
    <w:rsid w:val="00F53D36"/>
    <w:rsid w:val="00F53DF0"/>
    <w:rsid w:val="00F54216"/>
    <w:rsid w:val="00F545CF"/>
    <w:rsid w:val="00F54BEB"/>
    <w:rsid w:val="00F54C8B"/>
    <w:rsid w:val="00F54D29"/>
    <w:rsid w:val="00F553AD"/>
    <w:rsid w:val="00F556A9"/>
    <w:rsid w:val="00F563C7"/>
    <w:rsid w:val="00F56A51"/>
    <w:rsid w:val="00F56AB7"/>
    <w:rsid w:val="00F573B9"/>
    <w:rsid w:val="00F57C2F"/>
    <w:rsid w:val="00F60416"/>
    <w:rsid w:val="00F6163D"/>
    <w:rsid w:val="00F6179C"/>
    <w:rsid w:val="00F621CA"/>
    <w:rsid w:val="00F629CE"/>
    <w:rsid w:val="00F62B34"/>
    <w:rsid w:val="00F62E66"/>
    <w:rsid w:val="00F62F11"/>
    <w:rsid w:val="00F62F89"/>
    <w:rsid w:val="00F630EB"/>
    <w:rsid w:val="00F646C4"/>
    <w:rsid w:val="00F64C12"/>
    <w:rsid w:val="00F64E01"/>
    <w:rsid w:val="00F6519D"/>
    <w:rsid w:val="00F65C25"/>
    <w:rsid w:val="00F65C32"/>
    <w:rsid w:val="00F65FCE"/>
    <w:rsid w:val="00F664F4"/>
    <w:rsid w:val="00F66F30"/>
    <w:rsid w:val="00F67113"/>
    <w:rsid w:val="00F673FC"/>
    <w:rsid w:val="00F678D3"/>
    <w:rsid w:val="00F67A05"/>
    <w:rsid w:val="00F67C5E"/>
    <w:rsid w:val="00F67E47"/>
    <w:rsid w:val="00F70D69"/>
    <w:rsid w:val="00F71D09"/>
    <w:rsid w:val="00F7234E"/>
    <w:rsid w:val="00F72492"/>
    <w:rsid w:val="00F72DC4"/>
    <w:rsid w:val="00F72E3C"/>
    <w:rsid w:val="00F73014"/>
    <w:rsid w:val="00F735AC"/>
    <w:rsid w:val="00F73953"/>
    <w:rsid w:val="00F749AD"/>
    <w:rsid w:val="00F7513D"/>
    <w:rsid w:val="00F758C4"/>
    <w:rsid w:val="00F76CB1"/>
    <w:rsid w:val="00F77335"/>
    <w:rsid w:val="00F77695"/>
    <w:rsid w:val="00F77940"/>
    <w:rsid w:val="00F77D52"/>
    <w:rsid w:val="00F800F7"/>
    <w:rsid w:val="00F80131"/>
    <w:rsid w:val="00F80215"/>
    <w:rsid w:val="00F804E0"/>
    <w:rsid w:val="00F80BF2"/>
    <w:rsid w:val="00F810DD"/>
    <w:rsid w:val="00F81C99"/>
    <w:rsid w:val="00F821E6"/>
    <w:rsid w:val="00F824A1"/>
    <w:rsid w:val="00F82AF8"/>
    <w:rsid w:val="00F82D11"/>
    <w:rsid w:val="00F82FA1"/>
    <w:rsid w:val="00F83386"/>
    <w:rsid w:val="00F835C3"/>
    <w:rsid w:val="00F83689"/>
    <w:rsid w:val="00F84AED"/>
    <w:rsid w:val="00F85225"/>
    <w:rsid w:val="00F85260"/>
    <w:rsid w:val="00F85312"/>
    <w:rsid w:val="00F85D2A"/>
    <w:rsid w:val="00F864EA"/>
    <w:rsid w:val="00F8694C"/>
    <w:rsid w:val="00F86AFD"/>
    <w:rsid w:val="00F86C85"/>
    <w:rsid w:val="00F86F95"/>
    <w:rsid w:val="00F871B7"/>
    <w:rsid w:val="00F875FE"/>
    <w:rsid w:val="00F904B4"/>
    <w:rsid w:val="00F904C4"/>
    <w:rsid w:val="00F919C6"/>
    <w:rsid w:val="00F91EA1"/>
    <w:rsid w:val="00F92192"/>
    <w:rsid w:val="00F93516"/>
    <w:rsid w:val="00F9380C"/>
    <w:rsid w:val="00F9387A"/>
    <w:rsid w:val="00F93D61"/>
    <w:rsid w:val="00F9441A"/>
    <w:rsid w:val="00F946BC"/>
    <w:rsid w:val="00F94BE3"/>
    <w:rsid w:val="00F94C57"/>
    <w:rsid w:val="00F950E4"/>
    <w:rsid w:val="00F95B22"/>
    <w:rsid w:val="00F95C73"/>
    <w:rsid w:val="00F95CFD"/>
    <w:rsid w:val="00F95EBD"/>
    <w:rsid w:val="00F96007"/>
    <w:rsid w:val="00F96051"/>
    <w:rsid w:val="00F96C78"/>
    <w:rsid w:val="00F97303"/>
    <w:rsid w:val="00F976E3"/>
    <w:rsid w:val="00FA00F1"/>
    <w:rsid w:val="00FA02B0"/>
    <w:rsid w:val="00FA04B6"/>
    <w:rsid w:val="00FA05D7"/>
    <w:rsid w:val="00FA102E"/>
    <w:rsid w:val="00FA1132"/>
    <w:rsid w:val="00FA1ECC"/>
    <w:rsid w:val="00FA2D43"/>
    <w:rsid w:val="00FA2D8E"/>
    <w:rsid w:val="00FA2DF2"/>
    <w:rsid w:val="00FA397F"/>
    <w:rsid w:val="00FA44F0"/>
    <w:rsid w:val="00FA5056"/>
    <w:rsid w:val="00FA55F7"/>
    <w:rsid w:val="00FA58B2"/>
    <w:rsid w:val="00FA5ADA"/>
    <w:rsid w:val="00FA5C6D"/>
    <w:rsid w:val="00FA600D"/>
    <w:rsid w:val="00FA6010"/>
    <w:rsid w:val="00FA6452"/>
    <w:rsid w:val="00FA6825"/>
    <w:rsid w:val="00FA6B5F"/>
    <w:rsid w:val="00FA7BDA"/>
    <w:rsid w:val="00FB075C"/>
    <w:rsid w:val="00FB0807"/>
    <w:rsid w:val="00FB0B02"/>
    <w:rsid w:val="00FB0DBF"/>
    <w:rsid w:val="00FB1203"/>
    <w:rsid w:val="00FB1BBA"/>
    <w:rsid w:val="00FB279D"/>
    <w:rsid w:val="00FB28E5"/>
    <w:rsid w:val="00FB2BFD"/>
    <w:rsid w:val="00FB3025"/>
    <w:rsid w:val="00FB309B"/>
    <w:rsid w:val="00FB324C"/>
    <w:rsid w:val="00FB3E03"/>
    <w:rsid w:val="00FB3EE4"/>
    <w:rsid w:val="00FB4019"/>
    <w:rsid w:val="00FB406E"/>
    <w:rsid w:val="00FB461B"/>
    <w:rsid w:val="00FB4774"/>
    <w:rsid w:val="00FB48E4"/>
    <w:rsid w:val="00FB4AE6"/>
    <w:rsid w:val="00FB5466"/>
    <w:rsid w:val="00FB5A8A"/>
    <w:rsid w:val="00FB5B4D"/>
    <w:rsid w:val="00FB5C4F"/>
    <w:rsid w:val="00FB6A99"/>
    <w:rsid w:val="00FB70C2"/>
    <w:rsid w:val="00FC017D"/>
    <w:rsid w:val="00FC090B"/>
    <w:rsid w:val="00FC09A2"/>
    <w:rsid w:val="00FC0AC8"/>
    <w:rsid w:val="00FC0F14"/>
    <w:rsid w:val="00FC1743"/>
    <w:rsid w:val="00FC244C"/>
    <w:rsid w:val="00FC2FEC"/>
    <w:rsid w:val="00FC30BF"/>
    <w:rsid w:val="00FC3681"/>
    <w:rsid w:val="00FC3842"/>
    <w:rsid w:val="00FC3B02"/>
    <w:rsid w:val="00FC47CA"/>
    <w:rsid w:val="00FC4D7C"/>
    <w:rsid w:val="00FC4F11"/>
    <w:rsid w:val="00FC50AB"/>
    <w:rsid w:val="00FC5849"/>
    <w:rsid w:val="00FC5F89"/>
    <w:rsid w:val="00FC6524"/>
    <w:rsid w:val="00FC6C4A"/>
    <w:rsid w:val="00FC79DC"/>
    <w:rsid w:val="00FC7BA4"/>
    <w:rsid w:val="00FC7D14"/>
    <w:rsid w:val="00FD0599"/>
    <w:rsid w:val="00FD08B8"/>
    <w:rsid w:val="00FD10BB"/>
    <w:rsid w:val="00FD12FE"/>
    <w:rsid w:val="00FD168B"/>
    <w:rsid w:val="00FD18FF"/>
    <w:rsid w:val="00FD1E99"/>
    <w:rsid w:val="00FD24EB"/>
    <w:rsid w:val="00FD322D"/>
    <w:rsid w:val="00FD330D"/>
    <w:rsid w:val="00FD3311"/>
    <w:rsid w:val="00FD37AF"/>
    <w:rsid w:val="00FD413C"/>
    <w:rsid w:val="00FD4279"/>
    <w:rsid w:val="00FD4532"/>
    <w:rsid w:val="00FD4743"/>
    <w:rsid w:val="00FD4BCB"/>
    <w:rsid w:val="00FD4FB1"/>
    <w:rsid w:val="00FD5001"/>
    <w:rsid w:val="00FD5AA9"/>
    <w:rsid w:val="00FD7A03"/>
    <w:rsid w:val="00FD7B12"/>
    <w:rsid w:val="00FE0095"/>
    <w:rsid w:val="00FE0399"/>
    <w:rsid w:val="00FE080D"/>
    <w:rsid w:val="00FE13E3"/>
    <w:rsid w:val="00FE1F1C"/>
    <w:rsid w:val="00FE221B"/>
    <w:rsid w:val="00FE24D7"/>
    <w:rsid w:val="00FE2CB7"/>
    <w:rsid w:val="00FE36AD"/>
    <w:rsid w:val="00FE49F9"/>
    <w:rsid w:val="00FE4C3E"/>
    <w:rsid w:val="00FE4FAD"/>
    <w:rsid w:val="00FE4FDC"/>
    <w:rsid w:val="00FE5722"/>
    <w:rsid w:val="00FE6D94"/>
    <w:rsid w:val="00FE70A7"/>
    <w:rsid w:val="00FE7878"/>
    <w:rsid w:val="00FE7D62"/>
    <w:rsid w:val="00FF0325"/>
    <w:rsid w:val="00FF1947"/>
    <w:rsid w:val="00FF2029"/>
    <w:rsid w:val="00FF2219"/>
    <w:rsid w:val="00FF2484"/>
    <w:rsid w:val="00FF299C"/>
    <w:rsid w:val="00FF3030"/>
    <w:rsid w:val="00FF36C7"/>
    <w:rsid w:val="00FF3779"/>
    <w:rsid w:val="00FF3822"/>
    <w:rsid w:val="00FF4177"/>
    <w:rsid w:val="00FF4F82"/>
    <w:rsid w:val="00FF524E"/>
    <w:rsid w:val="00FF566E"/>
    <w:rsid w:val="00FF5A1A"/>
    <w:rsid w:val="00FF5CB4"/>
    <w:rsid w:val="00FF6489"/>
    <w:rsid w:val="00FF666C"/>
    <w:rsid w:val="00FF693B"/>
    <w:rsid w:val="00FF6A89"/>
    <w:rsid w:val="00FF6C5E"/>
    <w:rsid w:val="00FF6D9B"/>
    <w:rsid w:val="00FF6E08"/>
    <w:rsid w:val="00FF798D"/>
    <w:rsid w:val="00FF7A06"/>
    <w:rsid w:val="00FF7A21"/>
    <w:rsid w:val="0F6A7D84"/>
    <w:rsid w:val="37D46425"/>
    <w:rsid w:val="54B7D020"/>
    <w:rsid w:val="5F159DC6"/>
    <w:rsid w:val="6C8402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DC236B"/>
  <w15:docId w15:val="{495AD059-1C36-4E59-885C-9EF72C12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de-DE" w:eastAsia="de-DE" w:bidi="ar-SA"/>
      </w:rPr>
    </w:rPrDefault>
    <w:pPrDefault>
      <w:pPr>
        <w:spacing w:after="120" w:line="300" w:lineRule="atLeast"/>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nhideWhenUsed="1" w:qFormat="1"/>
    <w:lsdException w:name="table of figures" w:locked="1"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2" w:semiHidden="1" w:uiPriority="0" w:unhideWhenUsed="1"/>
    <w:lsdException w:name="List 3" w:semiHidden="1" w:uiPriority="0" w:unhideWhenUsed="1"/>
    <w:lsdException w:name="List 4" w:uiPriority="0"/>
    <w:lsdException w:name="List 5"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lsdException w:name="Bibliography" w:semiHidden="1" w:uiPriority="0"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563F"/>
  </w:style>
  <w:style w:type="paragraph" w:styleId="berschrift1">
    <w:name w:val="heading 1"/>
    <w:basedOn w:val="Standard"/>
    <w:next w:val="Standard"/>
    <w:link w:val="berschrift1Zchn"/>
    <w:uiPriority w:val="99"/>
    <w:qFormat/>
    <w:rsid w:val="005E563F"/>
    <w:pPr>
      <w:keepNext/>
      <w:pageBreakBefore/>
      <w:numPr>
        <w:numId w:val="28"/>
      </w:numPr>
      <w:outlineLvl w:val="0"/>
    </w:pPr>
    <w:rPr>
      <w:rFonts w:cs="Arial"/>
      <w:b/>
      <w:bCs/>
      <w:kern w:val="32"/>
      <w:sz w:val="28"/>
    </w:rPr>
  </w:style>
  <w:style w:type="paragraph" w:styleId="berschrift2">
    <w:name w:val="heading 2"/>
    <w:basedOn w:val="Standard"/>
    <w:next w:val="Standard"/>
    <w:link w:val="berschrift2Zchn"/>
    <w:uiPriority w:val="99"/>
    <w:qFormat/>
    <w:rsid w:val="00A37478"/>
    <w:pPr>
      <w:keepNext/>
      <w:numPr>
        <w:ilvl w:val="1"/>
        <w:numId w:val="28"/>
      </w:numPr>
      <w:spacing w:before="660"/>
      <w:outlineLvl w:val="1"/>
    </w:pPr>
    <w:rPr>
      <w:rFonts w:cs="Arial"/>
      <w:b/>
      <w:bCs/>
      <w:iCs/>
      <w:sz w:val="28"/>
      <w:szCs w:val="28"/>
    </w:rPr>
  </w:style>
  <w:style w:type="paragraph" w:styleId="berschrift3">
    <w:name w:val="heading 3"/>
    <w:basedOn w:val="Standard"/>
    <w:next w:val="Standard"/>
    <w:link w:val="berschrift3Zchn"/>
    <w:uiPriority w:val="99"/>
    <w:qFormat/>
    <w:rsid w:val="001E5908"/>
    <w:pPr>
      <w:keepNext/>
      <w:numPr>
        <w:ilvl w:val="2"/>
        <w:numId w:val="28"/>
      </w:numPr>
      <w:spacing w:before="660"/>
      <w:outlineLvl w:val="2"/>
    </w:pPr>
    <w:rPr>
      <w:rFonts w:cs="Arial"/>
      <w:b/>
      <w:bCs/>
      <w:sz w:val="28"/>
      <w:szCs w:val="26"/>
    </w:rPr>
  </w:style>
  <w:style w:type="paragraph" w:styleId="berschrift4">
    <w:name w:val="heading 4"/>
    <w:basedOn w:val="Standard"/>
    <w:next w:val="Standard"/>
    <w:link w:val="berschrift4Zchn"/>
    <w:uiPriority w:val="99"/>
    <w:qFormat/>
    <w:rsid w:val="001E5908"/>
    <w:pPr>
      <w:keepNext/>
      <w:numPr>
        <w:ilvl w:val="3"/>
        <w:numId w:val="28"/>
      </w:numPr>
      <w:spacing w:before="360" w:line="300" w:lineRule="exact"/>
      <w:outlineLvl w:val="3"/>
    </w:pPr>
    <w:rPr>
      <w:b/>
      <w:bCs/>
      <w:sz w:val="28"/>
      <w:szCs w:val="28"/>
    </w:rPr>
  </w:style>
  <w:style w:type="paragraph" w:styleId="berschrift5">
    <w:name w:val="heading 5"/>
    <w:basedOn w:val="Standard"/>
    <w:next w:val="Standard"/>
    <w:link w:val="berschrift5Zchn"/>
    <w:uiPriority w:val="99"/>
    <w:qFormat/>
    <w:rsid w:val="005E563F"/>
    <w:pPr>
      <w:numPr>
        <w:ilvl w:val="4"/>
        <w:numId w:val="28"/>
      </w:numPr>
      <w:spacing w:before="240"/>
      <w:outlineLvl w:val="4"/>
    </w:pPr>
    <w:rPr>
      <w:b/>
      <w:bCs/>
      <w:iCs/>
      <w:sz w:val="26"/>
      <w:szCs w:val="26"/>
    </w:rPr>
  </w:style>
  <w:style w:type="paragraph" w:styleId="berschrift6">
    <w:name w:val="heading 6"/>
    <w:basedOn w:val="Standard"/>
    <w:next w:val="Standard"/>
    <w:link w:val="berschrift6Zchn"/>
    <w:uiPriority w:val="99"/>
    <w:qFormat/>
    <w:rsid w:val="005E563F"/>
    <w:pPr>
      <w:numPr>
        <w:ilvl w:val="5"/>
        <w:numId w:val="28"/>
      </w:numPr>
      <w:spacing w:before="240" w:after="0"/>
      <w:outlineLvl w:val="5"/>
    </w:pPr>
    <w:rPr>
      <w:b/>
      <w:bCs/>
    </w:rPr>
  </w:style>
  <w:style w:type="paragraph" w:styleId="berschrift7">
    <w:name w:val="heading 7"/>
    <w:basedOn w:val="Standard"/>
    <w:next w:val="Standard"/>
    <w:link w:val="berschrift7Zchn"/>
    <w:uiPriority w:val="99"/>
    <w:qFormat/>
    <w:rsid w:val="005E563F"/>
    <w:pPr>
      <w:numPr>
        <w:ilvl w:val="6"/>
        <w:numId w:val="28"/>
      </w:numPr>
      <w:spacing w:before="240" w:after="0"/>
      <w:outlineLvl w:val="6"/>
    </w:pPr>
    <w:rPr>
      <w:sz w:val="24"/>
    </w:rPr>
  </w:style>
  <w:style w:type="paragraph" w:styleId="berschrift8">
    <w:name w:val="heading 8"/>
    <w:basedOn w:val="Standard"/>
    <w:next w:val="Standard"/>
    <w:link w:val="berschrift8Zchn"/>
    <w:uiPriority w:val="99"/>
    <w:qFormat/>
    <w:rsid w:val="005E563F"/>
    <w:pPr>
      <w:numPr>
        <w:ilvl w:val="7"/>
        <w:numId w:val="28"/>
      </w:numPr>
      <w:spacing w:before="240" w:after="0"/>
      <w:outlineLvl w:val="7"/>
    </w:pPr>
    <w:rPr>
      <w:iCs/>
      <w:sz w:val="24"/>
    </w:rPr>
  </w:style>
  <w:style w:type="paragraph" w:styleId="berschrift9">
    <w:name w:val="heading 9"/>
    <w:basedOn w:val="Standard"/>
    <w:next w:val="Standard"/>
    <w:link w:val="berschrift9Zchn"/>
    <w:uiPriority w:val="99"/>
    <w:qFormat/>
    <w:rsid w:val="005E563F"/>
    <w:pPr>
      <w:numPr>
        <w:ilvl w:val="8"/>
        <w:numId w:val="28"/>
      </w:numPr>
      <w:spacing w:before="240" w:after="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ispiel">
    <w:name w:val="Beispiel"/>
    <w:basedOn w:val="Standard"/>
    <w:qFormat/>
    <w:rsid w:val="005E563F"/>
    <w:pPr>
      <w:ind w:left="284"/>
    </w:pPr>
    <w:rPr>
      <w:rFonts w:cs="Arial"/>
      <w:i/>
    </w:rPr>
  </w:style>
  <w:style w:type="paragraph" w:customStyle="1" w:styleId="Abbildung">
    <w:name w:val="Abbildung"/>
    <w:basedOn w:val="Standard"/>
    <w:qFormat/>
    <w:rsid w:val="005E563F"/>
    <w:pPr>
      <w:keepNext/>
      <w:keepLines/>
      <w:spacing w:before="500"/>
    </w:pPr>
    <w:rPr>
      <w:noProof/>
    </w:rPr>
  </w:style>
  <w:style w:type="table" w:styleId="Tabellenraster">
    <w:name w:val="Table Grid"/>
    <w:basedOn w:val="NormaleTabelle"/>
    <w:uiPriority w:val="99"/>
    <w:rsid w:val="00DB3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rsid w:val="00E930BE"/>
    <w:pPr>
      <w:spacing w:after="0"/>
    </w:pPr>
    <w:rPr>
      <w:sz w:val="24"/>
      <w:szCs w:val="20"/>
    </w:rPr>
  </w:style>
  <w:style w:type="character" w:customStyle="1" w:styleId="KopfzeileZchn">
    <w:name w:val="Kopfzeile Zchn"/>
    <w:link w:val="Kopfzeile"/>
    <w:uiPriority w:val="99"/>
    <w:semiHidden/>
    <w:locked/>
    <w:rsid w:val="00145173"/>
    <w:rPr>
      <w:rFonts w:ascii="Arial" w:hAnsi="Arial"/>
      <w:sz w:val="24"/>
    </w:rPr>
  </w:style>
  <w:style w:type="paragraph" w:styleId="Fuzeile">
    <w:name w:val="footer"/>
    <w:basedOn w:val="Standard"/>
    <w:link w:val="FuzeileZchn"/>
    <w:uiPriority w:val="99"/>
    <w:rsid w:val="001A7A2B"/>
    <w:pPr>
      <w:pBdr>
        <w:top w:val="single" w:sz="4" w:space="1" w:color="auto"/>
      </w:pBdr>
      <w:tabs>
        <w:tab w:val="right" w:pos="9072"/>
      </w:tabs>
      <w:spacing w:after="0" w:line="210" w:lineRule="atLeast"/>
    </w:pPr>
    <w:rPr>
      <w:sz w:val="14"/>
      <w:szCs w:val="20"/>
    </w:rPr>
  </w:style>
  <w:style w:type="table" w:customStyle="1" w:styleId="Tabellengitternetz1">
    <w:name w:val="Tabellengitternetz1"/>
    <w:basedOn w:val="NormaleTabelle"/>
    <w:rsid w:val="00636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930BE"/>
    <w:rPr>
      <w:color w:val="0068AF"/>
      <w:u w:val="single"/>
    </w:rPr>
  </w:style>
  <w:style w:type="paragraph" w:customStyle="1" w:styleId="Pagina">
    <w:name w:val="Pagina"/>
    <w:basedOn w:val="Fuzeile"/>
    <w:uiPriority w:val="99"/>
    <w:semiHidden/>
    <w:rsid w:val="00E930BE"/>
    <w:pPr>
      <w:framePr w:w="2155" w:h="210" w:hRule="exact" w:wrap="around" w:vAnchor="page" w:hAnchor="page" w:x="9300" w:y="15299"/>
    </w:pPr>
    <w:rPr>
      <w:noProof/>
    </w:rPr>
  </w:style>
  <w:style w:type="paragraph" w:customStyle="1" w:styleId="Auskunftsblock-bold">
    <w:name w:val="Auskunftsblock-bold"/>
    <w:basedOn w:val="Standard-klein"/>
    <w:next w:val="Pagina"/>
    <w:uiPriority w:val="99"/>
    <w:semiHidden/>
    <w:rsid w:val="004C3474"/>
    <w:pPr>
      <w:tabs>
        <w:tab w:val="left" w:pos="510"/>
      </w:tabs>
      <w:spacing w:line="210" w:lineRule="exact"/>
    </w:pPr>
    <w:rPr>
      <w:b/>
      <w:noProof/>
      <w:szCs w:val="16"/>
    </w:rPr>
  </w:style>
  <w:style w:type="paragraph" w:styleId="Liste">
    <w:name w:val="List"/>
    <w:basedOn w:val="Standard"/>
    <w:rsid w:val="009F2F02"/>
    <w:pPr>
      <w:numPr>
        <w:numId w:val="19"/>
      </w:numPr>
      <w:ind w:left="284" w:hanging="284"/>
    </w:pPr>
  </w:style>
  <w:style w:type="character" w:styleId="Seitenzahl">
    <w:name w:val="page number"/>
    <w:uiPriority w:val="99"/>
    <w:semiHidden/>
    <w:rsid w:val="00D151B3"/>
    <w:rPr>
      <w:rFonts w:ascii="Arial" w:hAnsi="Arial"/>
    </w:rPr>
  </w:style>
  <w:style w:type="paragraph" w:styleId="Sprechblasentext">
    <w:name w:val="Balloon Text"/>
    <w:basedOn w:val="Standard"/>
    <w:link w:val="SprechblasentextZchn"/>
    <w:uiPriority w:val="99"/>
    <w:semiHidden/>
    <w:rsid w:val="00B03B2A"/>
    <w:rPr>
      <w:rFonts w:ascii="Tahoma" w:hAnsi="Tahoma"/>
      <w:sz w:val="16"/>
      <w:szCs w:val="20"/>
    </w:rPr>
  </w:style>
  <w:style w:type="paragraph" w:customStyle="1" w:styleId="BDEW-Pfeil">
    <w:name w:val="BDEW-Pfeil"/>
    <w:basedOn w:val="Aufzhlungszeichen2"/>
    <w:uiPriority w:val="99"/>
    <w:semiHidden/>
    <w:rsid w:val="00E930BE"/>
    <w:pPr>
      <w:numPr>
        <w:numId w:val="1"/>
      </w:numPr>
      <w:tabs>
        <w:tab w:val="clear" w:pos="431"/>
        <w:tab w:val="num" w:pos="360"/>
      </w:tabs>
    </w:pPr>
  </w:style>
  <w:style w:type="paragraph" w:customStyle="1" w:styleId="berschriftohneGliederung">
    <w:name w:val="Überschrift ohne Gliederung"/>
    <w:basedOn w:val="Standard"/>
    <w:uiPriority w:val="99"/>
    <w:rsid w:val="001B7530"/>
    <w:pPr>
      <w:spacing w:before="240"/>
      <w:outlineLvl w:val="0"/>
    </w:pPr>
    <w:rPr>
      <w:b/>
      <w:lang w:val="en-GB"/>
    </w:rPr>
  </w:style>
  <w:style w:type="paragraph" w:styleId="Anrede">
    <w:name w:val="Salutation"/>
    <w:basedOn w:val="Standard"/>
    <w:next w:val="Standard"/>
    <w:link w:val="AnredeZchn"/>
    <w:uiPriority w:val="99"/>
    <w:semiHidden/>
    <w:rsid w:val="00E930BE"/>
    <w:pPr>
      <w:spacing w:after="300"/>
    </w:pPr>
    <w:rPr>
      <w:sz w:val="24"/>
      <w:szCs w:val="20"/>
    </w:rPr>
  </w:style>
  <w:style w:type="character" w:customStyle="1" w:styleId="AnredeZchn">
    <w:name w:val="Anrede Zchn"/>
    <w:link w:val="Anrede"/>
    <w:uiPriority w:val="99"/>
    <w:semiHidden/>
    <w:locked/>
    <w:rsid w:val="00145173"/>
    <w:rPr>
      <w:rFonts w:ascii="Arial" w:hAnsi="Arial"/>
      <w:sz w:val="24"/>
    </w:rPr>
  </w:style>
  <w:style w:type="paragraph" w:styleId="Blocktext">
    <w:name w:val="Block Text"/>
    <w:basedOn w:val="Standard"/>
    <w:uiPriority w:val="99"/>
    <w:semiHidden/>
    <w:rsid w:val="00AD6B7F"/>
    <w:pPr>
      <w:ind w:left="862" w:right="862"/>
    </w:pPr>
  </w:style>
  <w:style w:type="paragraph" w:styleId="Titel">
    <w:name w:val="Title"/>
    <w:basedOn w:val="Standard"/>
    <w:link w:val="TitelZchn"/>
    <w:uiPriority w:val="99"/>
    <w:qFormat/>
    <w:rsid w:val="005E563F"/>
    <w:pPr>
      <w:spacing w:after="240" w:line="360" w:lineRule="atLeast"/>
      <w:outlineLvl w:val="0"/>
    </w:pPr>
    <w:rPr>
      <w:b/>
      <w:kern w:val="28"/>
      <w:sz w:val="32"/>
    </w:rPr>
  </w:style>
  <w:style w:type="paragraph" w:styleId="Listenfortsetzung5">
    <w:name w:val="List Continue 5"/>
    <w:basedOn w:val="Standard"/>
    <w:uiPriority w:val="99"/>
    <w:semiHidden/>
    <w:rsid w:val="008F587B"/>
    <w:pPr>
      <w:ind w:left="1415"/>
    </w:pPr>
  </w:style>
  <w:style w:type="paragraph" w:styleId="Untertitel">
    <w:name w:val="Subtitle"/>
    <w:basedOn w:val="Standard"/>
    <w:link w:val="UntertitelZchn"/>
    <w:uiPriority w:val="99"/>
    <w:qFormat/>
    <w:rsid w:val="005E563F"/>
    <w:pPr>
      <w:spacing w:before="240"/>
      <w:outlineLvl w:val="1"/>
    </w:pPr>
    <w:rPr>
      <w:sz w:val="24"/>
    </w:rPr>
  </w:style>
  <w:style w:type="character" w:customStyle="1" w:styleId="UntertitelZchn">
    <w:name w:val="Untertitel Zchn"/>
    <w:link w:val="Untertitel"/>
    <w:uiPriority w:val="11"/>
    <w:locked/>
    <w:rsid w:val="005E563F"/>
    <w:rPr>
      <w:rFonts w:ascii="Arial" w:hAnsi="Arial"/>
      <w:sz w:val="24"/>
      <w:lang w:val="de-DE" w:eastAsia="de-DE"/>
    </w:rPr>
  </w:style>
  <w:style w:type="paragraph" w:styleId="Datum">
    <w:name w:val="Date"/>
    <w:basedOn w:val="Standard"/>
    <w:next w:val="Standard"/>
    <w:link w:val="DatumZchn"/>
    <w:uiPriority w:val="99"/>
    <w:semiHidden/>
    <w:rsid w:val="00E930BE"/>
    <w:pPr>
      <w:jc w:val="right"/>
    </w:pPr>
    <w:rPr>
      <w:sz w:val="24"/>
      <w:szCs w:val="20"/>
    </w:rPr>
  </w:style>
  <w:style w:type="character" w:customStyle="1" w:styleId="DatumZchn">
    <w:name w:val="Datum Zchn"/>
    <w:link w:val="Datum"/>
    <w:uiPriority w:val="99"/>
    <w:semiHidden/>
    <w:locked/>
    <w:rsid w:val="00145173"/>
    <w:rPr>
      <w:rFonts w:ascii="Arial" w:hAnsi="Arial"/>
      <w:sz w:val="24"/>
    </w:rPr>
  </w:style>
  <w:style w:type="paragraph" w:customStyle="1" w:styleId="Standard-klein">
    <w:name w:val="Standard-klein"/>
    <w:basedOn w:val="Standard"/>
    <w:uiPriority w:val="99"/>
    <w:rsid w:val="003C7E02"/>
    <w:pPr>
      <w:spacing w:after="0" w:line="210" w:lineRule="atLeast"/>
    </w:pPr>
    <w:rPr>
      <w:sz w:val="14"/>
      <w:lang w:val="en-GB"/>
    </w:rPr>
  </w:style>
  <w:style w:type="paragraph" w:styleId="Aufzhlungszeichen">
    <w:name w:val="List Bullet"/>
    <w:basedOn w:val="Standard"/>
    <w:uiPriority w:val="99"/>
    <w:qFormat/>
    <w:rsid w:val="005E563F"/>
    <w:pPr>
      <w:numPr>
        <w:numId w:val="29"/>
      </w:numPr>
    </w:pPr>
  </w:style>
  <w:style w:type="paragraph" w:styleId="Aufzhlungszeichen2">
    <w:name w:val="List Bullet 2"/>
    <w:basedOn w:val="Standard"/>
    <w:uiPriority w:val="99"/>
    <w:rsid w:val="00531716"/>
    <w:rPr>
      <w:rFonts w:cs="Arial"/>
    </w:rPr>
  </w:style>
  <w:style w:type="paragraph" w:styleId="Aufzhlungszeichen3">
    <w:name w:val="List Bullet 3"/>
    <w:basedOn w:val="Standard"/>
    <w:uiPriority w:val="99"/>
    <w:semiHidden/>
    <w:rsid w:val="00AD6B7F"/>
    <w:pPr>
      <w:numPr>
        <w:numId w:val="8"/>
      </w:numPr>
    </w:pPr>
  </w:style>
  <w:style w:type="paragraph" w:styleId="Aufzhlungszeichen4">
    <w:name w:val="List Bullet 4"/>
    <w:basedOn w:val="Standard"/>
    <w:uiPriority w:val="99"/>
    <w:semiHidden/>
    <w:rsid w:val="00166F9B"/>
    <w:pPr>
      <w:numPr>
        <w:numId w:val="9"/>
      </w:numPr>
    </w:pPr>
  </w:style>
  <w:style w:type="paragraph" w:styleId="Aufzhlungszeichen5">
    <w:name w:val="List Bullet 5"/>
    <w:basedOn w:val="Standard"/>
    <w:uiPriority w:val="99"/>
    <w:semiHidden/>
    <w:rsid w:val="00553CB1"/>
    <w:pPr>
      <w:numPr>
        <w:numId w:val="2"/>
      </w:numPr>
    </w:pPr>
  </w:style>
  <w:style w:type="paragraph" w:styleId="Listennummer">
    <w:name w:val="List Number"/>
    <w:basedOn w:val="Standard"/>
    <w:uiPriority w:val="99"/>
    <w:rsid w:val="003015B2"/>
    <w:pPr>
      <w:numPr>
        <w:numId w:val="3"/>
      </w:numPr>
      <w:tabs>
        <w:tab w:val="clear" w:pos="360"/>
      </w:tabs>
      <w:ind w:left="431" w:hanging="431"/>
    </w:pPr>
  </w:style>
  <w:style w:type="paragraph" w:styleId="Listennummer2">
    <w:name w:val="List Number 2"/>
    <w:basedOn w:val="Standard"/>
    <w:uiPriority w:val="99"/>
    <w:semiHidden/>
    <w:rsid w:val="008F587B"/>
    <w:pPr>
      <w:numPr>
        <w:numId w:val="4"/>
      </w:numPr>
      <w:tabs>
        <w:tab w:val="left" w:pos="862"/>
      </w:tabs>
    </w:pPr>
  </w:style>
  <w:style w:type="paragraph" w:styleId="Listennummer3">
    <w:name w:val="List Number 3"/>
    <w:basedOn w:val="Standard"/>
    <w:uiPriority w:val="99"/>
    <w:semiHidden/>
    <w:rsid w:val="008F587B"/>
    <w:pPr>
      <w:numPr>
        <w:numId w:val="5"/>
      </w:numPr>
    </w:pPr>
  </w:style>
  <w:style w:type="paragraph" w:styleId="Textkrper">
    <w:name w:val="Body Text"/>
    <w:basedOn w:val="Standard"/>
    <w:link w:val="TextkrperZchn"/>
    <w:uiPriority w:val="99"/>
    <w:semiHidden/>
    <w:rsid w:val="00E930BE"/>
    <w:rPr>
      <w:sz w:val="24"/>
      <w:szCs w:val="20"/>
    </w:rPr>
  </w:style>
  <w:style w:type="paragraph" w:styleId="Textkrper3">
    <w:name w:val="Body Text 3"/>
    <w:basedOn w:val="Standard"/>
    <w:link w:val="Textkrper3Zchn"/>
    <w:uiPriority w:val="99"/>
    <w:semiHidden/>
    <w:rsid w:val="00636E9E"/>
    <w:rPr>
      <w:sz w:val="16"/>
      <w:szCs w:val="20"/>
    </w:rPr>
  </w:style>
  <w:style w:type="character" w:customStyle="1" w:styleId="Textkrper3Zchn">
    <w:name w:val="Textkörper 3 Zchn"/>
    <w:link w:val="Textkrper3"/>
    <w:uiPriority w:val="99"/>
    <w:semiHidden/>
    <w:locked/>
    <w:rsid w:val="00145173"/>
    <w:rPr>
      <w:rFonts w:ascii="Arial" w:hAnsi="Arial"/>
      <w:sz w:val="16"/>
      <w:lang w:val="de-DE" w:eastAsia="de-DE"/>
    </w:rPr>
  </w:style>
  <w:style w:type="paragraph" w:styleId="Textkrper-Erstzeileneinzug">
    <w:name w:val="Body Text First Indent"/>
    <w:basedOn w:val="Textkrper"/>
    <w:link w:val="Textkrper-ErstzeileneinzugZchn"/>
    <w:uiPriority w:val="99"/>
    <w:semiHidden/>
    <w:rsid w:val="00E930BE"/>
    <w:pPr>
      <w:ind w:firstLine="431"/>
    </w:pPr>
  </w:style>
  <w:style w:type="character" w:customStyle="1" w:styleId="Textkrper-ErstzeileneinzugZchn">
    <w:name w:val="Textkörper-Erstzeileneinzug Zchn"/>
    <w:link w:val="Textkrper-Erstzeileneinzug"/>
    <w:uiPriority w:val="99"/>
    <w:semiHidden/>
    <w:locked/>
    <w:rsid w:val="00145173"/>
    <w:rPr>
      <w:rFonts w:ascii="Arial" w:hAnsi="Arial"/>
      <w:sz w:val="24"/>
    </w:rPr>
  </w:style>
  <w:style w:type="paragraph" w:styleId="Textkrper-Einzug3">
    <w:name w:val="Body Text Indent 3"/>
    <w:basedOn w:val="Standard"/>
    <w:link w:val="Textkrper-Einzug3Zchn"/>
    <w:uiPriority w:val="99"/>
    <w:semiHidden/>
    <w:rsid w:val="00636E9E"/>
    <w:pPr>
      <w:ind w:left="431"/>
    </w:pPr>
    <w:rPr>
      <w:sz w:val="16"/>
      <w:szCs w:val="20"/>
    </w:rPr>
  </w:style>
  <w:style w:type="character" w:customStyle="1" w:styleId="Textkrper-Einzug3Zchn">
    <w:name w:val="Textkörper-Einzug 3 Zchn"/>
    <w:link w:val="Textkrper-Einzug3"/>
    <w:uiPriority w:val="99"/>
    <w:semiHidden/>
    <w:locked/>
    <w:rsid w:val="00145173"/>
    <w:rPr>
      <w:rFonts w:ascii="Arial" w:hAnsi="Arial"/>
      <w:sz w:val="16"/>
      <w:lang w:val="de-DE" w:eastAsia="de-DE"/>
    </w:rPr>
  </w:style>
  <w:style w:type="paragraph" w:styleId="Textkrper-Einzug2">
    <w:name w:val="Body Text Indent 2"/>
    <w:basedOn w:val="Standard"/>
    <w:link w:val="Textkrper-Einzug2Zchn"/>
    <w:uiPriority w:val="99"/>
    <w:semiHidden/>
    <w:rsid w:val="00E930BE"/>
    <w:pPr>
      <w:spacing w:line="480" w:lineRule="auto"/>
      <w:ind w:left="431"/>
    </w:pPr>
    <w:rPr>
      <w:sz w:val="24"/>
      <w:szCs w:val="20"/>
    </w:rPr>
  </w:style>
  <w:style w:type="character" w:customStyle="1" w:styleId="Textkrper-Einzug2Zchn">
    <w:name w:val="Textkörper-Einzug 2 Zchn"/>
    <w:link w:val="Textkrper-Einzug2"/>
    <w:uiPriority w:val="99"/>
    <w:semiHidden/>
    <w:locked/>
    <w:rsid w:val="00145173"/>
    <w:rPr>
      <w:rFonts w:ascii="Arial" w:hAnsi="Arial"/>
      <w:sz w:val="24"/>
    </w:rPr>
  </w:style>
  <w:style w:type="paragraph" w:styleId="Textkrper-Zeileneinzug">
    <w:name w:val="Body Text Indent"/>
    <w:basedOn w:val="Standard"/>
    <w:link w:val="Textkrper-ZeileneinzugZchn"/>
    <w:uiPriority w:val="99"/>
    <w:semiHidden/>
    <w:rsid w:val="00E930BE"/>
    <w:pPr>
      <w:ind w:left="431"/>
    </w:pPr>
    <w:rPr>
      <w:sz w:val="24"/>
      <w:szCs w:val="20"/>
    </w:rPr>
  </w:style>
  <w:style w:type="character" w:customStyle="1" w:styleId="Textkrper-ZeileneinzugZchn">
    <w:name w:val="Textkörper-Zeileneinzug Zchn"/>
    <w:link w:val="Textkrper-Zeileneinzug"/>
    <w:uiPriority w:val="99"/>
    <w:semiHidden/>
    <w:locked/>
    <w:rsid w:val="00145173"/>
    <w:rPr>
      <w:rFonts w:ascii="Arial" w:hAnsi="Arial"/>
      <w:sz w:val="24"/>
    </w:rPr>
  </w:style>
  <w:style w:type="paragraph" w:styleId="Standardeinzug">
    <w:name w:val="Normal Indent"/>
    <w:basedOn w:val="Standard"/>
    <w:uiPriority w:val="99"/>
    <w:semiHidden/>
    <w:rsid w:val="00636E9E"/>
    <w:pPr>
      <w:ind w:left="862"/>
    </w:pPr>
  </w:style>
  <w:style w:type="paragraph" w:styleId="Abbildungsverzeichnis">
    <w:name w:val="table of figures"/>
    <w:basedOn w:val="Standard"/>
    <w:next w:val="Standard"/>
    <w:link w:val="AbbildungsverzeichnisZchn"/>
    <w:uiPriority w:val="99"/>
    <w:rsid w:val="00EE53D2"/>
    <w:pPr>
      <w:tabs>
        <w:tab w:val="right" w:leader="dot" w:pos="9072"/>
      </w:tabs>
      <w:ind w:left="1134" w:right="680" w:hanging="1134"/>
    </w:pPr>
    <w:rPr>
      <w:sz w:val="24"/>
      <w:szCs w:val="20"/>
    </w:rPr>
  </w:style>
  <w:style w:type="paragraph" w:styleId="Dokumentstruktur">
    <w:name w:val="Document Map"/>
    <w:basedOn w:val="Standard"/>
    <w:link w:val="DokumentstrukturZchn"/>
    <w:uiPriority w:val="99"/>
    <w:semiHidden/>
    <w:rsid w:val="00636E9E"/>
    <w:pPr>
      <w:shd w:val="clear" w:color="auto" w:fill="000080"/>
    </w:pPr>
    <w:rPr>
      <w:rFonts w:ascii="Tahoma" w:hAnsi="Tahoma"/>
      <w:sz w:val="20"/>
      <w:szCs w:val="20"/>
    </w:rPr>
  </w:style>
  <w:style w:type="character" w:customStyle="1" w:styleId="DokumentstrukturZchn">
    <w:name w:val="Dokumentstruktur Zchn"/>
    <w:link w:val="Dokumentstruktur"/>
    <w:uiPriority w:val="99"/>
    <w:semiHidden/>
    <w:locked/>
    <w:rsid w:val="00145173"/>
    <w:rPr>
      <w:rFonts w:ascii="Tahoma" w:hAnsi="Tahoma"/>
      <w:lang w:val="de-DE" w:eastAsia="de-DE"/>
    </w:rPr>
  </w:style>
  <w:style w:type="paragraph" w:styleId="Endnotentext">
    <w:name w:val="endnote text"/>
    <w:basedOn w:val="Standard"/>
    <w:link w:val="EndnotentextZchn"/>
    <w:uiPriority w:val="99"/>
    <w:semiHidden/>
    <w:rsid w:val="005F290B"/>
    <w:rPr>
      <w:szCs w:val="20"/>
    </w:rPr>
  </w:style>
  <w:style w:type="character" w:customStyle="1" w:styleId="EndnotentextZchn">
    <w:name w:val="Endnotentext Zchn"/>
    <w:link w:val="Endnotentext"/>
    <w:uiPriority w:val="99"/>
    <w:semiHidden/>
    <w:locked/>
    <w:rsid w:val="00145173"/>
    <w:rPr>
      <w:rFonts w:ascii="Arial" w:hAnsi="Arial"/>
      <w:sz w:val="22"/>
      <w:lang w:val="de-DE" w:eastAsia="de-DE"/>
    </w:rPr>
  </w:style>
  <w:style w:type="character" w:styleId="Endnotenzeichen">
    <w:name w:val="endnote reference"/>
    <w:uiPriority w:val="99"/>
    <w:semiHidden/>
    <w:rsid w:val="00636E9E"/>
    <w:rPr>
      <w:vertAlign w:val="superscript"/>
    </w:rPr>
  </w:style>
  <w:style w:type="paragraph" w:styleId="Funotentext">
    <w:name w:val="footnote text"/>
    <w:basedOn w:val="Standard"/>
    <w:link w:val="FunotentextZchn"/>
    <w:uiPriority w:val="99"/>
    <w:semiHidden/>
    <w:rsid w:val="007D7366"/>
    <w:rPr>
      <w:szCs w:val="20"/>
    </w:rPr>
  </w:style>
  <w:style w:type="character" w:styleId="Funotenzeichen">
    <w:name w:val="footnote reference"/>
    <w:uiPriority w:val="99"/>
    <w:semiHidden/>
    <w:rsid w:val="00636E9E"/>
    <w:rPr>
      <w:vertAlign w:val="superscript"/>
    </w:rPr>
  </w:style>
  <w:style w:type="paragraph" w:styleId="Index1">
    <w:name w:val="index 1"/>
    <w:basedOn w:val="Standard"/>
    <w:next w:val="Standard"/>
    <w:autoRedefine/>
    <w:uiPriority w:val="99"/>
    <w:semiHidden/>
    <w:rsid w:val="00636E9E"/>
    <w:pPr>
      <w:ind w:left="220" w:hanging="220"/>
    </w:pPr>
  </w:style>
  <w:style w:type="paragraph" w:styleId="Index2">
    <w:name w:val="index 2"/>
    <w:basedOn w:val="Standard"/>
    <w:next w:val="Standard"/>
    <w:autoRedefine/>
    <w:uiPriority w:val="99"/>
    <w:semiHidden/>
    <w:rsid w:val="00636E9E"/>
    <w:pPr>
      <w:ind w:left="440" w:hanging="220"/>
    </w:pPr>
  </w:style>
  <w:style w:type="paragraph" w:styleId="Index3">
    <w:name w:val="index 3"/>
    <w:basedOn w:val="Standard"/>
    <w:next w:val="Standard"/>
    <w:autoRedefine/>
    <w:uiPriority w:val="99"/>
    <w:semiHidden/>
    <w:rsid w:val="00636E9E"/>
    <w:pPr>
      <w:ind w:left="660" w:hanging="220"/>
    </w:pPr>
  </w:style>
  <w:style w:type="paragraph" w:styleId="Index4">
    <w:name w:val="index 4"/>
    <w:basedOn w:val="Standard"/>
    <w:next w:val="Standard"/>
    <w:autoRedefine/>
    <w:uiPriority w:val="99"/>
    <w:semiHidden/>
    <w:rsid w:val="00636E9E"/>
    <w:pPr>
      <w:ind w:left="880" w:hanging="220"/>
    </w:pPr>
  </w:style>
  <w:style w:type="paragraph" w:styleId="Index5">
    <w:name w:val="index 5"/>
    <w:basedOn w:val="Standard"/>
    <w:next w:val="Standard"/>
    <w:autoRedefine/>
    <w:uiPriority w:val="99"/>
    <w:semiHidden/>
    <w:rsid w:val="00636E9E"/>
    <w:pPr>
      <w:ind w:left="1100" w:hanging="220"/>
    </w:pPr>
  </w:style>
  <w:style w:type="paragraph" w:styleId="Index6">
    <w:name w:val="index 6"/>
    <w:basedOn w:val="Standard"/>
    <w:next w:val="Standard"/>
    <w:autoRedefine/>
    <w:uiPriority w:val="99"/>
    <w:semiHidden/>
    <w:rsid w:val="00636E9E"/>
    <w:pPr>
      <w:ind w:left="1320" w:hanging="220"/>
    </w:pPr>
  </w:style>
  <w:style w:type="paragraph" w:styleId="Index7">
    <w:name w:val="index 7"/>
    <w:basedOn w:val="Standard"/>
    <w:next w:val="Standard"/>
    <w:autoRedefine/>
    <w:uiPriority w:val="99"/>
    <w:semiHidden/>
    <w:rsid w:val="00636E9E"/>
    <w:pPr>
      <w:ind w:left="1540" w:hanging="220"/>
    </w:pPr>
  </w:style>
  <w:style w:type="paragraph" w:styleId="Index8">
    <w:name w:val="index 8"/>
    <w:basedOn w:val="Standard"/>
    <w:next w:val="Standard"/>
    <w:autoRedefine/>
    <w:uiPriority w:val="99"/>
    <w:semiHidden/>
    <w:rsid w:val="00636E9E"/>
    <w:pPr>
      <w:ind w:left="1760" w:hanging="220"/>
    </w:pPr>
  </w:style>
  <w:style w:type="paragraph" w:styleId="Index9">
    <w:name w:val="index 9"/>
    <w:basedOn w:val="Standard"/>
    <w:next w:val="Standard"/>
    <w:autoRedefine/>
    <w:uiPriority w:val="99"/>
    <w:semiHidden/>
    <w:rsid w:val="00636E9E"/>
    <w:pPr>
      <w:ind w:left="1980" w:hanging="220"/>
    </w:pPr>
  </w:style>
  <w:style w:type="paragraph" w:styleId="Listennummer4">
    <w:name w:val="List Number 4"/>
    <w:basedOn w:val="Standard"/>
    <w:uiPriority w:val="99"/>
    <w:semiHidden/>
    <w:rsid w:val="008F587B"/>
    <w:pPr>
      <w:numPr>
        <w:numId w:val="6"/>
      </w:numPr>
    </w:pPr>
  </w:style>
  <w:style w:type="paragraph" w:styleId="Kommentartext">
    <w:name w:val="annotation text"/>
    <w:basedOn w:val="Standard"/>
    <w:link w:val="KommentartextZchn"/>
    <w:uiPriority w:val="99"/>
    <w:rsid w:val="00636E9E"/>
    <w:rPr>
      <w:sz w:val="20"/>
      <w:szCs w:val="20"/>
    </w:rPr>
  </w:style>
  <w:style w:type="paragraph" w:customStyle="1" w:styleId="AlphabetischeListe">
    <w:name w:val="Alphabetische Liste"/>
    <w:basedOn w:val="Listenabsatz"/>
    <w:qFormat/>
    <w:rsid w:val="005E563F"/>
  </w:style>
  <w:style w:type="paragraph" w:styleId="Kommentarthema">
    <w:name w:val="annotation subject"/>
    <w:basedOn w:val="Kommentartext"/>
    <w:next w:val="Kommentartext"/>
    <w:link w:val="KommentarthemaZchn"/>
    <w:uiPriority w:val="99"/>
    <w:semiHidden/>
    <w:rsid w:val="00636E9E"/>
    <w:rPr>
      <w:b/>
    </w:rPr>
  </w:style>
  <w:style w:type="paragraph" w:customStyle="1" w:styleId="Eingezogen">
    <w:name w:val="Eingezogen"/>
    <w:basedOn w:val="Standard"/>
    <w:qFormat/>
    <w:rsid w:val="005E563F"/>
    <w:pPr>
      <w:spacing w:before="120"/>
      <w:ind w:left="284"/>
    </w:pPr>
    <w:rPr>
      <w:rFonts w:cs="Arial"/>
    </w:rPr>
  </w:style>
  <w:style w:type="character" w:styleId="Kommentarzeichen">
    <w:name w:val="annotation reference"/>
    <w:uiPriority w:val="99"/>
    <w:rsid w:val="00636E9E"/>
    <w:rPr>
      <w:sz w:val="16"/>
    </w:rPr>
  </w:style>
  <w:style w:type="paragraph" w:styleId="Makrotext">
    <w:name w:val="macro"/>
    <w:link w:val="MakrotextZchn"/>
    <w:uiPriority w:val="99"/>
    <w:semiHidden/>
    <w:rsid w:val="00636E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krotextZchn">
    <w:name w:val="Makrotext Zchn"/>
    <w:link w:val="Makrotext"/>
    <w:uiPriority w:val="99"/>
    <w:semiHidden/>
    <w:locked/>
    <w:rsid w:val="00145173"/>
    <w:rPr>
      <w:rFonts w:ascii="Courier New" w:hAnsi="Courier New"/>
      <w:lang w:val="de-DE" w:eastAsia="de-DE" w:bidi="ar-SA"/>
    </w:rPr>
  </w:style>
  <w:style w:type="paragraph" w:styleId="Verzeichnis1">
    <w:name w:val="toc 1"/>
    <w:basedOn w:val="Standard"/>
    <w:next w:val="Standard"/>
    <w:autoRedefine/>
    <w:uiPriority w:val="39"/>
    <w:rsid w:val="00E029A0"/>
    <w:pPr>
      <w:tabs>
        <w:tab w:val="right" w:leader="dot" w:pos="9072"/>
      </w:tabs>
      <w:ind w:left="851" w:right="851" w:hanging="851"/>
    </w:pPr>
    <w:rPr>
      <w:noProof/>
    </w:rPr>
  </w:style>
  <w:style w:type="paragraph" w:styleId="Verzeichnis2">
    <w:name w:val="toc 2"/>
    <w:basedOn w:val="Standard"/>
    <w:next w:val="Standard"/>
    <w:autoRedefine/>
    <w:uiPriority w:val="39"/>
    <w:rsid w:val="00E029A0"/>
    <w:pPr>
      <w:tabs>
        <w:tab w:val="right" w:leader="dot" w:pos="9072"/>
      </w:tabs>
      <w:ind w:left="851" w:right="851" w:hanging="851"/>
    </w:pPr>
    <w:rPr>
      <w:rFonts w:eastAsiaTheme="minorEastAsia" w:cstheme="minorBidi"/>
      <w:noProof/>
    </w:rPr>
  </w:style>
  <w:style w:type="paragraph" w:styleId="Verzeichnis3">
    <w:name w:val="toc 3"/>
    <w:basedOn w:val="Standard"/>
    <w:next w:val="Standard"/>
    <w:autoRedefine/>
    <w:uiPriority w:val="39"/>
    <w:rsid w:val="00E029A0"/>
    <w:pPr>
      <w:tabs>
        <w:tab w:val="right" w:leader="dot" w:pos="9072"/>
      </w:tabs>
      <w:ind w:left="851" w:right="851" w:hanging="851"/>
    </w:pPr>
  </w:style>
  <w:style w:type="paragraph" w:styleId="Verzeichnis4">
    <w:name w:val="toc 4"/>
    <w:basedOn w:val="Standard"/>
    <w:next w:val="Standard"/>
    <w:autoRedefine/>
    <w:uiPriority w:val="39"/>
    <w:rsid w:val="0081101D"/>
    <w:pPr>
      <w:tabs>
        <w:tab w:val="right" w:leader="dot" w:pos="9072"/>
      </w:tabs>
      <w:ind w:left="851" w:right="851" w:hanging="851"/>
    </w:pPr>
  </w:style>
  <w:style w:type="paragraph" w:styleId="Verzeichnis5">
    <w:name w:val="toc 5"/>
    <w:basedOn w:val="Standard"/>
    <w:next w:val="Standard"/>
    <w:autoRedefine/>
    <w:uiPriority w:val="39"/>
    <w:rsid w:val="00E930BE"/>
    <w:pPr>
      <w:ind w:left="1293" w:hanging="1293"/>
    </w:pPr>
  </w:style>
  <w:style w:type="paragraph" w:styleId="Verzeichnis6">
    <w:name w:val="toc 6"/>
    <w:basedOn w:val="Standard"/>
    <w:next w:val="Standard"/>
    <w:autoRedefine/>
    <w:uiPriority w:val="39"/>
    <w:rsid w:val="00E930BE"/>
    <w:pPr>
      <w:ind w:left="1293" w:hanging="1293"/>
    </w:pPr>
  </w:style>
  <w:style w:type="paragraph" w:styleId="Verzeichnis7">
    <w:name w:val="toc 7"/>
    <w:basedOn w:val="Standard"/>
    <w:next w:val="Standard"/>
    <w:autoRedefine/>
    <w:uiPriority w:val="39"/>
    <w:rsid w:val="00E930BE"/>
    <w:pPr>
      <w:ind w:left="1293" w:hanging="1293"/>
    </w:pPr>
  </w:style>
  <w:style w:type="paragraph" w:styleId="Verzeichnis8">
    <w:name w:val="toc 8"/>
    <w:basedOn w:val="Standard"/>
    <w:next w:val="Standard"/>
    <w:autoRedefine/>
    <w:uiPriority w:val="39"/>
    <w:rsid w:val="00E930BE"/>
    <w:pPr>
      <w:ind w:left="1724" w:hanging="1724"/>
    </w:pPr>
  </w:style>
  <w:style w:type="paragraph" w:styleId="Verzeichnis9">
    <w:name w:val="toc 9"/>
    <w:basedOn w:val="Standard"/>
    <w:next w:val="Standard"/>
    <w:autoRedefine/>
    <w:uiPriority w:val="39"/>
    <w:rsid w:val="00E930BE"/>
    <w:pPr>
      <w:ind w:left="1724" w:hanging="1724"/>
    </w:pPr>
  </w:style>
  <w:style w:type="character" w:styleId="BesuchterLink">
    <w:name w:val="FollowedHyperlink"/>
    <w:uiPriority w:val="99"/>
    <w:semiHidden/>
    <w:rsid w:val="0072384B"/>
    <w:rPr>
      <w:color w:val="A01432"/>
      <w:u w:val="single"/>
    </w:rPr>
  </w:style>
  <w:style w:type="character" w:styleId="Hervorhebung">
    <w:name w:val="Emphasis"/>
    <w:qFormat/>
    <w:rsid w:val="005E563F"/>
    <w:rPr>
      <w:b/>
    </w:rPr>
  </w:style>
  <w:style w:type="paragraph" w:styleId="Listennummer5">
    <w:name w:val="List Number 5"/>
    <w:basedOn w:val="Standard"/>
    <w:uiPriority w:val="99"/>
    <w:semiHidden/>
    <w:rsid w:val="008F587B"/>
    <w:pPr>
      <w:numPr>
        <w:numId w:val="7"/>
      </w:numPr>
      <w:tabs>
        <w:tab w:val="clear" w:pos="1492"/>
        <w:tab w:val="left" w:pos="862"/>
      </w:tabs>
      <w:ind w:left="862" w:hanging="431"/>
    </w:pPr>
  </w:style>
  <w:style w:type="paragraph" w:styleId="Nachrichtenkopf">
    <w:name w:val="Message Header"/>
    <w:basedOn w:val="Standard"/>
    <w:link w:val="NachrichtenkopfZchn"/>
    <w:uiPriority w:val="99"/>
    <w:semiHidden/>
    <w:rsid w:val="006C036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0"/>
    </w:rPr>
  </w:style>
  <w:style w:type="character" w:customStyle="1" w:styleId="NachrichtenkopfZchn">
    <w:name w:val="Nachrichtenkopf Zchn"/>
    <w:link w:val="Nachrichtenkopf"/>
    <w:uiPriority w:val="99"/>
    <w:semiHidden/>
    <w:locked/>
    <w:rsid w:val="00145173"/>
    <w:rPr>
      <w:rFonts w:ascii="Arial" w:hAnsi="Arial"/>
      <w:sz w:val="24"/>
      <w:lang w:val="de-DE" w:eastAsia="de-DE"/>
    </w:rPr>
  </w:style>
  <w:style w:type="paragraph" w:styleId="NurText">
    <w:name w:val="Plain Text"/>
    <w:basedOn w:val="Standard"/>
    <w:link w:val="NurTextZchn"/>
    <w:uiPriority w:val="99"/>
    <w:semiHidden/>
    <w:rsid w:val="006C036B"/>
    <w:rPr>
      <w:rFonts w:ascii="Courier New" w:hAnsi="Courier New"/>
      <w:sz w:val="20"/>
      <w:szCs w:val="20"/>
    </w:rPr>
  </w:style>
  <w:style w:type="character" w:customStyle="1" w:styleId="NurTextZchn">
    <w:name w:val="Nur Text Zchn"/>
    <w:link w:val="NurText"/>
    <w:uiPriority w:val="99"/>
    <w:semiHidden/>
    <w:locked/>
    <w:rsid w:val="00145173"/>
    <w:rPr>
      <w:rFonts w:ascii="Courier New" w:hAnsi="Courier New"/>
      <w:lang w:val="de-DE" w:eastAsia="de-DE"/>
    </w:rPr>
  </w:style>
  <w:style w:type="table" w:styleId="Tabelle3D-Effekt1">
    <w:name w:val="Table 3D effects 1"/>
    <w:basedOn w:val="NormaleTabelle"/>
    <w:uiPriority w:val="99"/>
    <w:semiHidden/>
    <w:rsid w:val="006C036B"/>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6C036B"/>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6C036B"/>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6C036B"/>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6C036B"/>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6C036B"/>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6C036B"/>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6C036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6C036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6C036B"/>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6C036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6C036B"/>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6C036B"/>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6C036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6C036B"/>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6C036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6C036B"/>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6C036B"/>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6C036B"/>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6C036B"/>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6C036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6C036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6C036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6C03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6C03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6C036B"/>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6C036B"/>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6C036B"/>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6C036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6C036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6C036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6C036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6C036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6C036B"/>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6C036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6C036B"/>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6C036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6C036B"/>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6C036B"/>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6C03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6C036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6C03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len-Thema1">
    <w:name w:val="Tabellen-Thema1"/>
    <w:basedOn w:val="NormaleTabelle"/>
    <w:semiHidden/>
    <w:rsid w:val="006C0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E930BE"/>
    <w:pPr>
      <w:spacing w:line="480" w:lineRule="auto"/>
    </w:pPr>
    <w:rPr>
      <w:sz w:val="24"/>
      <w:szCs w:val="20"/>
    </w:rPr>
  </w:style>
  <w:style w:type="character" w:customStyle="1" w:styleId="Textkrper2Zchn">
    <w:name w:val="Textkörper 2 Zchn"/>
    <w:link w:val="Textkrper2"/>
    <w:uiPriority w:val="99"/>
    <w:semiHidden/>
    <w:locked/>
    <w:rsid w:val="00145173"/>
    <w:rPr>
      <w:rFonts w:ascii="Arial" w:hAnsi="Arial"/>
      <w:sz w:val="24"/>
    </w:rPr>
  </w:style>
  <w:style w:type="paragraph" w:styleId="Textkrper-Erstzeileneinzug2">
    <w:name w:val="Body Text First Indent 2"/>
    <w:basedOn w:val="Textkrper-Zeileneinzug"/>
    <w:link w:val="Textkrper-Erstzeileneinzug2Zchn"/>
    <w:uiPriority w:val="99"/>
    <w:semiHidden/>
    <w:rsid w:val="00E930BE"/>
    <w:pPr>
      <w:ind w:left="283" w:firstLine="210"/>
    </w:pPr>
  </w:style>
  <w:style w:type="character" w:customStyle="1" w:styleId="Textkrper-Erstzeileneinzug2Zchn">
    <w:name w:val="Textkörper-Erstzeileneinzug 2 Zchn"/>
    <w:link w:val="Textkrper-Erstzeileneinzug2"/>
    <w:uiPriority w:val="99"/>
    <w:semiHidden/>
    <w:locked/>
    <w:rsid w:val="00145173"/>
    <w:rPr>
      <w:rFonts w:ascii="Arial" w:hAnsi="Arial"/>
      <w:sz w:val="24"/>
    </w:rPr>
  </w:style>
  <w:style w:type="character" w:styleId="Zeilennummer">
    <w:name w:val="line number"/>
    <w:basedOn w:val="Absatz-Standardschriftart"/>
    <w:uiPriority w:val="99"/>
    <w:semiHidden/>
    <w:rsid w:val="006C036B"/>
  </w:style>
  <w:style w:type="paragraph" w:customStyle="1" w:styleId="Deckblatt-Titel">
    <w:name w:val="Deckblatt-Titel"/>
    <w:basedOn w:val="Standard"/>
    <w:uiPriority w:val="99"/>
    <w:rsid w:val="001A7A2B"/>
    <w:pPr>
      <w:framePr w:w="7246" w:h="1281" w:wrap="notBeside" w:vAnchor="page" w:hAnchor="text" w:y="4480"/>
      <w:spacing w:after="400" w:line="640" w:lineRule="atLeast"/>
    </w:pPr>
    <w:rPr>
      <w:b/>
      <w:sz w:val="52"/>
    </w:rPr>
  </w:style>
  <w:style w:type="paragraph" w:customStyle="1" w:styleId="Deckblatt-Untertitel">
    <w:name w:val="Deckblatt-Untertitel"/>
    <w:basedOn w:val="Standard"/>
    <w:uiPriority w:val="99"/>
    <w:rsid w:val="00204127"/>
    <w:pPr>
      <w:framePr w:w="7246" w:h="879" w:wrap="around" w:vAnchor="page" w:hAnchor="margin" w:y="6295"/>
      <w:spacing w:after="200" w:line="440" w:lineRule="atLeast"/>
    </w:pPr>
    <w:rPr>
      <w:color w:val="747576"/>
      <w:sz w:val="34"/>
    </w:rPr>
  </w:style>
  <w:style w:type="paragraph" w:customStyle="1" w:styleId="Deckblatt-Datum">
    <w:name w:val="Deckblatt-Datum"/>
    <w:basedOn w:val="Deckblatt-Untertitel"/>
    <w:uiPriority w:val="99"/>
    <w:rsid w:val="00204127"/>
    <w:pPr>
      <w:framePr w:wrap="around"/>
      <w:spacing w:line="300" w:lineRule="atLeast"/>
    </w:pPr>
    <w:rPr>
      <w:noProof/>
      <w:sz w:val="22"/>
    </w:rPr>
  </w:style>
  <w:style w:type="paragraph" w:styleId="Indexberschrift">
    <w:name w:val="index heading"/>
    <w:basedOn w:val="Standard"/>
    <w:next w:val="Index1"/>
    <w:semiHidden/>
    <w:rsid w:val="00204127"/>
    <w:pPr>
      <w:spacing w:after="0" w:line="360" w:lineRule="auto"/>
    </w:pPr>
    <w:rPr>
      <w:sz w:val="20"/>
      <w:szCs w:val="20"/>
    </w:rPr>
  </w:style>
  <w:style w:type="paragraph" w:customStyle="1" w:styleId="Standardaufzhlung">
    <w:name w:val="Standardaufzählung"/>
    <w:basedOn w:val="Standard"/>
    <w:link w:val="StandardaufzhlungChar"/>
    <w:autoRedefine/>
    <w:rsid w:val="00204127"/>
    <w:pPr>
      <w:tabs>
        <w:tab w:val="num" w:pos="360"/>
      </w:tabs>
      <w:spacing w:before="240" w:after="0" w:line="360" w:lineRule="auto"/>
      <w:ind w:left="357" w:hanging="357"/>
    </w:pPr>
    <w:rPr>
      <w:sz w:val="20"/>
      <w:szCs w:val="20"/>
    </w:rPr>
  </w:style>
  <w:style w:type="character" w:customStyle="1" w:styleId="StandardaufzhlungChar">
    <w:name w:val="Standardaufzählung Char"/>
    <w:link w:val="Standardaufzhlung"/>
    <w:locked/>
    <w:rsid w:val="00204127"/>
    <w:rPr>
      <w:rFonts w:ascii="Arial" w:hAnsi="Arial"/>
      <w:lang w:val="de-DE" w:eastAsia="de-DE"/>
    </w:rPr>
  </w:style>
  <w:style w:type="paragraph" w:customStyle="1" w:styleId="NummerierteListeohneEinzug">
    <w:name w:val="Nummerierte Liste ohne Einzug"/>
    <w:basedOn w:val="Standard"/>
    <w:qFormat/>
    <w:rsid w:val="005E563F"/>
    <w:rPr>
      <w:rFonts w:cs="Arial"/>
    </w:rPr>
  </w:style>
  <w:style w:type="paragraph" w:customStyle="1" w:styleId="Tabellentextschmal">
    <w:name w:val="Tabellentext schmal"/>
    <w:basedOn w:val="Standard"/>
    <w:next w:val="Standard"/>
    <w:link w:val="TabellentextschmalZchn"/>
    <w:rsid w:val="0066472E"/>
    <w:pPr>
      <w:spacing w:after="0"/>
    </w:pPr>
    <w:rPr>
      <w:rFonts w:ascii="Arial Narrow" w:hAnsi="Arial Narrow"/>
      <w:szCs w:val="20"/>
    </w:rPr>
  </w:style>
  <w:style w:type="character" w:customStyle="1" w:styleId="TabellentextschmalZchn">
    <w:name w:val="Tabellentext schmal Zchn"/>
    <w:link w:val="Tabellentextschmal"/>
    <w:locked/>
    <w:rsid w:val="0066472E"/>
    <w:rPr>
      <w:rFonts w:ascii="Arial Narrow" w:hAnsi="Arial Narrow"/>
      <w:szCs w:val="20"/>
    </w:rPr>
  </w:style>
  <w:style w:type="paragraph" w:customStyle="1" w:styleId="Tabellentextquerfett">
    <w:name w:val="Tabellentext quer fett"/>
    <w:basedOn w:val="Tabellentextschmal"/>
    <w:next w:val="Standard"/>
    <w:rsid w:val="00204127"/>
    <w:rPr>
      <w:b/>
    </w:rPr>
  </w:style>
  <w:style w:type="paragraph" w:customStyle="1" w:styleId="Literaturverzeichnis1">
    <w:name w:val="Literaturverzeichnis1"/>
    <w:basedOn w:val="Standard"/>
    <w:autoRedefine/>
    <w:rsid w:val="00204127"/>
    <w:pPr>
      <w:spacing w:before="120" w:after="0" w:line="360" w:lineRule="auto"/>
      <w:ind w:left="1418" w:hanging="1418"/>
    </w:pPr>
    <w:rPr>
      <w:sz w:val="20"/>
      <w:szCs w:val="20"/>
    </w:rPr>
  </w:style>
  <w:style w:type="paragraph" w:customStyle="1" w:styleId="AlphabetischeListeGrobuchstaben">
    <w:name w:val="Alphabetische Liste Großbuchstaben"/>
    <w:basedOn w:val="Standard"/>
    <w:qFormat/>
    <w:rsid w:val="005E563F"/>
    <w:pPr>
      <w:numPr>
        <w:numId w:val="30"/>
      </w:numPr>
    </w:pPr>
    <w:rPr>
      <w:rFonts w:cs="Arial"/>
    </w:rPr>
  </w:style>
  <w:style w:type="paragraph" w:customStyle="1" w:styleId="NummerierteListemitEinzug">
    <w:name w:val="Nummerierte Liste mit Einzug"/>
    <w:basedOn w:val="ListeLinksbndig"/>
    <w:qFormat/>
    <w:rsid w:val="005E563F"/>
    <w:pPr>
      <w:numPr>
        <w:numId w:val="0"/>
      </w:numPr>
      <w:contextualSpacing w:val="0"/>
    </w:pPr>
    <w:rPr>
      <w:szCs w:val="22"/>
    </w:rPr>
  </w:style>
  <w:style w:type="paragraph" w:customStyle="1" w:styleId="AlphabeticheListeGrobuchstabenmitEinzug">
    <w:name w:val="Alphabetiche Liste Großbuchstaben mit Einzug"/>
    <w:basedOn w:val="AlphabetischeListeGrobuchstaben"/>
    <w:qFormat/>
    <w:rsid w:val="005E563F"/>
    <w:pPr>
      <w:numPr>
        <w:numId w:val="0"/>
      </w:numPr>
    </w:pPr>
  </w:style>
  <w:style w:type="paragraph" w:customStyle="1" w:styleId="Tabellentexthochfett">
    <w:name w:val="Tabellentext hoch fett"/>
    <w:basedOn w:val="Standard"/>
    <w:next w:val="Standard"/>
    <w:rsid w:val="001A2711"/>
    <w:pPr>
      <w:spacing w:after="0" w:line="360" w:lineRule="auto"/>
    </w:pPr>
    <w:rPr>
      <w:b/>
      <w:sz w:val="20"/>
      <w:szCs w:val="20"/>
    </w:rPr>
  </w:style>
  <w:style w:type="paragraph" w:customStyle="1" w:styleId="Tabellelinks">
    <w:name w:val="Tabellelinks"/>
    <w:basedOn w:val="Standard"/>
    <w:next w:val="Standard"/>
    <w:rsid w:val="00204127"/>
    <w:pPr>
      <w:spacing w:before="120" w:line="240" w:lineRule="auto"/>
    </w:pPr>
    <w:rPr>
      <w:sz w:val="20"/>
      <w:szCs w:val="20"/>
    </w:rPr>
  </w:style>
  <w:style w:type="character" w:customStyle="1" w:styleId="AbbildungsverzeichnisZchn">
    <w:name w:val="Abbildungsverzeichnis Zchn"/>
    <w:link w:val="Abbildungsverzeichnis"/>
    <w:uiPriority w:val="99"/>
    <w:locked/>
    <w:rsid w:val="00EE53D2"/>
    <w:rPr>
      <w:sz w:val="24"/>
      <w:szCs w:val="20"/>
    </w:rPr>
  </w:style>
  <w:style w:type="paragraph" w:customStyle="1" w:styleId="Tabellennummerierung">
    <w:name w:val="Tabellennummerierung"/>
    <w:basedOn w:val="Standard"/>
    <w:next w:val="Standard"/>
    <w:autoRedefine/>
    <w:rsid w:val="00204127"/>
    <w:pPr>
      <w:tabs>
        <w:tab w:val="left" w:pos="1134"/>
      </w:tabs>
      <w:spacing w:after="0" w:line="360" w:lineRule="auto"/>
    </w:pPr>
    <w:rPr>
      <w:bCs/>
      <w:sz w:val="20"/>
      <w:szCs w:val="20"/>
    </w:rPr>
  </w:style>
  <w:style w:type="paragraph" w:customStyle="1" w:styleId="Begriff">
    <w:name w:val="Begriff"/>
    <w:basedOn w:val="Standard"/>
    <w:qFormat/>
    <w:rsid w:val="005E563F"/>
    <w:pPr>
      <w:keepNext/>
      <w:spacing w:after="0"/>
    </w:pPr>
    <w:rPr>
      <w:b/>
    </w:rPr>
  </w:style>
  <w:style w:type="paragraph" w:customStyle="1" w:styleId="Numerierung2">
    <w:name w:val="Numerierung2"/>
    <w:basedOn w:val="Standard"/>
    <w:autoRedefine/>
    <w:rsid w:val="00204127"/>
    <w:pPr>
      <w:numPr>
        <w:numId w:val="13"/>
      </w:numPr>
      <w:tabs>
        <w:tab w:val="clear" w:pos="720"/>
        <w:tab w:val="num" w:pos="-596"/>
      </w:tabs>
      <w:spacing w:after="0" w:line="240" w:lineRule="auto"/>
      <w:ind w:left="-596" w:hanging="397"/>
    </w:pPr>
    <w:rPr>
      <w:sz w:val="32"/>
      <w:szCs w:val="32"/>
    </w:rPr>
  </w:style>
  <w:style w:type="paragraph" w:customStyle="1" w:styleId="Standardtext">
    <w:name w:val="Standardtext"/>
    <w:basedOn w:val="Standard"/>
    <w:autoRedefine/>
    <w:rsid w:val="00204127"/>
    <w:pPr>
      <w:spacing w:before="120" w:after="0" w:line="240" w:lineRule="auto"/>
    </w:pPr>
    <w:rPr>
      <w:sz w:val="20"/>
      <w:szCs w:val="20"/>
    </w:rPr>
  </w:style>
  <w:style w:type="paragraph" w:customStyle="1" w:styleId="TextinGrafiken">
    <w:name w:val="Text in Grafiken"/>
    <w:basedOn w:val="Standard"/>
    <w:next w:val="Standard"/>
    <w:autoRedefine/>
    <w:rsid w:val="00204127"/>
    <w:pPr>
      <w:spacing w:after="0" w:line="240" w:lineRule="auto"/>
    </w:pPr>
    <w:rPr>
      <w:b/>
      <w:color w:val="000000"/>
      <w:sz w:val="16"/>
      <w:szCs w:val="20"/>
    </w:rPr>
  </w:style>
  <w:style w:type="character" w:customStyle="1" w:styleId="berschrift2Zchn">
    <w:name w:val="Überschrift 2 Zchn"/>
    <w:link w:val="berschrift2"/>
    <w:uiPriority w:val="99"/>
    <w:locked/>
    <w:rsid w:val="00A37478"/>
    <w:rPr>
      <w:rFonts w:cs="Arial"/>
      <w:b/>
      <w:bCs/>
      <w:iCs/>
      <w:sz w:val="28"/>
      <w:szCs w:val="28"/>
    </w:rPr>
  </w:style>
  <w:style w:type="paragraph" w:customStyle="1" w:styleId="Listenabsatz1">
    <w:name w:val="Listenabsatz1"/>
    <w:basedOn w:val="Standard"/>
    <w:link w:val="ListParagraphChar2"/>
    <w:rsid w:val="00E930BE"/>
    <w:pPr>
      <w:spacing w:after="0" w:line="240" w:lineRule="auto"/>
      <w:ind w:left="720"/>
      <w:contextualSpacing/>
    </w:pPr>
    <w:rPr>
      <w:rFonts w:ascii="Times New Roman" w:hAnsi="Times New Roman"/>
      <w:sz w:val="24"/>
      <w:szCs w:val="20"/>
    </w:rPr>
  </w:style>
  <w:style w:type="character" w:customStyle="1" w:styleId="FunotentextZchn">
    <w:name w:val="Fußnotentext Zchn"/>
    <w:link w:val="Funotentext"/>
    <w:uiPriority w:val="99"/>
    <w:locked/>
    <w:rsid w:val="00204127"/>
    <w:rPr>
      <w:rFonts w:ascii="Arial" w:hAnsi="Arial"/>
      <w:sz w:val="22"/>
      <w:lang w:val="de-DE" w:eastAsia="de-DE"/>
    </w:rPr>
  </w:style>
  <w:style w:type="character" w:customStyle="1" w:styleId="TextkrperZchn">
    <w:name w:val="Textkörper Zchn"/>
    <w:link w:val="Textkrper"/>
    <w:uiPriority w:val="99"/>
    <w:semiHidden/>
    <w:locked/>
    <w:rsid w:val="00204127"/>
    <w:rPr>
      <w:rFonts w:ascii="Arial" w:hAnsi="Arial"/>
      <w:sz w:val="24"/>
    </w:rPr>
  </w:style>
  <w:style w:type="paragraph" w:customStyle="1" w:styleId="Bulltetpoint">
    <w:name w:val="Bulltetpoint"/>
    <w:basedOn w:val="Aufzhlungszeichen"/>
    <w:link w:val="BulltetpointChar"/>
    <w:rsid w:val="00204127"/>
    <w:pPr>
      <w:numPr>
        <w:numId w:val="0"/>
      </w:numPr>
      <w:tabs>
        <w:tab w:val="num" w:pos="900"/>
      </w:tabs>
      <w:spacing w:after="144" w:line="288" w:lineRule="auto"/>
      <w:ind w:left="717" w:hanging="357"/>
    </w:pPr>
    <w:rPr>
      <w:sz w:val="24"/>
      <w:lang w:val="en-GB" w:eastAsia="en-US"/>
    </w:rPr>
  </w:style>
  <w:style w:type="paragraph" w:customStyle="1" w:styleId="BeschriftungBilder-Tabellen">
    <w:name w:val="Beschriftung Bilder-Tabellen"/>
    <w:basedOn w:val="Standard"/>
    <w:link w:val="BeschriftungBilder-TabellenZchn"/>
    <w:qFormat/>
    <w:rsid w:val="005E563F"/>
    <w:pPr>
      <w:spacing w:before="360" w:after="600"/>
    </w:pPr>
    <w:rPr>
      <w:rFonts w:eastAsia="Batang"/>
      <w:b/>
      <w:color w:val="000000"/>
      <w:szCs w:val="20"/>
      <w:lang w:eastAsia="ko-KR"/>
    </w:rPr>
  </w:style>
  <w:style w:type="character" w:customStyle="1" w:styleId="BeschriftungBilder-TabellenZchn">
    <w:name w:val="Beschriftung Bilder-Tabellen Zchn"/>
    <w:link w:val="BeschriftungBilder-Tabellen"/>
    <w:locked/>
    <w:rsid w:val="005E563F"/>
    <w:rPr>
      <w:rFonts w:eastAsia="Batang"/>
      <w:b/>
      <w:color w:val="000000"/>
      <w:szCs w:val="20"/>
      <w:lang w:eastAsia="ko-KR"/>
    </w:rPr>
  </w:style>
  <w:style w:type="character" w:customStyle="1" w:styleId="BulltetpointChar">
    <w:name w:val="Bulltetpoint Char"/>
    <w:link w:val="Bulltetpoint"/>
    <w:locked/>
    <w:rsid w:val="00204127"/>
    <w:rPr>
      <w:rFonts w:ascii="Arial" w:hAnsi="Arial"/>
      <w:sz w:val="24"/>
      <w:lang w:val="en-GB" w:eastAsia="en-US"/>
    </w:rPr>
  </w:style>
  <w:style w:type="paragraph" w:customStyle="1" w:styleId="Paginierung">
    <w:name w:val="Paginierung"/>
    <w:basedOn w:val="Fuzeile"/>
    <w:uiPriority w:val="99"/>
    <w:semiHidden/>
    <w:rsid w:val="00E930BE"/>
    <w:pPr>
      <w:framePr w:w="2155" w:h="210" w:hRule="exact" w:wrap="around" w:vAnchor="page" w:hAnchor="page" w:x="9300" w:y="15299"/>
    </w:pPr>
    <w:rPr>
      <w:noProof/>
    </w:rPr>
  </w:style>
  <w:style w:type="character" w:styleId="Fett">
    <w:name w:val="Strong"/>
    <w:uiPriority w:val="99"/>
    <w:qFormat/>
    <w:rsid w:val="005E563F"/>
    <w:rPr>
      <w:b/>
    </w:rPr>
  </w:style>
  <w:style w:type="character" w:customStyle="1" w:styleId="SprechblasentextZchn">
    <w:name w:val="Sprechblasentext Zchn"/>
    <w:link w:val="Sprechblasentext"/>
    <w:uiPriority w:val="99"/>
    <w:locked/>
    <w:rsid w:val="00204127"/>
    <w:rPr>
      <w:rFonts w:ascii="Tahoma" w:hAnsi="Tahoma"/>
      <w:sz w:val="16"/>
      <w:lang w:val="de-DE" w:eastAsia="de-DE"/>
    </w:rPr>
  </w:style>
  <w:style w:type="character" w:customStyle="1" w:styleId="KommentartextZchn">
    <w:name w:val="Kommentartext Zchn"/>
    <w:link w:val="Kommentartext"/>
    <w:uiPriority w:val="99"/>
    <w:locked/>
    <w:rsid w:val="00204127"/>
    <w:rPr>
      <w:rFonts w:ascii="Arial" w:hAnsi="Arial"/>
      <w:lang w:val="de-DE" w:eastAsia="de-DE"/>
    </w:rPr>
  </w:style>
  <w:style w:type="character" w:customStyle="1" w:styleId="KommentarthemaZchn">
    <w:name w:val="Kommentarthema Zchn"/>
    <w:link w:val="Kommentarthema"/>
    <w:uiPriority w:val="99"/>
    <w:locked/>
    <w:rsid w:val="00204127"/>
    <w:rPr>
      <w:rFonts w:ascii="Arial" w:hAnsi="Arial"/>
      <w:b/>
      <w:lang w:val="de-DE" w:eastAsia="de-DE"/>
    </w:rPr>
  </w:style>
  <w:style w:type="paragraph" w:customStyle="1" w:styleId="berarbeitung1">
    <w:name w:val="Überarbeitung1"/>
    <w:hidden/>
    <w:semiHidden/>
    <w:rsid w:val="00204127"/>
    <w:rPr>
      <w:rFonts w:cs="Arial Unicode MS"/>
      <w:sz w:val="24"/>
      <w:szCs w:val="24"/>
    </w:rPr>
  </w:style>
  <w:style w:type="character" w:customStyle="1" w:styleId="TitelZchn">
    <w:name w:val="Titel Zchn"/>
    <w:link w:val="Titel"/>
    <w:uiPriority w:val="10"/>
    <w:locked/>
    <w:rsid w:val="005E563F"/>
    <w:rPr>
      <w:rFonts w:ascii="Arial" w:hAnsi="Arial"/>
      <w:b/>
      <w:kern w:val="28"/>
      <w:sz w:val="32"/>
    </w:rPr>
  </w:style>
  <w:style w:type="character" w:customStyle="1" w:styleId="berschrift1Zchn">
    <w:name w:val="Überschrift 1 Zchn"/>
    <w:link w:val="berschrift1"/>
    <w:uiPriority w:val="99"/>
    <w:locked/>
    <w:rsid w:val="005E563F"/>
    <w:rPr>
      <w:rFonts w:cs="Arial"/>
      <w:b/>
      <w:bCs/>
      <w:kern w:val="32"/>
      <w:sz w:val="28"/>
    </w:rPr>
  </w:style>
  <w:style w:type="character" w:customStyle="1" w:styleId="berschrift3Zchn">
    <w:name w:val="Überschrift 3 Zchn"/>
    <w:link w:val="berschrift3"/>
    <w:uiPriority w:val="99"/>
    <w:locked/>
    <w:rsid w:val="001E5908"/>
    <w:rPr>
      <w:rFonts w:cs="Arial"/>
      <w:b/>
      <w:bCs/>
      <w:sz w:val="28"/>
      <w:szCs w:val="26"/>
    </w:rPr>
  </w:style>
  <w:style w:type="character" w:customStyle="1" w:styleId="berschrift4Zchn">
    <w:name w:val="Überschrift 4 Zchn"/>
    <w:link w:val="berschrift4"/>
    <w:uiPriority w:val="99"/>
    <w:locked/>
    <w:rsid w:val="001E5908"/>
    <w:rPr>
      <w:b/>
      <w:bCs/>
      <w:sz w:val="28"/>
      <w:szCs w:val="28"/>
    </w:rPr>
  </w:style>
  <w:style w:type="character" w:customStyle="1" w:styleId="berschrift5Zchn">
    <w:name w:val="Überschrift 5 Zchn"/>
    <w:link w:val="berschrift5"/>
    <w:uiPriority w:val="99"/>
    <w:locked/>
    <w:rsid w:val="005E563F"/>
    <w:rPr>
      <w:b/>
      <w:bCs/>
      <w:iCs/>
      <w:sz w:val="26"/>
      <w:szCs w:val="26"/>
    </w:rPr>
  </w:style>
  <w:style w:type="character" w:customStyle="1" w:styleId="berschrift6Zchn">
    <w:name w:val="Überschrift 6 Zchn"/>
    <w:link w:val="berschrift6"/>
    <w:uiPriority w:val="99"/>
    <w:locked/>
    <w:rsid w:val="005E563F"/>
    <w:rPr>
      <w:b/>
      <w:bCs/>
    </w:rPr>
  </w:style>
  <w:style w:type="character" w:customStyle="1" w:styleId="berschrift7Zchn">
    <w:name w:val="Überschrift 7 Zchn"/>
    <w:link w:val="berschrift7"/>
    <w:uiPriority w:val="99"/>
    <w:locked/>
    <w:rsid w:val="005E563F"/>
    <w:rPr>
      <w:sz w:val="24"/>
    </w:rPr>
  </w:style>
  <w:style w:type="character" w:customStyle="1" w:styleId="berschrift8Zchn">
    <w:name w:val="Überschrift 8 Zchn"/>
    <w:link w:val="berschrift8"/>
    <w:uiPriority w:val="99"/>
    <w:locked/>
    <w:rsid w:val="005E563F"/>
    <w:rPr>
      <w:iCs/>
      <w:sz w:val="24"/>
    </w:rPr>
  </w:style>
  <w:style w:type="character" w:customStyle="1" w:styleId="berschrift9Zchn">
    <w:name w:val="Überschrift 9 Zchn"/>
    <w:link w:val="berschrift9"/>
    <w:uiPriority w:val="99"/>
    <w:locked/>
    <w:rsid w:val="005E563F"/>
    <w:rPr>
      <w:rFonts w:cs="Arial"/>
    </w:rPr>
  </w:style>
  <w:style w:type="paragraph" w:styleId="StandardWeb">
    <w:name w:val="Normal (Web)"/>
    <w:basedOn w:val="Standard"/>
    <w:uiPriority w:val="99"/>
    <w:semiHidden/>
    <w:rsid w:val="00E930BE"/>
    <w:pPr>
      <w:spacing w:before="100" w:beforeAutospacing="1" w:after="100" w:afterAutospacing="1" w:line="240" w:lineRule="auto"/>
    </w:pPr>
    <w:rPr>
      <w:rFonts w:ascii="Times New Roman" w:hAnsi="Times New Roman"/>
      <w:sz w:val="24"/>
    </w:rPr>
  </w:style>
  <w:style w:type="character" w:customStyle="1" w:styleId="SchwacherVerweis1">
    <w:name w:val="Schwacher Verweis1"/>
    <w:rsid w:val="00204127"/>
    <w:rPr>
      <w:sz w:val="24"/>
      <w:u w:val="single"/>
    </w:rPr>
  </w:style>
  <w:style w:type="paragraph" w:customStyle="1" w:styleId="ListenBlocksatz">
    <w:name w:val="Listen Blocksatz"/>
    <w:basedOn w:val="Listenabsatz1"/>
    <w:link w:val="ListenBlocksatzZchn1"/>
    <w:rsid w:val="00204127"/>
    <w:pPr>
      <w:numPr>
        <w:numId w:val="14"/>
      </w:numPr>
      <w:spacing w:after="120" w:line="360" w:lineRule="auto"/>
      <w:jc w:val="both"/>
    </w:pPr>
    <w:rPr>
      <w:lang w:eastAsia="en-US" w:bidi="kn-IN"/>
    </w:rPr>
  </w:style>
  <w:style w:type="character" w:customStyle="1" w:styleId="ListParagraphChar2">
    <w:name w:val="List Paragraph Char2"/>
    <w:link w:val="Listenabsatz1"/>
    <w:locked/>
    <w:rsid w:val="00204127"/>
    <w:rPr>
      <w:sz w:val="24"/>
    </w:rPr>
  </w:style>
  <w:style w:type="paragraph" w:customStyle="1" w:styleId="ListeLinksbndig">
    <w:name w:val="Liste Linksbündig"/>
    <w:basedOn w:val="ListenBlocksatz"/>
    <w:link w:val="ListeLinksbndigZchn"/>
    <w:rsid w:val="00943840"/>
    <w:pPr>
      <w:spacing w:line="300" w:lineRule="atLeast"/>
      <w:ind w:left="568" w:hanging="284"/>
      <w:jc w:val="left"/>
    </w:pPr>
    <w:rPr>
      <w:rFonts w:ascii="Arial" w:hAnsi="Arial"/>
      <w:sz w:val="22"/>
    </w:rPr>
  </w:style>
  <w:style w:type="character" w:customStyle="1" w:styleId="ListenBlocksatzZchn1">
    <w:name w:val="Listen Blocksatz Zchn1"/>
    <w:link w:val="ListenBlocksatz"/>
    <w:locked/>
    <w:rsid w:val="00204127"/>
    <w:rPr>
      <w:rFonts w:ascii="Times New Roman" w:hAnsi="Times New Roman"/>
      <w:sz w:val="24"/>
      <w:szCs w:val="20"/>
      <w:lang w:eastAsia="en-US" w:bidi="kn-IN"/>
    </w:rPr>
  </w:style>
  <w:style w:type="character" w:customStyle="1" w:styleId="ListeLinksbndigZchn">
    <w:name w:val="Liste Linksbündig Zchn"/>
    <w:link w:val="ListeLinksbndig"/>
    <w:locked/>
    <w:rsid w:val="00943840"/>
    <w:rPr>
      <w:szCs w:val="20"/>
      <w:lang w:eastAsia="en-US" w:bidi="kn-IN"/>
    </w:rPr>
  </w:style>
  <w:style w:type="paragraph" w:customStyle="1" w:styleId="Listenabsatz2">
    <w:name w:val="Listenabsatz2"/>
    <w:basedOn w:val="Standard"/>
    <w:link w:val="ListParagraphChar"/>
    <w:rsid w:val="00204127"/>
    <w:pPr>
      <w:spacing w:before="120" w:after="0" w:line="360" w:lineRule="auto"/>
      <w:ind w:left="708"/>
      <w:jc w:val="both"/>
    </w:pPr>
    <w:rPr>
      <w:rFonts w:ascii="Verdana" w:hAnsi="Verdana"/>
      <w:sz w:val="20"/>
      <w:szCs w:val="20"/>
    </w:rPr>
  </w:style>
  <w:style w:type="character" w:customStyle="1" w:styleId="FuzeileZchn">
    <w:name w:val="Fußzeile Zchn"/>
    <w:link w:val="Fuzeile"/>
    <w:uiPriority w:val="99"/>
    <w:locked/>
    <w:rsid w:val="001A7A2B"/>
    <w:rPr>
      <w:sz w:val="14"/>
      <w:szCs w:val="20"/>
    </w:rPr>
  </w:style>
  <w:style w:type="character" w:customStyle="1" w:styleId="ListParagraphChar">
    <w:name w:val="List Paragraph Char"/>
    <w:link w:val="Listenabsatz2"/>
    <w:locked/>
    <w:rsid w:val="00204127"/>
    <w:rPr>
      <w:rFonts w:ascii="Verdana" w:hAnsi="Verdana"/>
      <w:lang w:val="de-DE" w:eastAsia="de-DE"/>
    </w:rPr>
  </w:style>
  <w:style w:type="paragraph" w:customStyle="1" w:styleId="Tabellenbezeichnung">
    <w:name w:val="Tabellenbezeichnung"/>
    <w:basedOn w:val="Standard"/>
    <w:link w:val="TabellenbezeichnungZchn"/>
    <w:rsid w:val="00F17A6F"/>
    <w:rPr>
      <w:szCs w:val="20"/>
    </w:rPr>
  </w:style>
  <w:style w:type="character" w:customStyle="1" w:styleId="TabellenbezeichnungZchn">
    <w:name w:val="Tabellenbezeichnung Zchn"/>
    <w:link w:val="Tabellenbezeichnung"/>
    <w:locked/>
    <w:rsid w:val="00F17A6F"/>
    <w:rPr>
      <w:szCs w:val="20"/>
    </w:rPr>
  </w:style>
  <w:style w:type="numbering" w:customStyle="1" w:styleId="Gliederung2">
    <w:name w:val="Gliederung 2"/>
    <w:rsid w:val="00AE101A"/>
    <w:pPr>
      <w:numPr>
        <w:numId w:val="15"/>
      </w:numPr>
    </w:pPr>
  </w:style>
  <w:style w:type="numbering" w:customStyle="1" w:styleId="ArticleSection1">
    <w:name w:val="Article / Section1"/>
    <w:rsid w:val="00AE101A"/>
    <w:pPr>
      <w:numPr>
        <w:numId w:val="10"/>
      </w:numPr>
    </w:pPr>
  </w:style>
  <w:style w:type="numbering" w:customStyle="1" w:styleId="ArticleSection11">
    <w:name w:val="Article / Section11"/>
    <w:rsid w:val="00AE101A"/>
    <w:pPr>
      <w:numPr>
        <w:numId w:val="17"/>
      </w:numPr>
    </w:pPr>
  </w:style>
  <w:style w:type="numbering" w:customStyle="1" w:styleId="Gliederung3">
    <w:name w:val="Gliederung 3"/>
    <w:rsid w:val="00AE101A"/>
    <w:pPr>
      <w:numPr>
        <w:numId w:val="16"/>
      </w:numPr>
    </w:pPr>
  </w:style>
  <w:style w:type="numbering" w:styleId="111111">
    <w:name w:val="Outline List 2"/>
    <w:basedOn w:val="KeineListe"/>
    <w:uiPriority w:val="99"/>
    <w:rsid w:val="00AE101A"/>
    <w:pPr>
      <w:numPr>
        <w:numId w:val="11"/>
      </w:numPr>
    </w:pPr>
  </w:style>
  <w:style w:type="numbering" w:styleId="1ai">
    <w:name w:val="Outline List 1"/>
    <w:basedOn w:val="KeineListe"/>
    <w:uiPriority w:val="99"/>
    <w:rsid w:val="005F609B"/>
    <w:pPr>
      <w:numPr>
        <w:numId w:val="12"/>
      </w:numPr>
    </w:pPr>
  </w:style>
  <w:style w:type="numbering" w:customStyle="1" w:styleId="Gliederung4">
    <w:name w:val="Gliederung 4"/>
    <w:rsid w:val="00AE101A"/>
    <w:pPr>
      <w:numPr>
        <w:numId w:val="18"/>
      </w:numPr>
    </w:pPr>
  </w:style>
  <w:style w:type="paragraph" w:styleId="berarbeitung">
    <w:name w:val="Revision"/>
    <w:hidden/>
    <w:uiPriority w:val="99"/>
    <w:semiHidden/>
    <w:rsid w:val="00E930BE"/>
    <w:rPr>
      <w:szCs w:val="24"/>
    </w:rPr>
  </w:style>
  <w:style w:type="numbering" w:styleId="ArtikelAbschnitt">
    <w:name w:val="Outline List 3"/>
    <w:basedOn w:val="KeineListe"/>
    <w:uiPriority w:val="99"/>
    <w:rsid w:val="00E930BE"/>
    <w:pPr>
      <w:numPr>
        <w:numId w:val="52"/>
      </w:numPr>
    </w:pPr>
  </w:style>
  <w:style w:type="paragraph" w:styleId="Literaturverzeichnis">
    <w:name w:val="Bibliography"/>
    <w:basedOn w:val="Standard"/>
    <w:autoRedefine/>
    <w:rsid w:val="00E930BE"/>
    <w:pPr>
      <w:spacing w:before="120" w:after="0" w:line="360" w:lineRule="auto"/>
      <w:ind w:left="1418" w:hanging="1418"/>
    </w:pPr>
    <w:rPr>
      <w:sz w:val="20"/>
      <w:szCs w:val="20"/>
    </w:rPr>
  </w:style>
  <w:style w:type="paragraph" w:styleId="Listenabsatz">
    <w:name w:val="List Paragraph"/>
    <w:basedOn w:val="Standard"/>
    <w:link w:val="ListenabsatzZchn"/>
    <w:uiPriority w:val="34"/>
    <w:qFormat/>
    <w:rsid w:val="005E563F"/>
    <w:pPr>
      <w:contextualSpacing/>
    </w:pPr>
  </w:style>
  <w:style w:type="paragraph" w:styleId="Inhaltsverzeichnisberschrift">
    <w:name w:val="TOC Heading"/>
    <w:basedOn w:val="berschrift1"/>
    <w:next w:val="Standard"/>
    <w:uiPriority w:val="99"/>
    <w:qFormat/>
    <w:rsid w:val="00E930BE"/>
    <w:pPr>
      <w:keepLines/>
      <w:numPr>
        <w:numId w:val="0"/>
      </w:numPr>
      <w:spacing w:before="480" w:after="0" w:line="276" w:lineRule="auto"/>
      <w:ind w:left="1440" w:hanging="360"/>
      <w:outlineLvl w:val="9"/>
    </w:pPr>
    <w:rPr>
      <w:rFonts w:ascii="Cambria" w:hAnsi="Cambria" w:cs="Times New Roman"/>
      <w:color w:val="365F91"/>
      <w:kern w:val="0"/>
      <w:szCs w:val="28"/>
      <w:lang w:eastAsia="en-US"/>
    </w:rPr>
  </w:style>
  <w:style w:type="character" w:styleId="SchwacherVerweis">
    <w:name w:val="Subtle Reference"/>
    <w:basedOn w:val="Absatz-Standardschriftart"/>
    <w:qFormat/>
    <w:rsid w:val="005E563F"/>
    <w:rPr>
      <w:sz w:val="24"/>
      <w:szCs w:val="24"/>
      <w:u w:val="single"/>
    </w:rPr>
  </w:style>
  <w:style w:type="character" w:customStyle="1" w:styleId="ListenabsatzZchn">
    <w:name w:val="Listenabsatz Zchn"/>
    <w:basedOn w:val="Absatz-Standardschriftart"/>
    <w:link w:val="Listenabsatz"/>
    <w:uiPriority w:val="34"/>
    <w:rsid w:val="005E563F"/>
  </w:style>
  <w:style w:type="paragraph" w:customStyle="1" w:styleId="Listenabsatz3">
    <w:name w:val="Listenabsatz3"/>
    <w:basedOn w:val="Standard"/>
    <w:rsid w:val="00E930BE"/>
    <w:pPr>
      <w:spacing w:before="120" w:after="0" w:line="360" w:lineRule="auto"/>
      <w:ind w:left="708"/>
      <w:jc w:val="both"/>
    </w:pPr>
    <w:rPr>
      <w:rFonts w:ascii="Verdana" w:hAnsi="Verdana"/>
      <w:sz w:val="20"/>
      <w:szCs w:val="20"/>
    </w:rPr>
  </w:style>
  <w:style w:type="paragraph" w:customStyle="1" w:styleId="Verzeichnisberschrift">
    <w:name w:val="Verzeichnisüberschrift"/>
    <w:basedOn w:val="Standard"/>
    <w:qFormat/>
    <w:rsid w:val="005E563F"/>
    <w:pPr>
      <w:spacing w:after="540"/>
    </w:pPr>
    <w:rPr>
      <w:b/>
      <w:lang w:val="fr-FR"/>
    </w:rPr>
  </w:style>
  <w:style w:type="paragraph" w:customStyle="1" w:styleId="Nummerierung">
    <w:name w:val="Nummerierung"/>
    <w:basedOn w:val="Standard"/>
    <w:qFormat/>
    <w:rsid w:val="005E563F"/>
    <w:pPr>
      <w:numPr>
        <w:numId w:val="31"/>
      </w:numPr>
    </w:pPr>
  </w:style>
  <w:style w:type="paragraph" w:customStyle="1" w:styleId="Tabellenberschriftschmal">
    <w:name w:val="Tabellenüberschrift schmal"/>
    <w:basedOn w:val="Tabellentextschmal"/>
    <w:qFormat/>
    <w:rsid w:val="005E563F"/>
    <w:rPr>
      <w:b/>
    </w:rPr>
  </w:style>
  <w:style w:type="paragraph" w:customStyle="1" w:styleId="Formel">
    <w:name w:val="Formel"/>
    <w:basedOn w:val="Standard"/>
    <w:qFormat/>
    <w:rsid w:val="005E563F"/>
    <w:pPr>
      <w:spacing w:before="400" w:after="400"/>
    </w:pPr>
    <w:rPr>
      <w:position w:val="-30"/>
    </w:rPr>
  </w:style>
  <w:style w:type="paragraph" w:customStyle="1" w:styleId="Deckblatt-Text">
    <w:name w:val="Deckblatt-Text"/>
    <w:basedOn w:val="Standard"/>
    <w:qFormat/>
    <w:rsid w:val="005E563F"/>
    <w:pPr>
      <w:spacing w:after="300"/>
    </w:pPr>
  </w:style>
  <w:style w:type="numbering" w:customStyle="1" w:styleId="NummerierteListe">
    <w:name w:val="Nummerierte Liste"/>
    <w:basedOn w:val="KeineListe"/>
    <w:uiPriority w:val="99"/>
    <w:rsid w:val="00165F47"/>
    <w:pPr>
      <w:numPr>
        <w:numId w:val="20"/>
      </w:numPr>
    </w:pPr>
  </w:style>
  <w:style w:type="paragraph" w:customStyle="1" w:styleId="Default">
    <w:name w:val="Default"/>
    <w:rsid w:val="00FC3B02"/>
    <w:pPr>
      <w:autoSpaceDE w:val="0"/>
      <w:autoSpaceDN w:val="0"/>
      <w:adjustRightInd w:val="0"/>
      <w:spacing w:after="0" w:line="240" w:lineRule="auto"/>
    </w:pPr>
    <w:rPr>
      <w:rFonts w:eastAsiaTheme="minorHAnsi" w:cs="Arial"/>
      <w:color w:val="000000"/>
      <w:sz w:val="24"/>
      <w:szCs w:val="24"/>
      <w:lang w:eastAsia="en-US"/>
    </w:rPr>
  </w:style>
  <w:style w:type="paragraph" w:customStyle="1" w:styleId="Tabellentextquer">
    <w:name w:val="Tabellentext quer"/>
    <w:basedOn w:val="Standard"/>
    <w:next w:val="Standard"/>
    <w:link w:val="TabellentextquerChar"/>
    <w:rsid w:val="00E90CD0"/>
    <w:pPr>
      <w:spacing w:after="0" w:line="240" w:lineRule="auto"/>
    </w:pPr>
    <w:rPr>
      <w:sz w:val="20"/>
      <w:szCs w:val="20"/>
    </w:rPr>
  </w:style>
  <w:style w:type="character" w:customStyle="1" w:styleId="TabellentextquerChar">
    <w:name w:val="Tabellentext quer Char"/>
    <w:link w:val="Tabellentextquer"/>
    <w:locked/>
    <w:rsid w:val="00E90CD0"/>
    <w:rPr>
      <w:sz w:val="20"/>
      <w:szCs w:val="20"/>
    </w:rPr>
  </w:style>
  <w:style w:type="paragraph" w:styleId="Beschriftung">
    <w:name w:val="caption"/>
    <w:basedOn w:val="Standard"/>
    <w:next w:val="Standard"/>
    <w:uiPriority w:val="99"/>
    <w:unhideWhenUsed/>
    <w:qFormat/>
    <w:locked/>
    <w:rsid w:val="005E563F"/>
    <w:pPr>
      <w:spacing w:after="200" w:line="240" w:lineRule="auto"/>
    </w:pPr>
    <w:rPr>
      <w:b/>
      <w:bCs/>
      <w:color w:val="4F81BD" w:themeColor="accent1"/>
      <w:sz w:val="18"/>
      <w:szCs w:val="18"/>
    </w:rPr>
  </w:style>
  <w:style w:type="paragraph" w:customStyle="1" w:styleId="BulletPGL2">
    <w:name w:val="Bullet P. GL2"/>
    <w:basedOn w:val="Standard"/>
    <w:rsid w:val="00CD3782"/>
    <w:pPr>
      <w:tabs>
        <w:tab w:val="num" w:pos="567"/>
      </w:tabs>
      <w:ind w:left="567" w:hanging="567"/>
    </w:pPr>
    <w:rPr>
      <w:szCs w:val="24"/>
    </w:rPr>
  </w:style>
  <w:style w:type="table" w:customStyle="1" w:styleId="TableNormal1">
    <w:name w:val="Table Normal1"/>
    <w:uiPriority w:val="2"/>
    <w:semiHidden/>
    <w:unhideWhenUsed/>
    <w:qFormat/>
    <w:rsid w:val="007A522F"/>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7A522F"/>
    <w:pPr>
      <w:widowControl w:val="0"/>
      <w:spacing w:after="0" w:line="240" w:lineRule="auto"/>
    </w:pPr>
    <w:rPr>
      <w:rFonts w:asciiTheme="minorHAnsi" w:eastAsiaTheme="minorHAnsi" w:hAnsiTheme="minorHAnsi" w:cstheme="minorBidi"/>
      <w:lang w:val="en-US" w:eastAsia="en-US"/>
    </w:rPr>
  </w:style>
  <w:style w:type="table" w:customStyle="1" w:styleId="TableNormal11">
    <w:name w:val="Table Normal11"/>
    <w:uiPriority w:val="2"/>
    <w:semiHidden/>
    <w:unhideWhenUsed/>
    <w:qFormat/>
    <w:rsid w:val="00436F2A"/>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Platzhaltertext">
    <w:name w:val="Placeholder Text"/>
    <w:basedOn w:val="Absatz-Standardschriftart"/>
    <w:uiPriority w:val="99"/>
    <w:semiHidden/>
    <w:rsid w:val="00646533"/>
    <w:rPr>
      <w:color w:val="808080"/>
    </w:rPr>
  </w:style>
  <w:style w:type="numbering" w:customStyle="1" w:styleId="1111111">
    <w:name w:val="1 / 1.1 / 1.1.11"/>
    <w:basedOn w:val="KeineListe"/>
    <w:next w:val="111111"/>
    <w:uiPriority w:val="99"/>
    <w:semiHidden/>
    <w:unhideWhenUsed/>
    <w:rsid w:val="000A58FE"/>
    <w:pPr>
      <w:numPr>
        <w:numId w:val="49"/>
      </w:numPr>
    </w:pPr>
  </w:style>
  <w:style w:type="paragraph" w:styleId="KeinLeerraum">
    <w:name w:val="No Spacing"/>
    <w:uiPriority w:val="1"/>
    <w:qFormat/>
    <w:rsid w:val="000A58FE"/>
    <w:pPr>
      <w:spacing w:after="0" w:line="240" w:lineRule="auto"/>
    </w:pPr>
    <w:rPr>
      <w:rFonts w:eastAsiaTheme="minorHAnsi" w:cstheme="minorBidi"/>
      <w:lang w:eastAsia="en-US"/>
    </w:rPr>
  </w:style>
  <w:style w:type="paragraph" w:customStyle="1" w:styleId="Betreff">
    <w:name w:val="Betreff"/>
    <w:basedOn w:val="Standard"/>
    <w:next w:val="Anrede"/>
    <w:uiPriority w:val="99"/>
    <w:semiHidden/>
    <w:rsid w:val="000A58FE"/>
    <w:pPr>
      <w:spacing w:before="300" w:after="600"/>
    </w:pPr>
    <w:rPr>
      <w:b/>
      <w:szCs w:val="24"/>
    </w:rPr>
  </w:style>
  <w:style w:type="character" w:customStyle="1" w:styleId="AuskunftsblockChar">
    <w:name w:val="Auskunftsblock Char"/>
    <w:basedOn w:val="Absatz-Standardschriftart"/>
    <w:link w:val="Auskunftsblock"/>
    <w:uiPriority w:val="99"/>
    <w:locked/>
    <w:rsid w:val="000A58FE"/>
    <w:rPr>
      <w:noProof/>
      <w:sz w:val="16"/>
      <w:szCs w:val="16"/>
    </w:rPr>
  </w:style>
  <w:style w:type="paragraph" w:customStyle="1" w:styleId="Auskunftsblock">
    <w:name w:val="Auskunftsblock"/>
    <w:basedOn w:val="Standard"/>
    <w:link w:val="AuskunftsblockChar"/>
    <w:uiPriority w:val="99"/>
    <w:rsid w:val="000A58FE"/>
    <w:pPr>
      <w:tabs>
        <w:tab w:val="left" w:pos="284"/>
      </w:tabs>
      <w:spacing w:after="0" w:line="200" w:lineRule="exact"/>
    </w:pPr>
    <w:rPr>
      <w:noProof/>
      <w:sz w:val="16"/>
      <w:szCs w:val="16"/>
    </w:rPr>
  </w:style>
  <w:style w:type="paragraph" w:customStyle="1" w:styleId="Verteiler">
    <w:name w:val="Verteiler"/>
    <w:basedOn w:val="Standard"/>
    <w:next w:val="Standard"/>
    <w:uiPriority w:val="99"/>
    <w:rsid w:val="000A58FE"/>
    <w:pPr>
      <w:spacing w:after="840"/>
      <w:ind w:left="1134" w:hanging="1134"/>
    </w:pPr>
    <w:rPr>
      <w:szCs w:val="24"/>
    </w:rPr>
  </w:style>
  <w:style w:type="paragraph" w:customStyle="1" w:styleId="Dokumenttyp">
    <w:name w:val="Dokumenttyp"/>
    <w:basedOn w:val="Standard"/>
    <w:uiPriority w:val="99"/>
    <w:semiHidden/>
    <w:rsid w:val="000A58FE"/>
    <w:rPr>
      <w:b/>
      <w:color w:val="747576"/>
      <w:sz w:val="40"/>
      <w:szCs w:val="40"/>
    </w:rPr>
  </w:style>
  <w:style w:type="paragraph" w:customStyle="1" w:styleId="Dokumentbeschreibung">
    <w:name w:val="Dokumentbeschreibung"/>
    <w:basedOn w:val="Untertitel"/>
    <w:uiPriority w:val="99"/>
    <w:semiHidden/>
    <w:rsid w:val="000A58FE"/>
    <w:pPr>
      <w:spacing w:after="0" w:line="320" w:lineRule="atLeast"/>
    </w:pPr>
    <w:rPr>
      <w:rFonts w:cs="Arial"/>
      <w:szCs w:val="24"/>
    </w:rPr>
  </w:style>
  <w:style w:type="paragraph" w:customStyle="1" w:styleId="Landesgruppen">
    <w:name w:val="Landesgruppen"/>
    <w:basedOn w:val="Standard"/>
    <w:uiPriority w:val="99"/>
    <w:rsid w:val="000A58FE"/>
    <w:pPr>
      <w:spacing w:after="100" w:line="210" w:lineRule="atLeast"/>
    </w:pPr>
    <w:rPr>
      <w:color w:val="A01437"/>
      <w:sz w:val="14"/>
      <w:szCs w:val="14"/>
    </w:rPr>
  </w:style>
  <w:style w:type="table" w:styleId="Tabellendesign">
    <w:name w:val="Table Theme"/>
    <w:basedOn w:val="NormaleTabelle"/>
    <w:uiPriority w:val="99"/>
    <w:rsid w:val="000A58F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mschlagabsenderadresse">
    <w:name w:val="envelope return"/>
    <w:basedOn w:val="Standard"/>
    <w:uiPriority w:val="99"/>
    <w:rsid w:val="000A58FE"/>
    <w:rPr>
      <w:rFonts w:cs="Arial"/>
      <w:sz w:val="14"/>
      <w:szCs w:val="20"/>
    </w:rPr>
  </w:style>
  <w:style w:type="paragraph" w:customStyle="1" w:styleId="xl65">
    <w:name w:val="xl65"/>
    <w:basedOn w:val="Standard"/>
    <w:rsid w:val="000A58FE"/>
    <w:pPr>
      <w:shd w:val="clear" w:color="000000" w:fill="92D050"/>
      <w:spacing w:before="100" w:beforeAutospacing="1" w:after="100" w:afterAutospacing="1" w:line="240" w:lineRule="auto"/>
    </w:pPr>
    <w:rPr>
      <w:rFonts w:ascii="Times New Roman" w:hAnsi="Times New Roman"/>
      <w:sz w:val="24"/>
      <w:szCs w:val="24"/>
    </w:rPr>
  </w:style>
  <w:style w:type="paragraph" w:customStyle="1" w:styleId="xl66">
    <w:name w:val="xl66"/>
    <w:basedOn w:val="Standard"/>
    <w:rsid w:val="000A58FE"/>
    <w:pPr>
      <w:shd w:val="clear" w:color="000000" w:fill="FFC000"/>
      <w:spacing w:before="100" w:beforeAutospacing="1" w:after="100" w:afterAutospacing="1" w:line="240" w:lineRule="auto"/>
    </w:pPr>
    <w:rPr>
      <w:rFonts w:ascii="Times New Roman" w:hAnsi="Times New Roman"/>
      <w:sz w:val="24"/>
      <w:szCs w:val="24"/>
    </w:rPr>
  </w:style>
  <w:style w:type="paragraph" w:customStyle="1" w:styleId="xl67">
    <w:name w:val="xl67"/>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Standard"/>
    <w:rsid w:val="000A58FE"/>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Standard"/>
    <w:rsid w:val="000A58FE"/>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2">
    <w:name w:val="xl72"/>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3">
    <w:name w:val="xl73"/>
    <w:basedOn w:val="Standard"/>
    <w:rsid w:val="000A58F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4">
    <w:name w:val="xl7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Standard"/>
    <w:rsid w:val="000A58FE"/>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Standard"/>
    <w:rsid w:val="000A58FE"/>
    <w:pPr>
      <w:pBdr>
        <w:left w:val="single" w:sz="4" w:space="0" w:color="FF0000"/>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82">
    <w:name w:val="xl82"/>
    <w:basedOn w:val="Standard"/>
    <w:rsid w:val="000A58FE"/>
    <w:pP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3">
    <w:name w:val="xl83"/>
    <w:basedOn w:val="Standard"/>
    <w:rsid w:val="000A58FE"/>
    <w:pPr>
      <w:pBdr>
        <w:right w:val="single" w:sz="4" w:space="0" w:color="auto"/>
      </w:pBdr>
      <w:shd w:val="clear" w:color="000000" w:fill="FFFFFF"/>
      <w:spacing w:before="100" w:beforeAutospacing="1" w:after="100" w:afterAutospacing="1" w:line="240" w:lineRule="auto"/>
      <w:jc w:val="right"/>
    </w:pPr>
    <w:rPr>
      <w:rFonts w:ascii="Times New Roman" w:hAnsi="Times New Roman"/>
      <w:sz w:val="24"/>
      <w:szCs w:val="24"/>
    </w:rPr>
  </w:style>
  <w:style w:type="paragraph" w:customStyle="1" w:styleId="xl84">
    <w:name w:val="xl84"/>
    <w:basedOn w:val="Standard"/>
    <w:rsid w:val="000A58FE"/>
    <w:pPr>
      <w:pBdr>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b/>
      <w:bCs/>
      <w:sz w:val="24"/>
      <w:szCs w:val="24"/>
    </w:rPr>
  </w:style>
  <w:style w:type="paragraph" w:customStyle="1" w:styleId="xl85">
    <w:name w:val="xl85"/>
    <w:basedOn w:val="Standard"/>
    <w:rsid w:val="000A58FE"/>
    <w:pP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6">
    <w:name w:val="xl86"/>
    <w:basedOn w:val="Standard"/>
    <w:rsid w:val="000A58FE"/>
    <w:pPr>
      <w:shd w:val="clear" w:color="000000" w:fill="8DB4E2"/>
      <w:spacing w:before="100" w:beforeAutospacing="1" w:after="100" w:afterAutospacing="1" w:line="240" w:lineRule="auto"/>
    </w:pPr>
    <w:rPr>
      <w:rFonts w:ascii="Times New Roman" w:hAnsi="Times New Roman"/>
      <w:sz w:val="24"/>
      <w:szCs w:val="24"/>
    </w:rPr>
  </w:style>
  <w:style w:type="paragraph" w:customStyle="1" w:styleId="xl87">
    <w:name w:val="xl87"/>
    <w:basedOn w:val="Standard"/>
    <w:rsid w:val="000A58FE"/>
    <w:pPr>
      <w:pBdr>
        <w:top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Standard"/>
    <w:rsid w:val="000A58FE"/>
    <w:pPr>
      <w:pBdr>
        <w:lef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Standard"/>
    <w:rsid w:val="000A58FE"/>
    <w:pP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91">
    <w:name w:val="xl91"/>
    <w:basedOn w:val="Standard"/>
    <w:rsid w:val="000A58FE"/>
    <w:pPr>
      <w:pBdr>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2">
    <w:name w:val="xl92"/>
    <w:basedOn w:val="Standard"/>
    <w:rsid w:val="000A58FE"/>
    <w:pPr>
      <w:pBdr>
        <w:top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3">
    <w:name w:val="xl93"/>
    <w:basedOn w:val="Standard"/>
    <w:rsid w:val="000A58FE"/>
    <w:pPr>
      <w:pBdr>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4">
    <w:name w:val="xl9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5">
    <w:name w:val="xl95"/>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96">
    <w:name w:val="xl96"/>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97">
    <w:name w:val="xl97"/>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8">
    <w:name w:val="xl98"/>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99">
    <w:name w:val="xl99"/>
    <w:basedOn w:val="Standard"/>
    <w:rsid w:val="000A58FE"/>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0">
    <w:name w:val="xl100"/>
    <w:basedOn w:val="Standard"/>
    <w:rsid w:val="000A58F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1">
    <w:name w:val="xl101"/>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2">
    <w:name w:val="xl102"/>
    <w:basedOn w:val="Standard"/>
    <w:rsid w:val="000A58FE"/>
    <w:pPr>
      <w:pBdr>
        <w:top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3">
    <w:name w:val="xl103"/>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4">
    <w:name w:val="xl104"/>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5">
    <w:name w:val="xl105"/>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6">
    <w:name w:val="xl106"/>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7">
    <w:name w:val="xl107"/>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8">
    <w:name w:val="xl108"/>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9">
    <w:name w:val="xl109"/>
    <w:basedOn w:val="Standard"/>
    <w:rsid w:val="000A58FE"/>
    <w:pPr>
      <w:pBdr>
        <w:top w:val="single" w:sz="4" w:space="0" w:color="auto"/>
        <w:left w:val="single" w:sz="4" w:space="0" w:color="auto"/>
        <w:bottom w:val="single" w:sz="4" w:space="0" w:color="auto"/>
        <w:right w:val="single" w:sz="4" w:space="0" w:color="FF0000"/>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10">
    <w:name w:val="xl110"/>
    <w:basedOn w:val="Standard"/>
    <w:rsid w:val="000A58FE"/>
    <w:pPr>
      <w:pBdr>
        <w:top w:val="single" w:sz="4" w:space="0" w:color="auto"/>
        <w:left w:val="single" w:sz="4" w:space="0" w:color="auto"/>
        <w:bottom w:val="single" w:sz="4" w:space="0" w:color="auto"/>
        <w:right w:val="single" w:sz="4" w:space="0" w:color="FF0000"/>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11">
    <w:name w:val="xl111"/>
    <w:basedOn w:val="Standard"/>
    <w:rsid w:val="000A58FE"/>
    <w:pPr>
      <w:pBdr>
        <w:top w:val="single" w:sz="4" w:space="0" w:color="auto"/>
        <w:left w:val="single" w:sz="4" w:space="0" w:color="auto"/>
        <w:bottom w:val="single" w:sz="4" w:space="0" w:color="auto"/>
        <w:right w:val="single" w:sz="4" w:space="0" w:color="FF0000"/>
      </w:pBdr>
      <w:shd w:val="clear" w:color="000000" w:fill="FFFFFF"/>
      <w:spacing w:before="100" w:beforeAutospacing="1" w:after="100" w:afterAutospacing="1" w:line="240" w:lineRule="auto"/>
    </w:pPr>
    <w:rPr>
      <w:rFonts w:ascii="Times New Roman" w:hAnsi="Times New Roman"/>
      <w:sz w:val="24"/>
      <w:szCs w:val="24"/>
    </w:rPr>
  </w:style>
  <w:style w:type="character" w:customStyle="1" w:styleId="GL2OhneZifferZchnZchn">
    <w:name w:val="GL 2 Ohne Ziffer Zchn Zchn"/>
    <w:link w:val="GL2OhneZiffer"/>
    <w:locked/>
    <w:rsid w:val="00137DB3"/>
    <w:rPr>
      <w:szCs w:val="24"/>
    </w:rPr>
  </w:style>
  <w:style w:type="paragraph" w:customStyle="1" w:styleId="GL2OhneZiffer">
    <w:name w:val="GL 2 Ohne Ziffer"/>
    <w:basedOn w:val="Standard"/>
    <w:link w:val="GL2OhneZifferZchnZchn"/>
    <w:rsid w:val="00137DB3"/>
    <w:pPr>
      <w:ind w:left="567"/>
    </w:pPr>
    <w:rPr>
      <w:szCs w:val="24"/>
    </w:rPr>
  </w:style>
  <w:style w:type="character" w:customStyle="1" w:styleId="NichtaufgelsteErwhnung1">
    <w:name w:val="Nicht aufgelöste Erwähnung1"/>
    <w:basedOn w:val="Absatz-Standardschriftart"/>
    <w:uiPriority w:val="99"/>
    <w:semiHidden/>
    <w:unhideWhenUsed/>
    <w:rsid w:val="00470E6E"/>
    <w:rPr>
      <w:color w:val="605E5C"/>
      <w:shd w:val="clear" w:color="auto" w:fill="E1DFDD"/>
    </w:rPr>
  </w:style>
  <w:style w:type="character" w:styleId="NichtaufgelsteErwhnung">
    <w:name w:val="Unresolved Mention"/>
    <w:basedOn w:val="Absatz-Standardschriftart"/>
    <w:uiPriority w:val="99"/>
    <w:semiHidden/>
    <w:unhideWhenUsed/>
    <w:rsid w:val="00C21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4475904">
      <w:bodyDiv w:val="1"/>
      <w:marLeft w:val="0"/>
      <w:marRight w:val="0"/>
      <w:marTop w:val="0"/>
      <w:marBottom w:val="0"/>
      <w:divBdr>
        <w:top w:val="none" w:sz="0" w:space="0" w:color="auto"/>
        <w:left w:val="none" w:sz="0" w:space="0" w:color="auto"/>
        <w:bottom w:val="none" w:sz="0" w:space="0" w:color="auto"/>
        <w:right w:val="none" w:sz="0" w:space="0" w:color="auto"/>
      </w:divBdr>
    </w:div>
    <w:div w:id="11038210">
      <w:bodyDiv w:val="1"/>
      <w:marLeft w:val="0"/>
      <w:marRight w:val="0"/>
      <w:marTop w:val="0"/>
      <w:marBottom w:val="0"/>
      <w:divBdr>
        <w:top w:val="none" w:sz="0" w:space="0" w:color="auto"/>
        <w:left w:val="none" w:sz="0" w:space="0" w:color="auto"/>
        <w:bottom w:val="none" w:sz="0" w:space="0" w:color="auto"/>
        <w:right w:val="none" w:sz="0" w:space="0" w:color="auto"/>
      </w:divBdr>
    </w:div>
    <w:div w:id="35661997">
      <w:bodyDiv w:val="1"/>
      <w:marLeft w:val="0"/>
      <w:marRight w:val="0"/>
      <w:marTop w:val="0"/>
      <w:marBottom w:val="0"/>
      <w:divBdr>
        <w:top w:val="none" w:sz="0" w:space="0" w:color="auto"/>
        <w:left w:val="none" w:sz="0" w:space="0" w:color="auto"/>
        <w:bottom w:val="none" w:sz="0" w:space="0" w:color="auto"/>
        <w:right w:val="none" w:sz="0" w:space="0" w:color="auto"/>
      </w:divBdr>
    </w:div>
    <w:div w:id="44717638">
      <w:bodyDiv w:val="1"/>
      <w:marLeft w:val="0"/>
      <w:marRight w:val="0"/>
      <w:marTop w:val="0"/>
      <w:marBottom w:val="0"/>
      <w:divBdr>
        <w:top w:val="none" w:sz="0" w:space="0" w:color="auto"/>
        <w:left w:val="none" w:sz="0" w:space="0" w:color="auto"/>
        <w:bottom w:val="none" w:sz="0" w:space="0" w:color="auto"/>
        <w:right w:val="none" w:sz="0" w:space="0" w:color="auto"/>
      </w:divBdr>
    </w:div>
    <w:div w:id="55787757">
      <w:bodyDiv w:val="1"/>
      <w:marLeft w:val="0"/>
      <w:marRight w:val="0"/>
      <w:marTop w:val="0"/>
      <w:marBottom w:val="0"/>
      <w:divBdr>
        <w:top w:val="none" w:sz="0" w:space="0" w:color="auto"/>
        <w:left w:val="none" w:sz="0" w:space="0" w:color="auto"/>
        <w:bottom w:val="none" w:sz="0" w:space="0" w:color="auto"/>
        <w:right w:val="none" w:sz="0" w:space="0" w:color="auto"/>
      </w:divBdr>
    </w:div>
    <w:div w:id="70542500">
      <w:bodyDiv w:val="1"/>
      <w:marLeft w:val="0"/>
      <w:marRight w:val="0"/>
      <w:marTop w:val="0"/>
      <w:marBottom w:val="0"/>
      <w:divBdr>
        <w:top w:val="none" w:sz="0" w:space="0" w:color="auto"/>
        <w:left w:val="none" w:sz="0" w:space="0" w:color="auto"/>
        <w:bottom w:val="none" w:sz="0" w:space="0" w:color="auto"/>
        <w:right w:val="none" w:sz="0" w:space="0" w:color="auto"/>
      </w:divBdr>
    </w:div>
    <w:div w:id="79642535">
      <w:bodyDiv w:val="1"/>
      <w:marLeft w:val="0"/>
      <w:marRight w:val="0"/>
      <w:marTop w:val="0"/>
      <w:marBottom w:val="0"/>
      <w:divBdr>
        <w:top w:val="none" w:sz="0" w:space="0" w:color="auto"/>
        <w:left w:val="none" w:sz="0" w:space="0" w:color="auto"/>
        <w:bottom w:val="none" w:sz="0" w:space="0" w:color="auto"/>
        <w:right w:val="none" w:sz="0" w:space="0" w:color="auto"/>
      </w:divBdr>
    </w:div>
    <w:div w:id="80107947">
      <w:bodyDiv w:val="1"/>
      <w:marLeft w:val="0"/>
      <w:marRight w:val="0"/>
      <w:marTop w:val="0"/>
      <w:marBottom w:val="0"/>
      <w:divBdr>
        <w:top w:val="none" w:sz="0" w:space="0" w:color="auto"/>
        <w:left w:val="none" w:sz="0" w:space="0" w:color="auto"/>
        <w:bottom w:val="none" w:sz="0" w:space="0" w:color="auto"/>
        <w:right w:val="none" w:sz="0" w:space="0" w:color="auto"/>
      </w:divBdr>
    </w:div>
    <w:div w:id="83650962">
      <w:bodyDiv w:val="1"/>
      <w:marLeft w:val="0"/>
      <w:marRight w:val="0"/>
      <w:marTop w:val="0"/>
      <w:marBottom w:val="0"/>
      <w:divBdr>
        <w:top w:val="none" w:sz="0" w:space="0" w:color="auto"/>
        <w:left w:val="none" w:sz="0" w:space="0" w:color="auto"/>
        <w:bottom w:val="none" w:sz="0" w:space="0" w:color="auto"/>
        <w:right w:val="none" w:sz="0" w:space="0" w:color="auto"/>
      </w:divBdr>
    </w:div>
    <w:div w:id="105202313">
      <w:bodyDiv w:val="1"/>
      <w:marLeft w:val="0"/>
      <w:marRight w:val="0"/>
      <w:marTop w:val="0"/>
      <w:marBottom w:val="0"/>
      <w:divBdr>
        <w:top w:val="none" w:sz="0" w:space="0" w:color="auto"/>
        <w:left w:val="none" w:sz="0" w:space="0" w:color="auto"/>
        <w:bottom w:val="none" w:sz="0" w:space="0" w:color="auto"/>
        <w:right w:val="none" w:sz="0" w:space="0" w:color="auto"/>
      </w:divBdr>
    </w:div>
    <w:div w:id="107357867">
      <w:bodyDiv w:val="1"/>
      <w:marLeft w:val="0"/>
      <w:marRight w:val="0"/>
      <w:marTop w:val="0"/>
      <w:marBottom w:val="0"/>
      <w:divBdr>
        <w:top w:val="none" w:sz="0" w:space="0" w:color="auto"/>
        <w:left w:val="none" w:sz="0" w:space="0" w:color="auto"/>
        <w:bottom w:val="none" w:sz="0" w:space="0" w:color="auto"/>
        <w:right w:val="none" w:sz="0" w:space="0" w:color="auto"/>
      </w:divBdr>
    </w:div>
    <w:div w:id="126243294">
      <w:bodyDiv w:val="1"/>
      <w:marLeft w:val="0"/>
      <w:marRight w:val="0"/>
      <w:marTop w:val="0"/>
      <w:marBottom w:val="0"/>
      <w:divBdr>
        <w:top w:val="none" w:sz="0" w:space="0" w:color="auto"/>
        <w:left w:val="none" w:sz="0" w:space="0" w:color="auto"/>
        <w:bottom w:val="none" w:sz="0" w:space="0" w:color="auto"/>
        <w:right w:val="none" w:sz="0" w:space="0" w:color="auto"/>
      </w:divBdr>
    </w:div>
    <w:div w:id="131022541">
      <w:bodyDiv w:val="1"/>
      <w:marLeft w:val="0"/>
      <w:marRight w:val="0"/>
      <w:marTop w:val="0"/>
      <w:marBottom w:val="0"/>
      <w:divBdr>
        <w:top w:val="none" w:sz="0" w:space="0" w:color="auto"/>
        <w:left w:val="none" w:sz="0" w:space="0" w:color="auto"/>
        <w:bottom w:val="none" w:sz="0" w:space="0" w:color="auto"/>
        <w:right w:val="none" w:sz="0" w:space="0" w:color="auto"/>
      </w:divBdr>
    </w:div>
    <w:div w:id="144858445">
      <w:bodyDiv w:val="1"/>
      <w:marLeft w:val="0"/>
      <w:marRight w:val="0"/>
      <w:marTop w:val="0"/>
      <w:marBottom w:val="0"/>
      <w:divBdr>
        <w:top w:val="none" w:sz="0" w:space="0" w:color="auto"/>
        <w:left w:val="none" w:sz="0" w:space="0" w:color="auto"/>
        <w:bottom w:val="none" w:sz="0" w:space="0" w:color="auto"/>
        <w:right w:val="none" w:sz="0" w:space="0" w:color="auto"/>
      </w:divBdr>
    </w:div>
    <w:div w:id="168449578">
      <w:bodyDiv w:val="1"/>
      <w:marLeft w:val="0"/>
      <w:marRight w:val="0"/>
      <w:marTop w:val="0"/>
      <w:marBottom w:val="0"/>
      <w:divBdr>
        <w:top w:val="none" w:sz="0" w:space="0" w:color="auto"/>
        <w:left w:val="none" w:sz="0" w:space="0" w:color="auto"/>
        <w:bottom w:val="none" w:sz="0" w:space="0" w:color="auto"/>
        <w:right w:val="none" w:sz="0" w:space="0" w:color="auto"/>
      </w:divBdr>
    </w:div>
    <w:div w:id="182716400">
      <w:bodyDiv w:val="1"/>
      <w:marLeft w:val="0"/>
      <w:marRight w:val="0"/>
      <w:marTop w:val="0"/>
      <w:marBottom w:val="0"/>
      <w:divBdr>
        <w:top w:val="none" w:sz="0" w:space="0" w:color="auto"/>
        <w:left w:val="none" w:sz="0" w:space="0" w:color="auto"/>
        <w:bottom w:val="none" w:sz="0" w:space="0" w:color="auto"/>
        <w:right w:val="none" w:sz="0" w:space="0" w:color="auto"/>
      </w:divBdr>
    </w:div>
    <w:div w:id="191109697">
      <w:bodyDiv w:val="1"/>
      <w:marLeft w:val="0"/>
      <w:marRight w:val="0"/>
      <w:marTop w:val="0"/>
      <w:marBottom w:val="0"/>
      <w:divBdr>
        <w:top w:val="none" w:sz="0" w:space="0" w:color="auto"/>
        <w:left w:val="none" w:sz="0" w:space="0" w:color="auto"/>
        <w:bottom w:val="none" w:sz="0" w:space="0" w:color="auto"/>
        <w:right w:val="none" w:sz="0" w:space="0" w:color="auto"/>
      </w:divBdr>
    </w:div>
    <w:div w:id="213009986">
      <w:bodyDiv w:val="1"/>
      <w:marLeft w:val="0"/>
      <w:marRight w:val="0"/>
      <w:marTop w:val="0"/>
      <w:marBottom w:val="0"/>
      <w:divBdr>
        <w:top w:val="none" w:sz="0" w:space="0" w:color="auto"/>
        <w:left w:val="none" w:sz="0" w:space="0" w:color="auto"/>
        <w:bottom w:val="none" w:sz="0" w:space="0" w:color="auto"/>
        <w:right w:val="none" w:sz="0" w:space="0" w:color="auto"/>
      </w:divBdr>
    </w:div>
    <w:div w:id="249824861">
      <w:bodyDiv w:val="1"/>
      <w:marLeft w:val="0"/>
      <w:marRight w:val="0"/>
      <w:marTop w:val="0"/>
      <w:marBottom w:val="0"/>
      <w:divBdr>
        <w:top w:val="none" w:sz="0" w:space="0" w:color="auto"/>
        <w:left w:val="none" w:sz="0" w:space="0" w:color="auto"/>
        <w:bottom w:val="none" w:sz="0" w:space="0" w:color="auto"/>
        <w:right w:val="none" w:sz="0" w:space="0" w:color="auto"/>
      </w:divBdr>
    </w:div>
    <w:div w:id="293876763">
      <w:bodyDiv w:val="1"/>
      <w:marLeft w:val="0"/>
      <w:marRight w:val="0"/>
      <w:marTop w:val="0"/>
      <w:marBottom w:val="0"/>
      <w:divBdr>
        <w:top w:val="none" w:sz="0" w:space="0" w:color="auto"/>
        <w:left w:val="none" w:sz="0" w:space="0" w:color="auto"/>
        <w:bottom w:val="none" w:sz="0" w:space="0" w:color="auto"/>
        <w:right w:val="none" w:sz="0" w:space="0" w:color="auto"/>
      </w:divBdr>
    </w:div>
    <w:div w:id="312100371">
      <w:bodyDiv w:val="1"/>
      <w:marLeft w:val="0"/>
      <w:marRight w:val="0"/>
      <w:marTop w:val="0"/>
      <w:marBottom w:val="0"/>
      <w:divBdr>
        <w:top w:val="none" w:sz="0" w:space="0" w:color="auto"/>
        <w:left w:val="none" w:sz="0" w:space="0" w:color="auto"/>
        <w:bottom w:val="none" w:sz="0" w:space="0" w:color="auto"/>
        <w:right w:val="none" w:sz="0" w:space="0" w:color="auto"/>
      </w:divBdr>
    </w:div>
    <w:div w:id="383455042">
      <w:bodyDiv w:val="1"/>
      <w:marLeft w:val="0"/>
      <w:marRight w:val="0"/>
      <w:marTop w:val="0"/>
      <w:marBottom w:val="0"/>
      <w:divBdr>
        <w:top w:val="none" w:sz="0" w:space="0" w:color="auto"/>
        <w:left w:val="none" w:sz="0" w:space="0" w:color="auto"/>
        <w:bottom w:val="none" w:sz="0" w:space="0" w:color="auto"/>
        <w:right w:val="none" w:sz="0" w:space="0" w:color="auto"/>
      </w:divBdr>
    </w:div>
    <w:div w:id="385762915">
      <w:bodyDiv w:val="1"/>
      <w:marLeft w:val="0"/>
      <w:marRight w:val="0"/>
      <w:marTop w:val="0"/>
      <w:marBottom w:val="0"/>
      <w:divBdr>
        <w:top w:val="none" w:sz="0" w:space="0" w:color="auto"/>
        <w:left w:val="none" w:sz="0" w:space="0" w:color="auto"/>
        <w:bottom w:val="none" w:sz="0" w:space="0" w:color="auto"/>
        <w:right w:val="none" w:sz="0" w:space="0" w:color="auto"/>
      </w:divBdr>
    </w:div>
    <w:div w:id="402219632">
      <w:bodyDiv w:val="1"/>
      <w:marLeft w:val="0"/>
      <w:marRight w:val="0"/>
      <w:marTop w:val="0"/>
      <w:marBottom w:val="0"/>
      <w:divBdr>
        <w:top w:val="none" w:sz="0" w:space="0" w:color="auto"/>
        <w:left w:val="none" w:sz="0" w:space="0" w:color="auto"/>
        <w:bottom w:val="none" w:sz="0" w:space="0" w:color="auto"/>
        <w:right w:val="none" w:sz="0" w:space="0" w:color="auto"/>
      </w:divBdr>
    </w:div>
    <w:div w:id="411779089">
      <w:bodyDiv w:val="1"/>
      <w:marLeft w:val="0"/>
      <w:marRight w:val="0"/>
      <w:marTop w:val="0"/>
      <w:marBottom w:val="0"/>
      <w:divBdr>
        <w:top w:val="none" w:sz="0" w:space="0" w:color="auto"/>
        <w:left w:val="none" w:sz="0" w:space="0" w:color="auto"/>
        <w:bottom w:val="none" w:sz="0" w:space="0" w:color="auto"/>
        <w:right w:val="none" w:sz="0" w:space="0" w:color="auto"/>
      </w:divBdr>
      <w:divsChild>
        <w:div w:id="109015246">
          <w:marLeft w:val="0"/>
          <w:marRight w:val="0"/>
          <w:marTop w:val="0"/>
          <w:marBottom w:val="0"/>
          <w:divBdr>
            <w:top w:val="none" w:sz="0" w:space="0" w:color="auto"/>
            <w:left w:val="none" w:sz="0" w:space="0" w:color="auto"/>
            <w:bottom w:val="none" w:sz="0" w:space="0" w:color="auto"/>
            <w:right w:val="none" w:sz="0" w:space="0" w:color="auto"/>
          </w:divBdr>
        </w:div>
        <w:div w:id="1014186584">
          <w:marLeft w:val="0"/>
          <w:marRight w:val="0"/>
          <w:marTop w:val="0"/>
          <w:marBottom w:val="0"/>
          <w:divBdr>
            <w:top w:val="none" w:sz="0" w:space="0" w:color="auto"/>
            <w:left w:val="none" w:sz="0" w:space="0" w:color="auto"/>
            <w:bottom w:val="none" w:sz="0" w:space="0" w:color="auto"/>
            <w:right w:val="none" w:sz="0" w:space="0" w:color="auto"/>
          </w:divBdr>
        </w:div>
        <w:div w:id="1248151466">
          <w:marLeft w:val="0"/>
          <w:marRight w:val="0"/>
          <w:marTop w:val="0"/>
          <w:marBottom w:val="0"/>
          <w:divBdr>
            <w:top w:val="none" w:sz="0" w:space="0" w:color="auto"/>
            <w:left w:val="none" w:sz="0" w:space="0" w:color="auto"/>
            <w:bottom w:val="none" w:sz="0" w:space="0" w:color="auto"/>
            <w:right w:val="none" w:sz="0" w:space="0" w:color="auto"/>
          </w:divBdr>
        </w:div>
        <w:div w:id="1427581038">
          <w:marLeft w:val="0"/>
          <w:marRight w:val="0"/>
          <w:marTop w:val="0"/>
          <w:marBottom w:val="0"/>
          <w:divBdr>
            <w:top w:val="none" w:sz="0" w:space="0" w:color="auto"/>
            <w:left w:val="none" w:sz="0" w:space="0" w:color="auto"/>
            <w:bottom w:val="none" w:sz="0" w:space="0" w:color="auto"/>
            <w:right w:val="none" w:sz="0" w:space="0" w:color="auto"/>
          </w:divBdr>
        </w:div>
        <w:div w:id="1911161094">
          <w:marLeft w:val="0"/>
          <w:marRight w:val="0"/>
          <w:marTop w:val="0"/>
          <w:marBottom w:val="0"/>
          <w:divBdr>
            <w:top w:val="none" w:sz="0" w:space="0" w:color="auto"/>
            <w:left w:val="none" w:sz="0" w:space="0" w:color="auto"/>
            <w:bottom w:val="none" w:sz="0" w:space="0" w:color="auto"/>
            <w:right w:val="none" w:sz="0" w:space="0" w:color="auto"/>
          </w:divBdr>
        </w:div>
      </w:divsChild>
    </w:div>
    <w:div w:id="449975125">
      <w:bodyDiv w:val="1"/>
      <w:marLeft w:val="0"/>
      <w:marRight w:val="0"/>
      <w:marTop w:val="0"/>
      <w:marBottom w:val="0"/>
      <w:divBdr>
        <w:top w:val="none" w:sz="0" w:space="0" w:color="auto"/>
        <w:left w:val="none" w:sz="0" w:space="0" w:color="auto"/>
        <w:bottom w:val="none" w:sz="0" w:space="0" w:color="auto"/>
        <w:right w:val="none" w:sz="0" w:space="0" w:color="auto"/>
      </w:divBdr>
    </w:div>
    <w:div w:id="505637788">
      <w:bodyDiv w:val="1"/>
      <w:marLeft w:val="0"/>
      <w:marRight w:val="0"/>
      <w:marTop w:val="0"/>
      <w:marBottom w:val="0"/>
      <w:divBdr>
        <w:top w:val="none" w:sz="0" w:space="0" w:color="auto"/>
        <w:left w:val="none" w:sz="0" w:space="0" w:color="auto"/>
        <w:bottom w:val="none" w:sz="0" w:space="0" w:color="auto"/>
        <w:right w:val="none" w:sz="0" w:space="0" w:color="auto"/>
      </w:divBdr>
    </w:div>
    <w:div w:id="516651446">
      <w:bodyDiv w:val="1"/>
      <w:marLeft w:val="0"/>
      <w:marRight w:val="0"/>
      <w:marTop w:val="0"/>
      <w:marBottom w:val="0"/>
      <w:divBdr>
        <w:top w:val="none" w:sz="0" w:space="0" w:color="auto"/>
        <w:left w:val="none" w:sz="0" w:space="0" w:color="auto"/>
        <w:bottom w:val="none" w:sz="0" w:space="0" w:color="auto"/>
        <w:right w:val="none" w:sz="0" w:space="0" w:color="auto"/>
      </w:divBdr>
    </w:div>
    <w:div w:id="534005172">
      <w:bodyDiv w:val="1"/>
      <w:marLeft w:val="0"/>
      <w:marRight w:val="0"/>
      <w:marTop w:val="0"/>
      <w:marBottom w:val="0"/>
      <w:divBdr>
        <w:top w:val="none" w:sz="0" w:space="0" w:color="auto"/>
        <w:left w:val="none" w:sz="0" w:space="0" w:color="auto"/>
        <w:bottom w:val="none" w:sz="0" w:space="0" w:color="auto"/>
        <w:right w:val="none" w:sz="0" w:space="0" w:color="auto"/>
      </w:divBdr>
    </w:div>
    <w:div w:id="542794016">
      <w:bodyDiv w:val="1"/>
      <w:marLeft w:val="0"/>
      <w:marRight w:val="0"/>
      <w:marTop w:val="0"/>
      <w:marBottom w:val="0"/>
      <w:divBdr>
        <w:top w:val="none" w:sz="0" w:space="0" w:color="auto"/>
        <w:left w:val="none" w:sz="0" w:space="0" w:color="auto"/>
        <w:bottom w:val="none" w:sz="0" w:space="0" w:color="auto"/>
        <w:right w:val="none" w:sz="0" w:space="0" w:color="auto"/>
      </w:divBdr>
    </w:div>
    <w:div w:id="547498399">
      <w:bodyDiv w:val="1"/>
      <w:marLeft w:val="0"/>
      <w:marRight w:val="0"/>
      <w:marTop w:val="0"/>
      <w:marBottom w:val="0"/>
      <w:divBdr>
        <w:top w:val="none" w:sz="0" w:space="0" w:color="auto"/>
        <w:left w:val="none" w:sz="0" w:space="0" w:color="auto"/>
        <w:bottom w:val="none" w:sz="0" w:space="0" w:color="auto"/>
        <w:right w:val="none" w:sz="0" w:space="0" w:color="auto"/>
      </w:divBdr>
    </w:div>
    <w:div w:id="552692229">
      <w:bodyDiv w:val="1"/>
      <w:marLeft w:val="0"/>
      <w:marRight w:val="0"/>
      <w:marTop w:val="0"/>
      <w:marBottom w:val="0"/>
      <w:divBdr>
        <w:top w:val="none" w:sz="0" w:space="0" w:color="auto"/>
        <w:left w:val="none" w:sz="0" w:space="0" w:color="auto"/>
        <w:bottom w:val="none" w:sz="0" w:space="0" w:color="auto"/>
        <w:right w:val="none" w:sz="0" w:space="0" w:color="auto"/>
      </w:divBdr>
      <w:divsChild>
        <w:div w:id="126708464">
          <w:marLeft w:val="0"/>
          <w:marRight w:val="0"/>
          <w:marTop w:val="0"/>
          <w:marBottom w:val="0"/>
          <w:divBdr>
            <w:top w:val="none" w:sz="0" w:space="0" w:color="auto"/>
            <w:left w:val="none" w:sz="0" w:space="0" w:color="auto"/>
            <w:bottom w:val="none" w:sz="0" w:space="0" w:color="auto"/>
            <w:right w:val="none" w:sz="0" w:space="0" w:color="auto"/>
          </w:divBdr>
        </w:div>
        <w:div w:id="173308207">
          <w:marLeft w:val="0"/>
          <w:marRight w:val="0"/>
          <w:marTop w:val="0"/>
          <w:marBottom w:val="0"/>
          <w:divBdr>
            <w:top w:val="none" w:sz="0" w:space="0" w:color="auto"/>
            <w:left w:val="none" w:sz="0" w:space="0" w:color="auto"/>
            <w:bottom w:val="none" w:sz="0" w:space="0" w:color="auto"/>
            <w:right w:val="none" w:sz="0" w:space="0" w:color="auto"/>
          </w:divBdr>
        </w:div>
        <w:div w:id="827937444">
          <w:marLeft w:val="0"/>
          <w:marRight w:val="0"/>
          <w:marTop w:val="0"/>
          <w:marBottom w:val="0"/>
          <w:divBdr>
            <w:top w:val="none" w:sz="0" w:space="0" w:color="auto"/>
            <w:left w:val="none" w:sz="0" w:space="0" w:color="auto"/>
            <w:bottom w:val="none" w:sz="0" w:space="0" w:color="auto"/>
            <w:right w:val="none" w:sz="0" w:space="0" w:color="auto"/>
          </w:divBdr>
        </w:div>
      </w:divsChild>
    </w:div>
    <w:div w:id="616369974">
      <w:bodyDiv w:val="1"/>
      <w:marLeft w:val="0"/>
      <w:marRight w:val="0"/>
      <w:marTop w:val="0"/>
      <w:marBottom w:val="0"/>
      <w:divBdr>
        <w:top w:val="none" w:sz="0" w:space="0" w:color="auto"/>
        <w:left w:val="none" w:sz="0" w:space="0" w:color="auto"/>
        <w:bottom w:val="none" w:sz="0" w:space="0" w:color="auto"/>
        <w:right w:val="none" w:sz="0" w:space="0" w:color="auto"/>
      </w:divBdr>
    </w:div>
    <w:div w:id="616839951">
      <w:bodyDiv w:val="1"/>
      <w:marLeft w:val="0"/>
      <w:marRight w:val="0"/>
      <w:marTop w:val="0"/>
      <w:marBottom w:val="0"/>
      <w:divBdr>
        <w:top w:val="none" w:sz="0" w:space="0" w:color="auto"/>
        <w:left w:val="none" w:sz="0" w:space="0" w:color="auto"/>
        <w:bottom w:val="none" w:sz="0" w:space="0" w:color="auto"/>
        <w:right w:val="none" w:sz="0" w:space="0" w:color="auto"/>
      </w:divBdr>
    </w:div>
    <w:div w:id="660232564">
      <w:bodyDiv w:val="1"/>
      <w:marLeft w:val="0"/>
      <w:marRight w:val="0"/>
      <w:marTop w:val="0"/>
      <w:marBottom w:val="0"/>
      <w:divBdr>
        <w:top w:val="none" w:sz="0" w:space="0" w:color="auto"/>
        <w:left w:val="none" w:sz="0" w:space="0" w:color="auto"/>
        <w:bottom w:val="none" w:sz="0" w:space="0" w:color="auto"/>
        <w:right w:val="none" w:sz="0" w:space="0" w:color="auto"/>
      </w:divBdr>
    </w:div>
    <w:div w:id="663436534">
      <w:bodyDiv w:val="1"/>
      <w:marLeft w:val="0"/>
      <w:marRight w:val="0"/>
      <w:marTop w:val="0"/>
      <w:marBottom w:val="0"/>
      <w:divBdr>
        <w:top w:val="none" w:sz="0" w:space="0" w:color="auto"/>
        <w:left w:val="none" w:sz="0" w:space="0" w:color="auto"/>
        <w:bottom w:val="none" w:sz="0" w:space="0" w:color="auto"/>
        <w:right w:val="none" w:sz="0" w:space="0" w:color="auto"/>
      </w:divBdr>
    </w:div>
    <w:div w:id="698816314">
      <w:bodyDiv w:val="1"/>
      <w:marLeft w:val="0"/>
      <w:marRight w:val="0"/>
      <w:marTop w:val="0"/>
      <w:marBottom w:val="0"/>
      <w:divBdr>
        <w:top w:val="none" w:sz="0" w:space="0" w:color="auto"/>
        <w:left w:val="none" w:sz="0" w:space="0" w:color="auto"/>
        <w:bottom w:val="none" w:sz="0" w:space="0" w:color="auto"/>
        <w:right w:val="none" w:sz="0" w:space="0" w:color="auto"/>
      </w:divBdr>
    </w:div>
    <w:div w:id="707146809">
      <w:bodyDiv w:val="1"/>
      <w:marLeft w:val="0"/>
      <w:marRight w:val="0"/>
      <w:marTop w:val="0"/>
      <w:marBottom w:val="0"/>
      <w:divBdr>
        <w:top w:val="none" w:sz="0" w:space="0" w:color="auto"/>
        <w:left w:val="none" w:sz="0" w:space="0" w:color="auto"/>
        <w:bottom w:val="none" w:sz="0" w:space="0" w:color="auto"/>
        <w:right w:val="none" w:sz="0" w:space="0" w:color="auto"/>
      </w:divBdr>
    </w:div>
    <w:div w:id="717751170">
      <w:bodyDiv w:val="1"/>
      <w:marLeft w:val="0"/>
      <w:marRight w:val="0"/>
      <w:marTop w:val="0"/>
      <w:marBottom w:val="0"/>
      <w:divBdr>
        <w:top w:val="none" w:sz="0" w:space="0" w:color="auto"/>
        <w:left w:val="none" w:sz="0" w:space="0" w:color="auto"/>
        <w:bottom w:val="none" w:sz="0" w:space="0" w:color="auto"/>
        <w:right w:val="none" w:sz="0" w:space="0" w:color="auto"/>
      </w:divBdr>
    </w:div>
    <w:div w:id="726688089">
      <w:bodyDiv w:val="1"/>
      <w:marLeft w:val="0"/>
      <w:marRight w:val="0"/>
      <w:marTop w:val="0"/>
      <w:marBottom w:val="0"/>
      <w:divBdr>
        <w:top w:val="none" w:sz="0" w:space="0" w:color="auto"/>
        <w:left w:val="none" w:sz="0" w:space="0" w:color="auto"/>
        <w:bottom w:val="none" w:sz="0" w:space="0" w:color="auto"/>
        <w:right w:val="none" w:sz="0" w:space="0" w:color="auto"/>
      </w:divBdr>
      <w:divsChild>
        <w:div w:id="226114223">
          <w:marLeft w:val="0"/>
          <w:marRight w:val="0"/>
          <w:marTop w:val="0"/>
          <w:marBottom w:val="0"/>
          <w:divBdr>
            <w:top w:val="none" w:sz="0" w:space="0" w:color="auto"/>
            <w:left w:val="none" w:sz="0" w:space="0" w:color="auto"/>
            <w:bottom w:val="none" w:sz="0" w:space="0" w:color="auto"/>
            <w:right w:val="none" w:sz="0" w:space="0" w:color="auto"/>
          </w:divBdr>
        </w:div>
        <w:div w:id="662589019">
          <w:marLeft w:val="0"/>
          <w:marRight w:val="0"/>
          <w:marTop w:val="0"/>
          <w:marBottom w:val="120"/>
          <w:divBdr>
            <w:top w:val="none" w:sz="0" w:space="0" w:color="auto"/>
            <w:left w:val="none" w:sz="0" w:space="0" w:color="auto"/>
            <w:bottom w:val="none" w:sz="0" w:space="0" w:color="auto"/>
            <w:right w:val="none" w:sz="0" w:space="0" w:color="auto"/>
          </w:divBdr>
        </w:div>
        <w:div w:id="1450902379">
          <w:marLeft w:val="0"/>
          <w:marRight w:val="0"/>
          <w:marTop w:val="0"/>
          <w:marBottom w:val="120"/>
          <w:divBdr>
            <w:top w:val="none" w:sz="0" w:space="0" w:color="auto"/>
            <w:left w:val="none" w:sz="0" w:space="0" w:color="auto"/>
            <w:bottom w:val="none" w:sz="0" w:space="0" w:color="auto"/>
            <w:right w:val="none" w:sz="0" w:space="0" w:color="auto"/>
          </w:divBdr>
        </w:div>
        <w:div w:id="1674187166">
          <w:marLeft w:val="0"/>
          <w:marRight w:val="0"/>
          <w:marTop w:val="0"/>
          <w:marBottom w:val="0"/>
          <w:divBdr>
            <w:top w:val="none" w:sz="0" w:space="0" w:color="auto"/>
            <w:left w:val="none" w:sz="0" w:space="0" w:color="auto"/>
            <w:bottom w:val="none" w:sz="0" w:space="0" w:color="auto"/>
            <w:right w:val="none" w:sz="0" w:space="0" w:color="auto"/>
          </w:divBdr>
        </w:div>
      </w:divsChild>
    </w:div>
    <w:div w:id="761679020">
      <w:bodyDiv w:val="1"/>
      <w:marLeft w:val="0"/>
      <w:marRight w:val="0"/>
      <w:marTop w:val="0"/>
      <w:marBottom w:val="0"/>
      <w:divBdr>
        <w:top w:val="none" w:sz="0" w:space="0" w:color="auto"/>
        <w:left w:val="none" w:sz="0" w:space="0" w:color="auto"/>
        <w:bottom w:val="none" w:sz="0" w:space="0" w:color="auto"/>
        <w:right w:val="none" w:sz="0" w:space="0" w:color="auto"/>
      </w:divBdr>
    </w:div>
    <w:div w:id="762802483">
      <w:bodyDiv w:val="1"/>
      <w:marLeft w:val="0"/>
      <w:marRight w:val="0"/>
      <w:marTop w:val="0"/>
      <w:marBottom w:val="0"/>
      <w:divBdr>
        <w:top w:val="none" w:sz="0" w:space="0" w:color="auto"/>
        <w:left w:val="none" w:sz="0" w:space="0" w:color="auto"/>
        <w:bottom w:val="none" w:sz="0" w:space="0" w:color="auto"/>
        <w:right w:val="none" w:sz="0" w:space="0" w:color="auto"/>
      </w:divBdr>
      <w:divsChild>
        <w:div w:id="55053144">
          <w:marLeft w:val="0"/>
          <w:marRight w:val="0"/>
          <w:marTop w:val="0"/>
          <w:marBottom w:val="0"/>
          <w:divBdr>
            <w:top w:val="none" w:sz="0" w:space="0" w:color="auto"/>
            <w:left w:val="none" w:sz="0" w:space="0" w:color="auto"/>
            <w:bottom w:val="none" w:sz="0" w:space="0" w:color="auto"/>
            <w:right w:val="none" w:sz="0" w:space="0" w:color="auto"/>
          </w:divBdr>
        </w:div>
        <w:div w:id="1990476191">
          <w:marLeft w:val="0"/>
          <w:marRight w:val="0"/>
          <w:marTop w:val="0"/>
          <w:marBottom w:val="0"/>
          <w:divBdr>
            <w:top w:val="none" w:sz="0" w:space="0" w:color="auto"/>
            <w:left w:val="none" w:sz="0" w:space="0" w:color="auto"/>
            <w:bottom w:val="none" w:sz="0" w:space="0" w:color="auto"/>
            <w:right w:val="none" w:sz="0" w:space="0" w:color="auto"/>
          </w:divBdr>
        </w:div>
      </w:divsChild>
    </w:div>
    <w:div w:id="801994011">
      <w:bodyDiv w:val="1"/>
      <w:marLeft w:val="0"/>
      <w:marRight w:val="0"/>
      <w:marTop w:val="0"/>
      <w:marBottom w:val="0"/>
      <w:divBdr>
        <w:top w:val="none" w:sz="0" w:space="0" w:color="auto"/>
        <w:left w:val="none" w:sz="0" w:space="0" w:color="auto"/>
        <w:bottom w:val="none" w:sz="0" w:space="0" w:color="auto"/>
        <w:right w:val="none" w:sz="0" w:space="0" w:color="auto"/>
      </w:divBdr>
    </w:div>
    <w:div w:id="808523679">
      <w:bodyDiv w:val="1"/>
      <w:marLeft w:val="0"/>
      <w:marRight w:val="0"/>
      <w:marTop w:val="0"/>
      <w:marBottom w:val="0"/>
      <w:divBdr>
        <w:top w:val="none" w:sz="0" w:space="0" w:color="auto"/>
        <w:left w:val="none" w:sz="0" w:space="0" w:color="auto"/>
        <w:bottom w:val="none" w:sz="0" w:space="0" w:color="auto"/>
        <w:right w:val="none" w:sz="0" w:space="0" w:color="auto"/>
      </w:divBdr>
    </w:div>
    <w:div w:id="836115708">
      <w:bodyDiv w:val="1"/>
      <w:marLeft w:val="0"/>
      <w:marRight w:val="0"/>
      <w:marTop w:val="0"/>
      <w:marBottom w:val="0"/>
      <w:divBdr>
        <w:top w:val="none" w:sz="0" w:space="0" w:color="auto"/>
        <w:left w:val="none" w:sz="0" w:space="0" w:color="auto"/>
        <w:bottom w:val="none" w:sz="0" w:space="0" w:color="auto"/>
        <w:right w:val="none" w:sz="0" w:space="0" w:color="auto"/>
      </w:divBdr>
    </w:div>
    <w:div w:id="861556181">
      <w:bodyDiv w:val="1"/>
      <w:marLeft w:val="0"/>
      <w:marRight w:val="0"/>
      <w:marTop w:val="0"/>
      <w:marBottom w:val="0"/>
      <w:divBdr>
        <w:top w:val="none" w:sz="0" w:space="0" w:color="auto"/>
        <w:left w:val="none" w:sz="0" w:space="0" w:color="auto"/>
        <w:bottom w:val="none" w:sz="0" w:space="0" w:color="auto"/>
        <w:right w:val="none" w:sz="0" w:space="0" w:color="auto"/>
      </w:divBdr>
    </w:div>
    <w:div w:id="876704105">
      <w:bodyDiv w:val="1"/>
      <w:marLeft w:val="0"/>
      <w:marRight w:val="0"/>
      <w:marTop w:val="0"/>
      <w:marBottom w:val="0"/>
      <w:divBdr>
        <w:top w:val="none" w:sz="0" w:space="0" w:color="auto"/>
        <w:left w:val="none" w:sz="0" w:space="0" w:color="auto"/>
        <w:bottom w:val="none" w:sz="0" w:space="0" w:color="auto"/>
        <w:right w:val="none" w:sz="0" w:space="0" w:color="auto"/>
      </w:divBdr>
    </w:div>
    <w:div w:id="923412547">
      <w:bodyDiv w:val="1"/>
      <w:marLeft w:val="0"/>
      <w:marRight w:val="0"/>
      <w:marTop w:val="0"/>
      <w:marBottom w:val="0"/>
      <w:divBdr>
        <w:top w:val="none" w:sz="0" w:space="0" w:color="auto"/>
        <w:left w:val="none" w:sz="0" w:space="0" w:color="auto"/>
        <w:bottom w:val="none" w:sz="0" w:space="0" w:color="auto"/>
        <w:right w:val="none" w:sz="0" w:space="0" w:color="auto"/>
      </w:divBdr>
    </w:div>
    <w:div w:id="975598342">
      <w:bodyDiv w:val="1"/>
      <w:marLeft w:val="0"/>
      <w:marRight w:val="0"/>
      <w:marTop w:val="0"/>
      <w:marBottom w:val="0"/>
      <w:divBdr>
        <w:top w:val="none" w:sz="0" w:space="0" w:color="auto"/>
        <w:left w:val="none" w:sz="0" w:space="0" w:color="auto"/>
        <w:bottom w:val="none" w:sz="0" w:space="0" w:color="auto"/>
        <w:right w:val="none" w:sz="0" w:space="0" w:color="auto"/>
      </w:divBdr>
    </w:div>
    <w:div w:id="1013460441">
      <w:bodyDiv w:val="1"/>
      <w:marLeft w:val="0"/>
      <w:marRight w:val="0"/>
      <w:marTop w:val="0"/>
      <w:marBottom w:val="0"/>
      <w:divBdr>
        <w:top w:val="none" w:sz="0" w:space="0" w:color="auto"/>
        <w:left w:val="none" w:sz="0" w:space="0" w:color="auto"/>
        <w:bottom w:val="none" w:sz="0" w:space="0" w:color="auto"/>
        <w:right w:val="none" w:sz="0" w:space="0" w:color="auto"/>
      </w:divBdr>
    </w:div>
    <w:div w:id="1028331467">
      <w:bodyDiv w:val="1"/>
      <w:marLeft w:val="0"/>
      <w:marRight w:val="0"/>
      <w:marTop w:val="0"/>
      <w:marBottom w:val="0"/>
      <w:divBdr>
        <w:top w:val="none" w:sz="0" w:space="0" w:color="auto"/>
        <w:left w:val="none" w:sz="0" w:space="0" w:color="auto"/>
        <w:bottom w:val="none" w:sz="0" w:space="0" w:color="auto"/>
        <w:right w:val="none" w:sz="0" w:space="0" w:color="auto"/>
      </w:divBdr>
    </w:div>
    <w:div w:id="1035541482">
      <w:bodyDiv w:val="1"/>
      <w:marLeft w:val="0"/>
      <w:marRight w:val="0"/>
      <w:marTop w:val="0"/>
      <w:marBottom w:val="0"/>
      <w:divBdr>
        <w:top w:val="none" w:sz="0" w:space="0" w:color="auto"/>
        <w:left w:val="none" w:sz="0" w:space="0" w:color="auto"/>
        <w:bottom w:val="none" w:sz="0" w:space="0" w:color="auto"/>
        <w:right w:val="none" w:sz="0" w:space="0" w:color="auto"/>
      </w:divBdr>
    </w:div>
    <w:div w:id="1042093457">
      <w:bodyDiv w:val="1"/>
      <w:marLeft w:val="0"/>
      <w:marRight w:val="0"/>
      <w:marTop w:val="0"/>
      <w:marBottom w:val="0"/>
      <w:divBdr>
        <w:top w:val="none" w:sz="0" w:space="0" w:color="auto"/>
        <w:left w:val="none" w:sz="0" w:space="0" w:color="auto"/>
        <w:bottom w:val="none" w:sz="0" w:space="0" w:color="auto"/>
        <w:right w:val="none" w:sz="0" w:space="0" w:color="auto"/>
      </w:divBdr>
    </w:div>
    <w:div w:id="1152526227">
      <w:bodyDiv w:val="1"/>
      <w:marLeft w:val="0"/>
      <w:marRight w:val="0"/>
      <w:marTop w:val="0"/>
      <w:marBottom w:val="0"/>
      <w:divBdr>
        <w:top w:val="none" w:sz="0" w:space="0" w:color="auto"/>
        <w:left w:val="none" w:sz="0" w:space="0" w:color="auto"/>
        <w:bottom w:val="none" w:sz="0" w:space="0" w:color="auto"/>
        <w:right w:val="none" w:sz="0" w:space="0" w:color="auto"/>
      </w:divBdr>
    </w:div>
    <w:div w:id="1181702514">
      <w:bodyDiv w:val="1"/>
      <w:marLeft w:val="0"/>
      <w:marRight w:val="0"/>
      <w:marTop w:val="0"/>
      <w:marBottom w:val="0"/>
      <w:divBdr>
        <w:top w:val="none" w:sz="0" w:space="0" w:color="auto"/>
        <w:left w:val="none" w:sz="0" w:space="0" w:color="auto"/>
        <w:bottom w:val="none" w:sz="0" w:space="0" w:color="auto"/>
        <w:right w:val="none" w:sz="0" w:space="0" w:color="auto"/>
      </w:divBdr>
    </w:div>
    <w:div w:id="1182550632">
      <w:bodyDiv w:val="1"/>
      <w:marLeft w:val="0"/>
      <w:marRight w:val="0"/>
      <w:marTop w:val="0"/>
      <w:marBottom w:val="0"/>
      <w:divBdr>
        <w:top w:val="none" w:sz="0" w:space="0" w:color="auto"/>
        <w:left w:val="none" w:sz="0" w:space="0" w:color="auto"/>
        <w:bottom w:val="none" w:sz="0" w:space="0" w:color="auto"/>
        <w:right w:val="none" w:sz="0" w:space="0" w:color="auto"/>
      </w:divBdr>
    </w:div>
    <w:div w:id="1201044543">
      <w:bodyDiv w:val="1"/>
      <w:marLeft w:val="0"/>
      <w:marRight w:val="0"/>
      <w:marTop w:val="0"/>
      <w:marBottom w:val="0"/>
      <w:divBdr>
        <w:top w:val="none" w:sz="0" w:space="0" w:color="auto"/>
        <w:left w:val="none" w:sz="0" w:space="0" w:color="auto"/>
        <w:bottom w:val="none" w:sz="0" w:space="0" w:color="auto"/>
        <w:right w:val="none" w:sz="0" w:space="0" w:color="auto"/>
      </w:divBdr>
    </w:div>
    <w:div w:id="1202551766">
      <w:bodyDiv w:val="1"/>
      <w:marLeft w:val="0"/>
      <w:marRight w:val="0"/>
      <w:marTop w:val="0"/>
      <w:marBottom w:val="0"/>
      <w:divBdr>
        <w:top w:val="none" w:sz="0" w:space="0" w:color="auto"/>
        <w:left w:val="none" w:sz="0" w:space="0" w:color="auto"/>
        <w:bottom w:val="none" w:sz="0" w:space="0" w:color="auto"/>
        <w:right w:val="none" w:sz="0" w:space="0" w:color="auto"/>
      </w:divBdr>
      <w:divsChild>
        <w:div w:id="1590233547">
          <w:marLeft w:val="0"/>
          <w:marRight w:val="0"/>
          <w:marTop w:val="0"/>
          <w:marBottom w:val="0"/>
          <w:divBdr>
            <w:top w:val="none" w:sz="0" w:space="0" w:color="auto"/>
            <w:left w:val="none" w:sz="0" w:space="0" w:color="auto"/>
            <w:bottom w:val="none" w:sz="0" w:space="0" w:color="auto"/>
            <w:right w:val="none" w:sz="0" w:space="0" w:color="auto"/>
          </w:divBdr>
        </w:div>
      </w:divsChild>
    </w:div>
    <w:div w:id="1234050878">
      <w:bodyDiv w:val="1"/>
      <w:marLeft w:val="0"/>
      <w:marRight w:val="0"/>
      <w:marTop w:val="0"/>
      <w:marBottom w:val="0"/>
      <w:divBdr>
        <w:top w:val="none" w:sz="0" w:space="0" w:color="auto"/>
        <w:left w:val="none" w:sz="0" w:space="0" w:color="auto"/>
        <w:bottom w:val="none" w:sz="0" w:space="0" w:color="auto"/>
        <w:right w:val="none" w:sz="0" w:space="0" w:color="auto"/>
      </w:divBdr>
    </w:div>
    <w:div w:id="1244534876">
      <w:bodyDiv w:val="1"/>
      <w:marLeft w:val="0"/>
      <w:marRight w:val="0"/>
      <w:marTop w:val="0"/>
      <w:marBottom w:val="0"/>
      <w:divBdr>
        <w:top w:val="none" w:sz="0" w:space="0" w:color="auto"/>
        <w:left w:val="none" w:sz="0" w:space="0" w:color="auto"/>
        <w:bottom w:val="none" w:sz="0" w:space="0" w:color="auto"/>
        <w:right w:val="none" w:sz="0" w:space="0" w:color="auto"/>
      </w:divBdr>
    </w:div>
    <w:div w:id="1276256631">
      <w:bodyDiv w:val="1"/>
      <w:marLeft w:val="0"/>
      <w:marRight w:val="0"/>
      <w:marTop w:val="0"/>
      <w:marBottom w:val="0"/>
      <w:divBdr>
        <w:top w:val="none" w:sz="0" w:space="0" w:color="auto"/>
        <w:left w:val="none" w:sz="0" w:space="0" w:color="auto"/>
        <w:bottom w:val="none" w:sz="0" w:space="0" w:color="auto"/>
        <w:right w:val="none" w:sz="0" w:space="0" w:color="auto"/>
      </w:divBdr>
    </w:div>
    <w:div w:id="1285429863">
      <w:bodyDiv w:val="1"/>
      <w:marLeft w:val="0"/>
      <w:marRight w:val="0"/>
      <w:marTop w:val="0"/>
      <w:marBottom w:val="0"/>
      <w:divBdr>
        <w:top w:val="none" w:sz="0" w:space="0" w:color="auto"/>
        <w:left w:val="none" w:sz="0" w:space="0" w:color="auto"/>
        <w:bottom w:val="none" w:sz="0" w:space="0" w:color="auto"/>
        <w:right w:val="none" w:sz="0" w:space="0" w:color="auto"/>
      </w:divBdr>
    </w:div>
    <w:div w:id="1298799129">
      <w:bodyDiv w:val="1"/>
      <w:marLeft w:val="0"/>
      <w:marRight w:val="0"/>
      <w:marTop w:val="0"/>
      <w:marBottom w:val="0"/>
      <w:divBdr>
        <w:top w:val="none" w:sz="0" w:space="0" w:color="auto"/>
        <w:left w:val="none" w:sz="0" w:space="0" w:color="auto"/>
        <w:bottom w:val="none" w:sz="0" w:space="0" w:color="auto"/>
        <w:right w:val="none" w:sz="0" w:space="0" w:color="auto"/>
      </w:divBdr>
    </w:div>
    <w:div w:id="1301959291">
      <w:bodyDiv w:val="1"/>
      <w:marLeft w:val="0"/>
      <w:marRight w:val="0"/>
      <w:marTop w:val="0"/>
      <w:marBottom w:val="0"/>
      <w:divBdr>
        <w:top w:val="none" w:sz="0" w:space="0" w:color="auto"/>
        <w:left w:val="none" w:sz="0" w:space="0" w:color="auto"/>
        <w:bottom w:val="none" w:sz="0" w:space="0" w:color="auto"/>
        <w:right w:val="none" w:sz="0" w:space="0" w:color="auto"/>
      </w:divBdr>
    </w:div>
    <w:div w:id="1312518427">
      <w:bodyDiv w:val="1"/>
      <w:marLeft w:val="0"/>
      <w:marRight w:val="0"/>
      <w:marTop w:val="0"/>
      <w:marBottom w:val="0"/>
      <w:divBdr>
        <w:top w:val="none" w:sz="0" w:space="0" w:color="auto"/>
        <w:left w:val="none" w:sz="0" w:space="0" w:color="auto"/>
        <w:bottom w:val="none" w:sz="0" w:space="0" w:color="auto"/>
        <w:right w:val="none" w:sz="0" w:space="0" w:color="auto"/>
      </w:divBdr>
    </w:div>
    <w:div w:id="1320769712">
      <w:bodyDiv w:val="1"/>
      <w:marLeft w:val="0"/>
      <w:marRight w:val="0"/>
      <w:marTop w:val="0"/>
      <w:marBottom w:val="0"/>
      <w:divBdr>
        <w:top w:val="none" w:sz="0" w:space="0" w:color="auto"/>
        <w:left w:val="none" w:sz="0" w:space="0" w:color="auto"/>
        <w:bottom w:val="none" w:sz="0" w:space="0" w:color="auto"/>
        <w:right w:val="none" w:sz="0" w:space="0" w:color="auto"/>
      </w:divBdr>
    </w:div>
    <w:div w:id="1321541591">
      <w:bodyDiv w:val="1"/>
      <w:marLeft w:val="0"/>
      <w:marRight w:val="0"/>
      <w:marTop w:val="0"/>
      <w:marBottom w:val="0"/>
      <w:divBdr>
        <w:top w:val="none" w:sz="0" w:space="0" w:color="auto"/>
        <w:left w:val="none" w:sz="0" w:space="0" w:color="auto"/>
        <w:bottom w:val="none" w:sz="0" w:space="0" w:color="auto"/>
        <w:right w:val="none" w:sz="0" w:space="0" w:color="auto"/>
      </w:divBdr>
    </w:div>
    <w:div w:id="1409578078">
      <w:bodyDiv w:val="1"/>
      <w:marLeft w:val="0"/>
      <w:marRight w:val="0"/>
      <w:marTop w:val="0"/>
      <w:marBottom w:val="0"/>
      <w:divBdr>
        <w:top w:val="none" w:sz="0" w:space="0" w:color="auto"/>
        <w:left w:val="none" w:sz="0" w:space="0" w:color="auto"/>
        <w:bottom w:val="none" w:sz="0" w:space="0" w:color="auto"/>
        <w:right w:val="none" w:sz="0" w:space="0" w:color="auto"/>
      </w:divBdr>
    </w:div>
    <w:div w:id="1417285900">
      <w:bodyDiv w:val="1"/>
      <w:marLeft w:val="0"/>
      <w:marRight w:val="0"/>
      <w:marTop w:val="0"/>
      <w:marBottom w:val="0"/>
      <w:divBdr>
        <w:top w:val="none" w:sz="0" w:space="0" w:color="auto"/>
        <w:left w:val="none" w:sz="0" w:space="0" w:color="auto"/>
        <w:bottom w:val="none" w:sz="0" w:space="0" w:color="auto"/>
        <w:right w:val="none" w:sz="0" w:space="0" w:color="auto"/>
      </w:divBdr>
    </w:div>
    <w:div w:id="1433941719">
      <w:bodyDiv w:val="1"/>
      <w:marLeft w:val="0"/>
      <w:marRight w:val="0"/>
      <w:marTop w:val="0"/>
      <w:marBottom w:val="0"/>
      <w:divBdr>
        <w:top w:val="none" w:sz="0" w:space="0" w:color="auto"/>
        <w:left w:val="none" w:sz="0" w:space="0" w:color="auto"/>
        <w:bottom w:val="none" w:sz="0" w:space="0" w:color="auto"/>
        <w:right w:val="none" w:sz="0" w:space="0" w:color="auto"/>
      </w:divBdr>
    </w:div>
    <w:div w:id="1456371020">
      <w:bodyDiv w:val="1"/>
      <w:marLeft w:val="0"/>
      <w:marRight w:val="0"/>
      <w:marTop w:val="0"/>
      <w:marBottom w:val="0"/>
      <w:divBdr>
        <w:top w:val="none" w:sz="0" w:space="0" w:color="auto"/>
        <w:left w:val="none" w:sz="0" w:space="0" w:color="auto"/>
        <w:bottom w:val="none" w:sz="0" w:space="0" w:color="auto"/>
        <w:right w:val="none" w:sz="0" w:space="0" w:color="auto"/>
      </w:divBdr>
    </w:div>
    <w:div w:id="1457138918">
      <w:bodyDiv w:val="1"/>
      <w:marLeft w:val="0"/>
      <w:marRight w:val="0"/>
      <w:marTop w:val="0"/>
      <w:marBottom w:val="0"/>
      <w:divBdr>
        <w:top w:val="none" w:sz="0" w:space="0" w:color="auto"/>
        <w:left w:val="none" w:sz="0" w:space="0" w:color="auto"/>
        <w:bottom w:val="none" w:sz="0" w:space="0" w:color="auto"/>
        <w:right w:val="none" w:sz="0" w:space="0" w:color="auto"/>
      </w:divBdr>
    </w:div>
    <w:div w:id="1492214699">
      <w:bodyDiv w:val="1"/>
      <w:marLeft w:val="0"/>
      <w:marRight w:val="0"/>
      <w:marTop w:val="0"/>
      <w:marBottom w:val="0"/>
      <w:divBdr>
        <w:top w:val="none" w:sz="0" w:space="0" w:color="auto"/>
        <w:left w:val="none" w:sz="0" w:space="0" w:color="auto"/>
        <w:bottom w:val="none" w:sz="0" w:space="0" w:color="auto"/>
        <w:right w:val="none" w:sz="0" w:space="0" w:color="auto"/>
      </w:divBdr>
    </w:div>
    <w:div w:id="1496144407">
      <w:bodyDiv w:val="1"/>
      <w:marLeft w:val="0"/>
      <w:marRight w:val="0"/>
      <w:marTop w:val="0"/>
      <w:marBottom w:val="0"/>
      <w:divBdr>
        <w:top w:val="none" w:sz="0" w:space="0" w:color="auto"/>
        <w:left w:val="none" w:sz="0" w:space="0" w:color="auto"/>
        <w:bottom w:val="none" w:sz="0" w:space="0" w:color="auto"/>
        <w:right w:val="none" w:sz="0" w:space="0" w:color="auto"/>
      </w:divBdr>
    </w:div>
    <w:div w:id="1523663756">
      <w:bodyDiv w:val="1"/>
      <w:marLeft w:val="0"/>
      <w:marRight w:val="0"/>
      <w:marTop w:val="0"/>
      <w:marBottom w:val="0"/>
      <w:divBdr>
        <w:top w:val="none" w:sz="0" w:space="0" w:color="auto"/>
        <w:left w:val="none" w:sz="0" w:space="0" w:color="auto"/>
        <w:bottom w:val="none" w:sz="0" w:space="0" w:color="auto"/>
        <w:right w:val="none" w:sz="0" w:space="0" w:color="auto"/>
      </w:divBdr>
    </w:div>
    <w:div w:id="1538543752">
      <w:bodyDiv w:val="1"/>
      <w:marLeft w:val="0"/>
      <w:marRight w:val="0"/>
      <w:marTop w:val="0"/>
      <w:marBottom w:val="0"/>
      <w:divBdr>
        <w:top w:val="none" w:sz="0" w:space="0" w:color="auto"/>
        <w:left w:val="none" w:sz="0" w:space="0" w:color="auto"/>
        <w:bottom w:val="none" w:sz="0" w:space="0" w:color="auto"/>
        <w:right w:val="none" w:sz="0" w:space="0" w:color="auto"/>
      </w:divBdr>
    </w:div>
    <w:div w:id="1538545262">
      <w:bodyDiv w:val="1"/>
      <w:marLeft w:val="0"/>
      <w:marRight w:val="0"/>
      <w:marTop w:val="0"/>
      <w:marBottom w:val="0"/>
      <w:divBdr>
        <w:top w:val="none" w:sz="0" w:space="0" w:color="auto"/>
        <w:left w:val="none" w:sz="0" w:space="0" w:color="auto"/>
        <w:bottom w:val="none" w:sz="0" w:space="0" w:color="auto"/>
        <w:right w:val="none" w:sz="0" w:space="0" w:color="auto"/>
      </w:divBdr>
      <w:divsChild>
        <w:div w:id="1875534367">
          <w:marLeft w:val="0"/>
          <w:marRight w:val="0"/>
          <w:marTop w:val="0"/>
          <w:marBottom w:val="0"/>
          <w:divBdr>
            <w:top w:val="none" w:sz="0" w:space="0" w:color="auto"/>
            <w:left w:val="none" w:sz="0" w:space="0" w:color="auto"/>
            <w:bottom w:val="none" w:sz="0" w:space="0" w:color="auto"/>
            <w:right w:val="none" w:sz="0" w:space="0" w:color="auto"/>
          </w:divBdr>
        </w:div>
      </w:divsChild>
    </w:div>
    <w:div w:id="1540124486">
      <w:bodyDiv w:val="1"/>
      <w:marLeft w:val="0"/>
      <w:marRight w:val="0"/>
      <w:marTop w:val="0"/>
      <w:marBottom w:val="0"/>
      <w:divBdr>
        <w:top w:val="none" w:sz="0" w:space="0" w:color="auto"/>
        <w:left w:val="none" w:sz="0" w:space="0" w:color="auto"/>
        <w:bottom w:val="none" w:sz="0" w:space="0" w:color="auto"/>
        <w:right w:val="none" w:sz="0" w:space="0" w:color="auto"/>
      </w:divBdr>
    </w:div>
    <w:div w:id="1548950278">
      <w:bodyDiv w:val="1"/>
      <w:marLeft w:val="0"/>
      <w:marRight w:val="0"/>
      <w:marTop w:val="0"/>
      <w:marBottom w:val="0"/>
      <w:divBdr>
        <w:top w:val="none" w:sz="0" w:space="0" w:color="auto"/>
        <w:left w:val="none" w:sz="0" w:space="0" w:color="auto"/>
        <w:bottom w:val="none" w:sz="0" w:space="0" w:color="auto"/>
        <w:right w:val="none" w:sz="0" w:space="0" w:color="auto"/>
      </w:divBdr>
    </w:div>
    <w:div w:id="1571572603">
      <w:bodyDiv w:val="1"/>
      <w:marLeft w:val="0"/>
      <w:marRight w:val="0"/>
      <w:marTop w:val="0"/>
      <w:marBottom w:val="0"/>
      <w:divBdr>
        <w:top w:val="none" w:sz="0" w:space="0" w:color="auto"/>
        <w:left w:val="none" w:sz="0" w:space="0" w:color="auto"/>
        <w:bottom w:val="none" w:sz="0" w:space="0" w:color="auto"/>
        <w:right w:val="none" w:sz="0" w:space="0" w:color="auto"/>
      </w:divBdr>
    </w:div>
    <w:div w:id="1572734142">
      <w:bodyDiv w:val="1"/>
      <w:marLeft w:val="0"/>
      <w:marRight w:val="0"/>
      <w:marTop w:val="0"/>
      <w:marBottom w:val="0"/>
      <w:divBdr>
        <w:top w:val="none" w:sz="0" w:space="0" w:color="auto"/>
        <w:left w:val="none" w:sz="0" w:space="0" w:color="auto"/>
        <w:bottom w:val="none" w:sz="0" w:space="0" w:color="auto"/>
        <w:right w:val="none" w:sz="0" w:space="0" w:color="auto"/>
      </w:divBdr>
    </w:div>
    <w:div w:id="1594971391">
      <w:bodyDiv w:val="1"/>
      <w:marLeft w:val="0"/>
      <w:marRight w:val="0"/>
      <w:marTop w:val="0"/>
      <w:marBottom w:val="0"/>
      <w:divBdr>
        <w:top w:val="none" w:sz="0" w:space="0" w:color="auto"/>
        <w:left w:val="none" w:sz="0" w:space="0" w:color="auto"/>
        <w:bottom w:val="none" w:sz="0" w:space="0" w:color="auto"/>
        <w:right w:val="none" w:sz="0" w:space="0" w:color="auto"/>
      </w:divBdr>
      <w:divsChild>
        <w:div w:id="2049134763">
          <w:marLeft w:val="3045"/>
          <w:marRight w:val="0"/>
          <w:marTop w:val="0"/>
          <w:marBottom w:val="0"/>
          <w:divBdr>
            <w:top w:val="none" w:sz="0" w:space="0" w:color="auto"/>
            <w:left w:val="none" w:sz="0" w:space="0" w:color="auto"/>
            <w:bottom w:val="none" w:sz="0" w:space="0" w:color="auto"/>
            <w:right w:val="none" w:sz="0" w:space="0" w:color="auto"/>
          </w:divBdr>
          <w:divsChild>
            <w:div w:id="2109278485">
              <w:marLeft w:val="0"/>
              <w:marRight w:val="0"/>
              <w:marTop w:val="0"/>
              <w:marBottom w:val="0"/>
              <w:divBdr>
                <w:top w:val="none" w:sz="0" w:space="0" w:color="auto"/>
                <w:left w:val="none" w:sz="0" w:space="0" w:color="auto"/>
                <w:bottom w:val="none" w:sz="0" w:space="0" w:color="auto"/>
                <w:right w:val="none" w:sz="0" w:space="0" w:color="auto"/>
              </w:divBdr>
              <w:divsChild>
                <w:div w:id="1548906113">
                  <w:marLeft w:val="0"/>
                  <w:marRight w:val="0"/>
                  <w:marTop w:val="0"/>
                  <w:marBottom w:val="0"/>
                  <w:divBdr>
                    <w:top w:val="none" w:sz="0" w:space="0" w:color="auto"/>
                    <w:left w:val="none" w:sz="0" w:space="0" w:color="auto"/>
                    <w:bottom w:val="none" w:sz="0" w:space="0" w:color="auto"/>
                    <w:right w:val="none" w:sz="0" w:space="0" w:color="auto"/>
                  </w:divBdr>
                </w:div>
                <w:div w:id="20704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3218">
      <w:bodyDiv w:val="1"/>
      <w:marLeft w:val="0"/>
      <w:marRight w:val="0"/>
      <w:marTop w:val="0"/>
      <w:marBottom w:val="0"/>
      <w:divBdr>
        <w:top w:val="none" w:sz="0" w:space="0" w:color="auto"/>
        <w:left w:val="none" w:sz="0" w:space="0" w:color="auto"/>
        <w:bottom w:val="none" w:sz="0" w:space="0" w:color="auto"/>
        <w:right w:val="none" w:sz="0" w:space="0" w:color="auto"/>
      </w:divBdr>
    </w:div>
    <w:div w:id="1596474851">
      <w:bodyDiv w:val="1"/>
      <w:marLeft w:val="0"/>
      <w:marRight w:val="0"/>
      <w:marTop w:val="0"/>
      <w:marBottom w:val="0"/>
      <w:divBdr>
        <w:top w:val="none" w:sz="0" w:space="0" w:color="auto"/>
        <w:left w:val="none" w:sz="0" w:space="0" w:color="auto"/>
        <w:bottom w:val="none" w:sz="0" w:space="0" w:color="auto"/>
        <w:right w:val="none" w:sz="0" w:space="0" w:color="auto"/>
      </w:divBdr>
    </w:div>
    <w:div w:id="1604610332">
      <w:bodyDiv w:val="1"/>
      <w:marLeft w:val="0"/>
      <w:marRight w:val="0"/>
      <w:marTop w:val="0"/>
      <w:marBottom w:val="0"/>
      <w:divBdr>
        <w:top w:val="none" w:sz="0" w:space="0" w:color="auto"/>
        <w:left w:val="none" w:sz="0" w:space="0" w:color="auto"/>
        <w:bottom w:val="none" w:sz="0" w:space="0" w:color="auto"/>
        <w:right w:val="none" w:sz="0" w:space="0" w:color="auto"/>
      </w:divBdr>
    </w:div>
    <w:div w:id="1605259227">
      <w:bodyDiv w:val="1"/>
      <w:marLeft w:val="0"/>
      <w:marRight w:val="0"/>
      <w:marTop w:val="0"/>
      <w:marBottom w:val="0"/>
      <w:divBdr>
        <w:top w:val="none" w:sz="0" w:space="0" w:color="auto"/>
        <w:left w:val="none" w:sz="0" w:space="0" w:color="auto"/>
        <w:bottom w:val="none" w:sz="0" w:space="0" w:color="auto"/>
        <w:right w:val="none" w:sz="0" w:space="0" w:color="auto"/>
      </w:divBdr>
    </w:div>
    <w:div w:id="1615669468">
      <w:bodyDiv w:val="1"/>
      <w:marLeft w:val="0"/>
      <w:marRight w:val="0"/>
      <w:marTop w:val="0"/>
      <w:marBottom w:val="0"/>
      <w:divBdr>
        <w:top w:val="none" w:sz="0" w:space="0" w:color="auto"/>
        <w:left w:val="none" w:sz="0" w:space="0" w:color="auto"/>
        <w:bottom w:val="none" w:sz="0" w:space="0" w:color="auto"/>
        <w:right w:val="none" w:sz="0" w:space="0" w:color="auto"/>
      </w:divBdr>
    </w:div>
    <w:div w:id="1628703511">
      <w:bodyDiv w:val="1"/>
      <w:marLeft w:val="0"/>
      <w:marRight w:val="0"/>
      <w:marTop w:val="0"/>
      <w:marBottom w:val="0"/>
      <w:divBdr>
        <w:top w:val="none" w:sz="0" w:space="0" w:color="auto"/>
        <w:left w:val="none" w:sz="0" w:space="0" w:color="auto"/>
        <w:bottom w:val="none" w:sz="0" w:space="0" w:color="auto"/>
        <w:right w:val="none" w:sz="0" w:space="0" w:color="auto"/>
      </w:divBdr>
    </w:div>
    <w:div w:id="1640305594">
      <w:bodyDiv w:val="1"/>
      <w:marLeft w:val="0"/>
      <w:marRight w:val="0"/>
      <w:marTop w:val="0"/>
      <w:marBottom w:val="0"/>
      <w:divBdr>
        <w:top w:val="none" w:sz="0" w:space="0" w:color="auto"/>
        <w:left w:val="none" w:sz="0" w:space="0" w:color="auto"/>
        <w:bottom w:val="none" w:sz="0" w:space="0" w:color="auto"/>
        <w:right w:val="none" w:sz="0" w:space="0" w:color="auto"/>
      </w:divBdr>
    </w:div>
    <w:div w:id="1652173038">
      <w:bodyDiv w:val="1"/>
      <w:marLeft w:val="0"/>
      <w:marRight w:val="0"/>
      <w:marTop w:val="0"/>
      <w:marBottom w:val="0"/>
      <w:divBdr>
        <w:top w:val="none" w:sz="0" w:space="0" w:color="auto"/>
        <w:left w:val="none" w:sz="0" w:space="0" w:color="auto"/>
        <w:bottom w:val="none" w:sz="0" w:space="0" w:color="auto"/>
        <w:right w:val="none" w:sz="0" w:space="0" w:color="auto"/>
      </w:divBdr>
    </w:div>
    <w:div w:id="1676028980">
      <w:bodyDiv w:val="1"/>
      <w:marLeft w:val="0"/>
      <w:marRight w:val="0"/>
      <w:marTop w:val="0"/>
      <w:marBottom w:val="0"/>
      <w:divBdr>
        <w:top w:val="none" w:sz="0" w:space="0" w:color="auto"/>
        <w:left w:val="none" w:sz="0" w:space="0" w:color="auto"/>
        <w:bottom w:val="none" w:sz="0" w:space="0" w:color="auto"/>
        <w:right w:val="none" w:sz="0" w:space="0" w:color="auto"/>
      </w:divBdr>
    </w:div>
    <w:div w:id="1686589132">
      <w:bodyDiv w:val="1"/>
      <w:marLeft w:val="0"/>
      <w:marRight w:val="0"/>
      <w:marTop w:val="0"/>
      <w:marBottom w:val="0"/>
      <w:divBdr>
        <w:top w:val="none" w:sz="0" w:space="0" w:color="auto"/>
        <w:left w:val="none" w:sz="0" w:space="0" w:color="auto"/>
        <w:bottom w:val="none" w:sz="0" w:space="0" w:color="auto"/>
        <w:right w:val="none" w:sz="0" w:space="0" w:color="auto"/>
      </w:divBdr>
    </w:div>
    <w:div w:id="1727676368">
      <w:bodyDiv w:val="1"/>
      <w:marLeft w:val="0"/>
      <w:marRight w:val="0"/>
      <w:marTop w:val="0"/>
      <w:marBottom w:val="0"/>
      <w:divBdr>
        <w:top w:val="none" w:sz="0" w:space="0" w:color="auto"/>
        <w:left w:val="none" w:sz="0" w:space="0" w:color="auto"/>
        <w:bottom w:val="none" w:sz="0" w:space="0" w:color="auto"/>
        <w:right w:val="none" w:sz="0" w:space="0" w:color="auto"/>
      </w:divBdr>
    </w:div>
    <w:div w:id="1733845642">
      <w:bodyDiv w:val="1"/>
      <w:marLeft w:val="0"/>
      <w:marRight w:val="0"/>
      <w:marTop w:val="0"/>
      <w:marBottom w:val="0"/>
      <w:divBdr>
        <w:top w:val="none" w:sz="0" w:space="0" w:color="auto"/>
        <w:left w:val="none" w:sz="0" w:space="0" w:color="auto"/>
        <w:bottom w:val="none" w:sz="0" w:space="0" w:color="auto"/>
        <w:right w:val="none" w:sz="0" w:space="0" w:color="auto"/>
      </w:divBdr>
    </w:div>
    <w:div w:id="1750886636">
      <w:bodyDiv w:val="1"/>
      <w:marLeft w:val="0"/>
      <w:marRight w:val="0"/>
      <w:marTop w:val="0"/>
      <w:marBottom w:val="0"/>
      <w:divBdr>
        <w:top w:val="none" w:sz="0" w:space="0" w:color="auto"/>
        <w:left w:val="none" w:sz="0" w:space="0" w:color="auto"/>
        <w:bottom w:val="none" w:sz="0" w:space="0" w:color="auto"/>
        <w:right w:val="none" w:sz="0" w:space="0" w:color="auto"/>
      </w:divBdr>
    </w:div>
    <w:div w:id="1752047849">
      <w:bodyDiv w:val="1"/>
      <w:marLeft w:val="0"/>
      <w:marRight w:val="0"/>
      <w:marTop w:val="0"/>
      <w:marBottom w:val="0"/>
      <w:divBdr>
        <w:top w:val="none" w:sz="0" w:space="0" w:color="auto"/>
        <w:left w:val="none" w:sz="0" w:space="0" w:color="auto"/>
        <w:bottom w:val="none" w:sz="0" w:space="0" w:color="auto"/>
        <w:right w:val="none" w:sz="0" w:space="0" w:color="auto"/>
      </w:divBdr>
    </w:div>
    <w:div w:id="1762606427">
      <w:bodyDiv w:val="1"/>
      <w:marLeft w:val="0"/>
      <w:marRight w:val="0"/>
      <w:marTop w:val="0"/>
      <w:marBottom w:val="0"/>
      <w:divBdr>
        <w:top w:val="none" w:sz="0" w:space="0" w:color="auto"/>
        <w:left w:val="none" w:sz="0" w:space="0" w:color="auto"/>
        <w:bottom w:val="none" w:sz="0" w:space="0" w:color="auto"/>
        <w:right w:val="none" w:sz="0" w:space="0" w:color="auto"/>
      </w:divBdr>
    </w:div>
    <w:div w:id="1768386404">
      <w:bodyDiv w:val="1"/>
      <w:marLeft w:val="0"/>
      <w:marRight w:val="0"/>
      <w:marTop w:val="0"/>
      <w:marBottom w:val="0"/>
      <w:divBdr>
        <w:top w:val="none" w:sz="0" w:space="0" w:color="auto"/>
        <w:left w:val="none" w:sz="0" w:space="0" w:color="auto"/>
        <w:bottom w:val="none" w:sz="0" w:space="0" w:color="auto"/>
        <w:right w:val="none" w:sz="0" w:space="0" w:color="auto"/>
      </w:divBdr>
      <w:divsChild>
        <w:div w:id="37095273">
          <w:marLeft w:val="0"/>
          <w:marRight w:val="0"/>
          <w:marTop w:val="0"/>
          <w:marBottom w:val="0"/>
          <w:divBdr>
            <w:top w:val="none" w:sz="0" w:space="0" w:color="auto"/>
            <w:left w:val="none" w:sz="0" w:space="0" w:color="auto"/>
            <w:bottom w:val="none" w:sz="0" w:space="0" w:color="auto"/>
            <w:right w:val="none" w:sz="0" w:space="0" w:color="auto"/>
          </w:divBdr>
        </w:div>
        <w:div w:id="140076086">
          <w:marLeft w:val="0"/>
          <w:marRight w:val="0"/>
          <w:marTop w:val="0"/>
          <w:marBottom w:val="0"/>
          <w:divBdr>
            <w:top w:val="none" w:sz="0" w:space="0" w:color="auto"/>
            <w:left w:val="none" w:sz="0" w:space="0" w:color="auto"/>
            <w:bottom w:val="none" w:sz="0" w:space="0" w:color="auto"/>
            <w:right w:val="none" w:sz="0" w:space="0" w:color="auto"/>
          </w:divBdr>
        </w:div>
        <w:div w:id="175458742">
          <w:marLeft w:val="0"/>
          <w:marRight w:val="0"/>
          <w:marTop w:val="0"/>
          <w:marBottom w:val="0"/>
          <w:divBdr>
            <w:top w:val="none" w:sz="0" w:space="0" w:color="auto"/>
            <w:left w:val="none" w:sz="0" w:space="0" w:color="auto"/>
            <w:bottom w:val="none" w:sz="0" w:space="0" w:color="auto"/>
            <w:right w:val="none" w:sz="0" w:space="0" w:color="auto"/>
          </w:divBdr>
        </w:div>
        <w:div w:id="203374869">
          <w:marLeft w:val="0"/>
          <w:marRight w:val="0"/>
          <w:marTop w:val="0"/>
          <w:marBottom w:val="0"/>
          <w:divBdr>
            <w:top w:val="none" w:sz="0" w:space="0" w:color="auto"/>
            <w:left w:val="none" w:sz="0" w:space="0" w:color="auto"/>
            <w:bottom w:val="none" w:sz="0" w:space="0" w:color="auto"/>
            <w:right w:val="none" w:sz="0" w:space="0" w:color="auto"/>
          </w:divBdr>
        </w:div>
        <w:div w:id="223373961">
          <w:marLeft w:val="0"/>
          <w:marRight w:val="0"/>
          <w:marTop w:val="0"/>
          <w:marBottom w:val="0"/>
          <w:divBdr>
            <w:top w:val="none" w:sz="0" w:space="0" w:color="auto"/>
            <w:left w:val="none" w:sz="0" w:space="0" w:color="auto"/>
            <w:bottom w:val="none" w:sz="0" w:space="0" w:color="auto"/>
            <w:right w:val="none" w:sz="0" w:space="0" w:color="auto"/>
          </w:divBdr>
        </w:div>
        <w:div w:id="254870650">
          <w:marLeft w:val="0"/>
          <w:marRight w:val="0"/>
          <w:marTop w:val="0"/>
          <w:marBottom w:val="0"/>
          <w:divBdr>
            <w:top w:val="none" w:sz="0" w:space="0" w:color="auto"/>
            <w:left w:val="none" w:sz="0" w:space="0" w:color="auto"/>
            <w:bottom w:val="none" w:sz="0" w:space="0" w:color="auto"/>
            <w:right w:val="none" w:sz="0" w:space="0" w:color="auto"/>
          </w:divBdr>
        </w:div>
        <w:div w:id="480774688">
          <w:marLeft w:val="0"/>
          <w:marRight w:val="0"/>
          <w:marTop w:val="0"/>
          <w:marBottom w:val="0"/>
          <w:divBdr>
            <w:top w:val="none" w:sz="0" w:space="0" w:color="auto"/>
            <w:left w:val="none" w:sz="0" w:space="0" w:color="auto"/>
            <w:bottom w:val="none" w:sz="0" w:space="0" w:color="auto"/>
            <w:right w:val="none" w:sz="0" w:space="0" w:color="auto"/>
          </w:divBdr>
        </w:div>
        <w:div w:id="489760904">
          <w:marLeft w:val="0"/>
          <w:marRight w:val="0"/>
          <w:marTop w:val="0"/>
          <w:marBottom w:val="0"/>
          <w:divBdr>
            <w:top w:val="none" w:sz="0" w:space="0" w:color="auto"/>
            <w:left w:val="none" w:sz="0" w:space="0" w:color="auto"/>
            <w:bottom w:val="none" w:sz="0" w:space="0" w:color="auto"/>
            <w:right w:val="none" w:sz="0" w:space="0" w:color="auto"/>
          </w:divBdr>
        </w:div>
        <w:div w:id="716975323">
          <w:marLeft w:val="0"/>
          <w:marRight w:val="0"/>
          <w:marTop w:val="0"/>
          <w:marBottom w:val="0"/>
          <w:divBdr>
            <w:top w:val="none" w:sz="0" w:space="0" w:color="auto"/>
            <w:left w:val="none" w:sz="0" w:space="0" w:color="auto"/>
            <w:bottom w:val="none" w:sz="0" w:space="0" w:color="auto"/>
            <w:right w:val="none" w:sz="0" w:space="0" w:color="auto"/>
          </w:divBdr>
        </w:div>
        <w:div w:id="719137004">
          <w:marLeft w:val="0"/>
          <w:marRight w:val="0"/>
          <w:marTop w:val="0"/>
          <w:marBottom w:val="0"/>
          <w:divBdr>
            <w:top w:val="none" w:sz="0" w:space="0" w:color="auto"/>
            <w:left w:val="none" w:sz="0" w:space="0" w:color="auto"/>
            <w:bottom w:val="none" w:sz="0" w:space="0" w:color="auto"/>
            <w:right w:val="none" w:sz="0" w:space="0" w:color="auto"/>
          </w:divBdr>
        </w:div>
        <w:div w:id="776146006">
          <w:marLeft w:val="0"/>
          <w:marRight w:val="0"/>
          <w:marTop w:val="0"/>
          <w:marBottom w:val="0"/>
          <w:divBdr>
            <w:top w:val="none" w:sz="0" w:space="0" w:color="auto"/>
            <w:left w:val="none" w:sz="0" w:space="0" w:color="auto"/>
            <w:bottom w:val="none" w:sz="0" w:space="0" w:color="auto"/>
            <w:right w:val="none" w:sz="0" w:space="0" w:color="auto"/>
          </w:divBdr>
        </w:div>
        <w:div w:id="995766326">
          <w:marLeft w:val="0"/>
          <w:marRight w:val="0"/>
          <w:marTop w:val="0"/>
          <w:marBottom w:val="0"/>
          <w:divBdr>
            <w:top w:val="none" w:sz="0" w:space="0" w:color="auto"/>
            <w:left w:val="none" w:sz="0" w:space="0" w:color="auto"/>
            <w:bottom w:val="none" w:sz="0" w:space="0" w:color="auto"/>
            <w:right w:val="none" w:sz="0" w:space="0" w:color="auto"/>
          </w:divBdr>
        </w:div>
        <w:div w:id="1132987639">
          <w:marLeft w:val="0"/>
          <w:marRight w:val="0"/>
          <w:marTop w:val="0"/>
          <w:marBottom w:val="0"/>
          <w:divBdr>
            <w:top w:val="none" w:sz="0" w:space="0" w:color="auto"/>
            <w:left w:val="none" w:sz="0" w:space="0" w:color="auto"/>
            <w:bottom w:val="none" w:sz="0" w:space="0" w:color="auto"/>
            <w:right w:val="none" w:sz="0" w:space="0" w:color="auto"/>
          </w:divBdr>
        </w:div>
        <w:div w:id="1183518291">
          <w:marLeft w:val="0"/>
          <w:marRight w:val="0"/>
          <w:marTop w:val="0"/>
          <w:marBottom w:val="0"/>
          <w:divBdr>
            <w:top w:val="none" w:sz="0" w:space="0" w:color="auto"/>
            <w:left w:val="none" w:sz="0" w:space="0" w:color="auto"/>
            <w:bottom w:val="none" w:sz="0" w:space="0" w:color="auto"/>
            <w:right w:val="none" w:sz="0" w:space="0" w:color="auto"/>
          </w:divBdr>
        </w:div>
        <w:div w:id="1199734298">
          <w:marLeft w:val="0"/>
          <w:marRight w:val="0"/>
          <w:marTop w:val="0"/>
          <w:marBottom w:val="0"/>
          <w:divBdr>
            <w:top w:val="none" w:sz="0" w:space="0" w:color="auto"/>
            <w:left w:val="none" w:sz="0" w:space="0" w:color="auto"/>
            <w:bottom w:val="none" w:sz="0" w:space="0" w:color="auto"/>
            <w:right w:val="none" w:sz="0" w:space="0" w:color="auto"/>
          </w:divBdr>
        </w:div>
        <w:div w:id="1397362027">
          <w:marLeft w:val="0"/>
          <w:marRight w:val="0"/>
          <w:marTop w:val="0"/>
          <w:marBottom w:val="0"/>
          <w:divBdr>
            <w:top w:val="none" w:sz="0" w:space="0" w:color="auto"/>
            <w:left w:val="none" w:sz="0" w:space="0" w:color="auto"/>
            <w:bottom w:val="none" w:sz="0" w:space="0" w:color="auto"/>
            <w:right w:val="none" w:sz="0" w:space="0" w:color="auto"/>
          </w:divBdr>
        </w:div>
        <w:div w:id="1554779813">
          <w:marLeft w:val="0"/>
          <w:marRight w:val="0"/>
          <w:marTop w:val="0"/>
          <w:marBottom w:val="0"/>
          <w:divBdr>
            <w:top w:val="none" w:sz="0" w:space="0" w:color="auto"/>
            <w:left w:val="none" w:sz="0" w:space="0" w:color="auto"/>
            <w:bottom w:val="none" w:sz="0" w:space="0" w:color="auto"/>
            <w:right w:val="none" w:sz="0" w:space="0" w:color="auto"/>
          </w:divBdr>
        </w:div>
        <w:div w:id="1582716237">
          <w:marLeft w:val="0"/>
          <w:marRight w:val="0"/>
          <w:marTop w:val="0"/>
          <w:marBottom w:val="0"/>
          <w:divBdr>
            <w:top w:val="none" w:sz="0" w:space="0" w:color="auto"/>
            <w:left w:val="none" w:sz="0" w:space="0" w:color="auto"/>
            <w:bottom w:val="none" w:sz="0" w:space="0" w:color="auto"/>
            <w:right w:val="none" w:sz="0" w:space="0" w:color="auto"/>
          </w:divBdr>
        </w:div>
        <w:div w:id="1633946215">
          <w:marLeft w:val="0"/>
          <w:marRight w:val="0"/>
          <w:marTop w:val="0"/>
          <w:marBottom w:val="0"/>
          <w:divBdr>
            <w:top w:val="none" w:sz="0" w:space="0" w:color="auto"/>
            <w:left w:val="none" w:sz="0" w:space="0" w:color="auto"/>
            <w:bottom w:val="none" w:sz="0" w:space="0" w:color="auto"/>
            <w:right w:val="none" w:sz="0" w:space="0" w:color="auto"/>
          </w:divBdr>
        </w:div>
        <w:div w:id="1766464654">
          <w:marLeft w:val="0"/>
          <w:marRight w:val="0"/>
          <w:marTop w:val="0"/>
          <w:marBottom w:val="0"/>
          <w:divBdr>
            <w:top w:val="none" w:sz="0" w:space="0" w:color="auto"/>
            <w:left w:val="none" w:sz="0" w:space="0" w:color="auto"/>
            <w:bottom w:val="none" w:sz="0" w:space="0" w:color="auto"/>
            <w:right w:val="none" w:sz="0" w:space="0" w:color="auto"/>
          </w:divBdr>
        </w:div>
        <w:div w:id="1986397501">
          <w:marLeft w:val="0"/>
          <w:marRight w:val="0"/>
          <w:marTop w:val="0"/>
          <w:marBottom w:val="0"/>
          <w:divBdr>
            <w:top w:val="none" w:sz="0" w:space="0" w:color="auto"/>
            <w:left w:val="none" w:sz="0" w:space="0" w:color="auto"/>
            <w:bottom w:val="none" w:sz="0" w:space="0" w:color="auto"/>
            <w:right w:val="none" w:sz="0" w:space="0" w:color="auto"/>
          </w:divBdr>
        </w:div>
        <w:div w:id="2010326030">
          <w:marLeft w:val="0"/>
          <w:marRight w:val="0"/>
          <w:marTop w:val="0"/>
          <w:marBottom w:val="0"/>
          <w:divBdr>
            <w:top w:val="none" w:sz="0" w:space="0" w:color="auto"/>
            <w:left w:val="none" w:sz="0" w:space="0" w:color="auto"/>
            <w:bottom w:val="none" w:sz="0" w:space="0" w:color="auto"/>
            <w:right w:val="none" w:sz="0" w:space="0" w:color="auto"/>
          </w:divBdr>
        </w:div>
        <w:div w:id="2020548411">
          <w:marLeft w:val="0"/>
          <w:marRight w:val="0"/>
          <w:marTop w:val="0"/>
          <w:marBottom w:val="0"/>
          <w:divBdr>
            <w:top w:val="none" w:sz="0" w:space="0" w:color="auto"/>
            <w:left w:val="none" w:sz="0" w:space="0" w:color="auto"/>
            <w:bottom w:val="none" w:sz="0" w:space="0" w:color="auto"/>
            <w:right w:val="none" w:sz="0" w:space="0" w:color="auto"/>
          </w:divBdr>
        </w:div>
        <w:div w:id="2145585449">
          <w:marLeft w:val="0"/>
          <w:marRight w:val="0"/>
          <w:marTop w:val="0"/>
          <w:marBottom w:val="0"/>
          <w:divBdr>
            <w:top w:val="none" w:sz="0" w:space="0" w:color="auto"/>
            <w:left w:val="none" w:sz="0" w:space="0" w:color="auto"/>
            <w:bottom w:val="none" w:sz="0" w:space="0" w:color="auto"/>
            <w:right w:val="none" w:sz="0" w:space="0" w:color="auto"/>
          </w:divBdr>
        </w:div>
      </w:divsChild>
    </w:div>
    <w:div w:id="1780685605">
      <w:bodyDiv w:val="1"/>
      <w:marLeft w:val="0"/>
      <w:marRight w:val="0"/>
      <w:marTop w:val="0"/>
      <w:marBottom w:val="0"/>
      <w:divBdr>
        <w:top w:val="none" w:sz="0" w:space="0" w:color="auto"/>
        <w:left w:val="none" w:sz="0" w:space="0" w:color="auto"/>
        <w:bottom w:val="none" w:sz="0" w:space="0" w:color="auto"/>
        <w:right w:val="none" w:sz="0" w:space="0" w:color="auto"/>
      </w:divBdr>
    </w:div>
    <w:div w:id="1798522829">
      <w:bodyDiv w:val="1"/>
      <w:marLeft w:val="0"/>
      <w:marRight w:val="0"/>
      <w:marTop w:val="0"/>
      <w:marBottom w:val="0"/>
      <w:divBdr>
        <w:top w:val="none" w:sz="0" w:space="0" w:color="auto"/>
        <w:left w:val="none" w:sz="0" w:space="0" w:color="auto"/>
        <w:bottom w:val="none" w:sz="0" w:space="0" w:color="auto"/>
        <w:right w:val="none" w:sz="0" w:space="0" w:color="auto"/>
      </w:divBdr>
    </w:div>
    <w:div w:id="1800684590">
      <w:bodyDiv w:val="1"/>
      <w:marLeft w:val="0"/>
      <w:marRight w:val="0"/>
      <w:marTop w:val="0"/>
      <w:marBottom w:val="0"/>
      <w:divBdr>
        <w:top w:val="none" w:sz="0" w:space="0" w:color="auto"/>
        <w:left w:val="none" w:sz="0" w:space="0" w:color="auto"/>
        <w:bottom w:val="none" w:sz="0" w:space="0" w:color="auto"/>
        <w:right w:val="none" w:sz="0" w:space="0" w:color="auto"/>
      </w:divBdr>
      <w:divsChild>
        <w:div w:id="541863321">
          <w:marLeft w:val="0"/>
          <w:marRight w:val="0"/>
          <w:marTop w:val="0"/>
          <w:marBottom w:val="0"/>
          <w:divBdr>
            <w:top w:val="none" w:sz="0" w:space="0" w:color="auto"/>
            <w:left w:val="none" w:sz="0" w:space="0" w:color="auto"/>
            <w:bottom w:val="none" w:sz="0" w:space="0" w:color="auto"/>
            <w:right w:val="none" w:sz="0" w:space="0" w:color="auto"/>
          </w:divBdr>
        </w:div>
        <w:div w:id="1021779274">
          <w:marLeft w:val="0"/>
          <w:marRight w:val="0"/>
          <w:marTop w:val="0"/>
          <w:marBottom w:val="0"/>
          <w:divBdr>
            <w:top w:val="none" w:sz="0" w:space="0" w:color="auto"/>
            <w:left w:val="none" w:sz="0" w:space="0" w:color="auto"/>
            <w:bottom w:val="none" w:sz="0" w:space="0" w:color="auto"/>
            <w:right w:val="none" w:sz="0" w:space="0" w:color="auto"/>
          </w:divBdr>
        </w:div>
      </w:divsChild>
    </w:div>
    <w:div w:id="1812402061">
      <w:bodyDiv w:val="1"/>
      <w:marLeft w:val="0"/>
      <w:marRight w:val="0"/>
      <w:marTop w:val="0"/>
      <w:marBottom w:val="0"/>
      <w:divBdr>
        <w:top w:val="none" w:sz="0" w:space="0" w:color="auto"/>
        <w:left w:val="none" w:sz="0" w:space="0" w:color="auto"/>
        <w:bottom w:val="none" w:sz="0" w:space="0" w:color="auto"/>
        <w:right w:val="none" w:sz="0" w:space="0" w:color="auto"/>
      </w:divBdr>
    </w:div>
    <w:div w:id="1823959351">
      <w:bodyDiv w:val="1"/>
      <w:marLeft w:val="0"/>
      <w:marRight w:val="0"/>
      <w:marTop w:val="0"/>
      <w:marBottom w:val="0"/>
      <w:divBdr>
        <w:top w:val="none" w:sz="0" w:space="0" w:color="auto"/>
        <w:left w:val="none" w:sz="0" w:space="0" w:color="auto"/>
        <w:bottom w:val="none" w:sz="0" w:space="0" w:color="auto"/>
        <w:right w:val="none" w:sz="0" w:space="0" w:color="auto"/>
      </w:divBdr>
    </w:div>
    <w:div w:id="1828478683">
      <w:bodyDiv w:val="1"/>
      <w:marLeft w:val="0"/>
      <w:marRight w:val="0"/>
      <w:marTop w:val="0"/>
      <w:marBottom w:val="0"/>
      <w:divBdr>
        <w:top w:val="none" w:sz="0" w:space="0" w:color="auto"/>
        <w:left w:val="none" w:sz="0" w:space="0" w:color="auto"/>
        <w:bottom w:val="none" w:sz="0" w:space="0" w:color="auto"/>
        <w:right w:val="none" w:sz="0" w:space="0" w:color="auto"/>
      </w:divBdr>
    </w:div>
    <w:div w:id="1843083926">
      <w:bodyDiv w:val="1"/>
      <w:marLeft w:val="0"/>
      <w:marRight w:val="0"/>
      <w:marTop w:val="0"/>
      <w:marBottom w:val="0"/>
      <w:divBdr>
        <w:top w:val="none" w:sz="0" w:space="0" w:color="auto"/>
        <w:left w:val="none" w:sz="0" w:space="0" w:color="auto"/>
        <w:bottom w:val="none" w:sz="0" w:space="0" w:color="auto"/>
        <w:right w:val="none" w:sz="0" w:space="0" w:color="auto"/>
      </w:divBdr>
    </w:div>
    <w:div w:id="1910461506">
      <w:bodyDiv w:val="1"/>
      <w:marLeft w:val="0"/>
      <w:marRight w:val="0"/>
      <w:marTop w:val="0"/>
      <w:marBottom w:val="0"/>
      <w:divBdr>
        <w:top w:val="none" w:sz="0" w:space="0" w:color="auto"/>
        <w:left w:val="none" w:sz="0" w:space="0" w:color="auto"/>
        <w:bottom w:val="none" w:sz="0" w:space="0" w:color="auto"/>
        <w:right w:val="none" w:sz="0" w:space="0" w:color="auto"/>
      </w:divBdr>
    </w:div>
    <w:div w:id="1912229354">
      <w:bodyDiv w:val="1"/>
      <w:marLeft w:val="0"/>
      <w:marRight w:val="0"/>
      <w:marTop w:val="0"/>
      <w:marBottom w:val="0"/>
      <w:divBdr>
        <w:top w:val="none" w:sz="0" w:space="0" w:color="auto"/>
        <w:left w:val="none" w:sz="0" w:space="0" w:color="auto"/>
        <w:bottom w:val="none" w:sz="0" w:space="0" w:color="auto"/>
        <w:right w:val="none" w:sz="0" w:space="0" w:color="auto"/>
      </w:divBdr>
    </w:div>
    <w:div w:id="1940137885">
      <w:bodyDiv w:val="1"/>
      <w:marLeft w:val="0"/>
      <w:marRight w:val="0"/>
      <w:marTop w:val="0"/>
      <w:marBottom w:val="0"/>
      <w:divBdr>
        <w:top w:val="none" w:sz="0" w:space="0" w:color="auto"/>
        <w:left w:val="none" w:sz="0" w:space="0" w:color="auto"/>
        <w:bottom w:val="none" w:sz="0" w:space="0" w:color="auto"/>
        <w:right w:val="none" w:sz="0" w:space="0" w:color="auto"/>
      </w:divBdr>
    </w:div>
    <w:div w:id="1970473057">
      <w:bodyDiv w:val="1"/>
      <w:marLeft w:val="0"/>
      <w:marRight w:val="0"/>
      <w:marTop w:val="0"/>
      <w:marBottom w:val="0"/>
      <w:divBdr>
        <w:top w:val="none" w:sz="0" w:space="0" w:color="auto"/>
        <w:left w:val="none" w:sz="0" w:space="0" w:color="auto"/>
        <w:bottom w:val="none" w:sz="0" w:space="0" w:color="auto"/>
        <w:right w:val="none" w:sz="0" w:space="0" w:color="auto"/>
      </w:divBdr>
    </w:div>
    <w:div w:id="1973557643">
      <w:bodyDiv w:val="1"/>
      <w:marLeft w:val="0"/>
      <w:marRight w:val="0"/>
      <w:marTop w:val="0"/>
      <w:marBottom w:val="0"/>
      <w:divBdr>
        <w:top w:val="none" w:sz="0" w:space="0" w:color="auto"/>
        <w:left w:val="none" w:sz="0" w:space="0" w:color="auto"/>
        <w:bottom w:val="none" w:sz="0" w:space="0" w:color="auto"/>
        <w:right w:val="none" w:sz="0" w:space="0" w:color="auto"/>
      </w:divBdr>
    </w:div>
    <w:div w:id="1974822651">
      <w:bodyDiv w:val="1"/>
      <w:marLeft w:val="0"/>
      <w:marRight w:val="0"/>
      <w:marTop w:val="0"/>
      <w:marBottom w:val="0"/>
      <w:divBdr>
        <w:top w:val="none" w:sz="0" w:space="0" w:color="auto"/>
        <w:left w:val="none" w:sz="0" w:space="0" w:color="auto"/>
        <w:bottom w:val="none" w:sz="0" w:space="0" w:color="auto"/>
        <w:right w:val="none" w:sz="0" w:space="0" w:color="auto"/>
      </w:divBdr>
    </w:div>
    <w:div w:id="1975326777">
      <w:bodyDiv w:val="1"/>
      <w:marLeft w:val="0"/>
      <w:marRight w:val="0"/>
      <w:marTop w:val="0"/>
      <w:marBottom w:val="0"/>
      <w:divBdr>
        <w:top w:val="none" w:sz="0" w:space="0" w:color="auto"/>
        <w:left w:val="none" w:sz="0" w:space="0" w:color="auto"/>
        <w:bottom w:val="none" w:sz="0" w:space="0" w:color="auto"/>
        <w:right w:val="none" w:sz="0" w:space="0" w:color="auto"/>
      </w:divBdr>
    </w:div>
    <w:div w:id="2009212124">
      <w:bodyDiv w:val="1"/>
      <w:marLeft w:val="0"/>
      <w:marRight w:val="0"/>
      <w:marTop w:val="0"/>
      <w:marBottom w:val="0"/>
      <w:divBdr>
        <w:top w:val="none" w:sz="0" w:space="0" w:color="auto"/>
        <w:left w:val="none" w:sz="0" w:space="0" w:color="auto"/>
        <w:bottom w:val="none" w:sz="0" w:space="0" w:color="auto"/>
        <w:right w:val="none" w:sz="0" w:space="0" w:color="auto"/>
      </w:divBdr>
    </w:div>
    <w:div w:id="2013144528">
      <w:bodyDiv w:val="1"/>
      <w:marLeft w:val="0"/>
      <w:marRight w:val="0"/>
      <w:marTop w:val="0"/>
      <w:marBottom w:val="0"/>
      <w:divBdr>
        <w:top w:val="none" w:sz="0" w:space="0" w:color="auto"/>
        <w:left w:val="none" w:sz="0" w:space="0" w:color="auto"/>
        <w:bottom w:val="none" w:sz="0" w:space="0" w:color="auto"/>
        <w:right w:val="none" w:sz="0" w:space="0" w:color="auto"/>
      </w:divBdr>
    </w:div>
    <w:div w:id="2045211459">
      <w:bodyDiv w:val="1"/>
      <w:marLeft w:val="0"/>
      <w:marRight w:val="0"/>
      <w:marTop w:val="0"/>
      <w:marBottom w:val="0"/>
      <w:divBdr>
        <w:top w:val="none" w:sz="0" w:space="0" w:color="auto"/>
        <w:left w:val="none" w:sz="0" w:space="0" w:color="auto"/>
        <w:bottom w:val="none" w:sz="0" w:space="0" w:color="auto"/>
        <w:right w:val="none" w:sz="0" w:space="0" w:color="auto"/>
      </w:divBdr>
      <w:divsChild>
        <w:div w:id="226065556">
          <w:marLeft w:val="0"/>
          <w:marRight w:val="0"/>
          <w:marTop w:val="0"/>
          <w:marBottom w:val="0"/>
          <w:divBdr>
            <w:top w:val="none" w:sz="0" w:space="0" w:color="auto"/>
            <w:left w:val="none" w:sz="0" w:space="0" w:color="auto"/>
            <w:bottom w:val="none" w:sz="0" w:space="0" w:color="auto"/>
            <w:right w:val="none" w:sz="0" w:space="0" w:color="auto"/>
          </w:divBdr>
        </w:div>
        <w:div w:id="909582098">
          <w:marLeft w:val="0"/>
          <w:marRight w:val="0"/>
          <w:marTop w:val="0"/>
          <w:marBottom w:val="0"/>
          <w:divBdr>
            <w:top w:val="none" w:sz="0" w:space="0" w:color="auto"/>
            <w:left w:val="none" w:sz="0" w:space="0" w:color="auto"/>
            <w:bottom w:val="none" w:sz="0" w:space="0" w:color="auto"/>
            <w:right w:val="none" w:sz="0" w:space="0" w:color="auto"/>
          </w:divBdr>
        </w:div>
        <w:div w:id="1843737762">
          <w:marLeft w:val="0"/>
          <w:marRight w:val="0"/>
          <w:marTop w:val="0"/>
          <w:marBottom w:val="0"/>
          <w:divBdr>
            <w:top w:val="none" w:sz="0" w:space="0" w:color="auto"/>
            <w:left w:val="none" w:sz="0" w:space="0" w:color="auto"/>
            <w:bottom w:val="none" w:sz="0" w:space="0" w:color="auto"/>
            <w:right w:val="none" w:sz="0" w:space="0" w:color="auto"/>
          </w:divBdr>
        </w:div>
      </w:divsChild>
    </w:div>
    <w:div w:id="2080201234">
      <w:bodyDiv w:val="1"/>
      <w:marLeft w:val="0"/>
      <w:marRight w:val="0"/>
      <w:marTop w:val="0"/>
      <w:marBottom w:val="0"/>
      <w:divBdr>
        <w:top w:val="none" w:sz="0" w:space="0" w:color="auto"/>
        <w:left w:val="none" w:sz="0" w:space="0" w:color="auto"/>
        <w:bottom w:val="none" w:sz="0" w:space="0" w:color="auto"/>
        <w:right w:val="none" w:sz="0" w:space="0" w:color="auto"/>
      </w:divBdr>
    </w:div>
    <w:div w:id="2114401816">
      <w:bodyDiv w:val="1"/>
      <w:marLeft w:val="0"/>
      <w:marRight w:val="0"/>
      <w:marTop w:val="0"/>
      <w:marBottom w:val="0"/>
      <w:divBdr>
        <w:top w:val="none" w:sz="0" w:space="0" w:color="auto"/>
        <w:left w:val="none" w:sz="0" w:space="0" w:color="auto"/>
        <w:bottom w:val="none" w:sz="0" w:space="0" w:color="auto"/>
        <w:right w:val="none" w:sz="0" w:space="0" w:color="auto"/>
      </w:divBdr>
    </w:div>
    <w:div w:id="2119400359">
      <w:bodyDiv w:val="1"/>
      <w:marLeft w:val="0"/>
      <w:marRight w:val="0"/>
      <w:marTop w:val="0"/>
      <w:marBottom w:val="0"/>
      <w:divBdr>
        <w:top w:val="none" w:sz="0" w:space="0" w:color="auto"/>
        <w:left w:val="none" w:sz="0" w:space="0" w:color="auto"/>
        <w:bottom w:val="none" w:sz="0" w:space="0" w:color="auto"/>
        <w:right w:val="none" w:sz="0" w:space="0" w:color="auto"/>
      </w:divBdr>
    </w:div>
    <w:div w:id="2134666715">
      <w:bodyDiv w:val="1"/>
      <w:marLeft w:val="0"/>
      <w:marRight w:val="0"/>
      <w:marTop w:val="0"/>
      <w:marBottom w:val="0"/>
      <w:divBdr>
        <w:top w:val="none" w:sz="0" w:space="0" w:color="auto"/>
        <w:left w:val="none" w:sz="0" w:space="0" w:color="auto"/>
        <w:bottom w:val="none" w:sz="0" w:space="0" w:color="auto"/>
        <w:right w:val="none" w:sz="0" w:space="0" w:color="auto"/>
      </w:divBdr>
    </w:div>
    <w:div w:id="21467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header" Target="header1.xml"/><Relationship Id="rId191" Type="http://schemas.openxmlformats.org/officeDocument/2006/relationships/image" Target="media/image16.emf"/><Relationship Id="rId205" Type="http://schemas.openxmlformats.org/officeDocument/2006/relationships/image" Target="media/image28.emf"/><Relationship Id="rId226" Type="http://schemas.openxmlformats.org/officeDocument/2006/relationships/image" Target="media/image49.emf"/><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image" Target="media/image7.emf"/><Relationship Id="rId216" Type="http://schemas.openxmlformats.org/officeDocument/2006/relationships/image" Target="media/image39.png"/><Relationship Id="rId237"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hyperlink" Target="http://www.dvgw-sc.de/index.php?id=1591" TargetMode="External"/><Relationship Id="rId192" Type="http://schemas.openxmlformats.org/officeDocument/2006/relationships/image" Target="media/image17.emf"/><Relationship Id="rId197" Type="http://schemas.openxmlformats.org/officeDocument/2006/relationships/image" Target="media/image22.png"/><Relationship Id="rId206" Type="http://schemas.openxmlformats.org/officeDocument/2006/relationships/image" Target="media/image29.emf"/><Relationship Id="rId227" Type="http://schemas.openxmlformats.org/officeDocument/2006/relationships/image" Target="media/image50.emf"/><Relationship Id="rId201" Type="http://schemas.openxmlformats.org/officeDocument/2006/relationships/image" Target="media/image24.png"/><Relationship Id="rId222" Type="http://schemas.openxmlformats.org/officeDocument/2006/relationships/image" Target="media/image45.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customXml" Target="../customXml/item161.xml"/><Relationship Id="rId166" Type="http://schemas.openxmlformats.org/officeDocument/2006/relationships/settings" Target="settings.xml"/><Relationship Id="rId182" Type="http://schemas.openxmlformats.org/officeDocument/2006/relationships/image" Target="media/image8.png"/><Relationship Id="rId187" Type="http://schemas.openxmlformats.org/officeDocument/2006/relationships/image" Target="media/image12.emf"/><Relationship Id="rId217"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35.emf"/><Relationship Id="rId233" Type="http://schemas.openxmlformats.org/officeDocument/2006/relationships/image" Target="media/image56.png"/><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edi-energy.de/" TargetMode="External"/><Relationship Id="rId198" Type="http://schemas.openxmlformats.org/officeDocument/2006/relationships/image" Target="media/image23.emf"/><Relationship Id="rId172" Type="http://schemas.openxmlformats.org/officeDocument/2006/relationships/header" Target="header2.xml"/><Relationship Id="rId193" Type="http://schemas.openxmlformats.org/officeDocument/2006/relationships/image" Target="media/image18.emf"/><Relationship Id="rId202" Type="http://schemas.openxmlformats.org/officeDocument/2006/relationships/image" Target="media/image25.emf"/><Relationship Id="rId207" Type="http://schemas.openxmlformats.org/officeDocument/2006/relationships/image" Target="media/image30.png"/><Relationship Id="rId223" Type="http://schemas.openxmlformats.org/officeDocument/2006/relationships/image" Target="media/image46.emf"/><Relationship Id="rId228" Type="http://schemas.openxmlformats.org/officeDocument/2006/relationships/image" Target="media/image51.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webSettings" Target="webSettings.xml"/><Relationship Id="rId188" Type="http://schemas.openxmlformats.org/officeDocument/2006/relationships/image" Target="media/image1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customXml" Target="../customXml/item162.xml"/><Relationship Id="rId183" Type="http://schemas.openxmlformats.org/officeDocument/2006/relationships/image" Target="cid:image003.png@01D887CF.C9EDBB10" TargetMode="External"/><Relationship Id="rId213" Type="http://schemas.openxmlformats.org/officeDocument/2006/relationships/image" Target="media/image36.emf"/><Relationship Id="rId218" Type="http://schemas.openxmlformats.org/officeDocument/2006/relationships/image" Target="media/image41.png"/><Relationship Id="rId234"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5.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4" Type="http://schemas.openxmlformats.org/officeDocument/2006/relationships/image" Target="media/image19.emf"/><Relationship Id="rId199" Type="http://schemas.openxmlformats.org/officeDocument/2006/relationships/chart" Target="charts/chart1.xml"/><Relationship Id="rId203" Type="http://schemas.openxmlformats.org/officeDocument/2006/relationships/image" Target="media/image26.png"/><Relationship Id="rId208" Type="http://schemas.openxmlformats.org/officeDocument/2006/relationships/image" Target="media/image31.png"/><Relationship Id="rId229" Type="http://schemas.openxmlformats.org/officeDocument/2006/relationships/image" Target="media/image52.emf"/><Relationship Id="rId19" Type="http://schemas.openxmlformats.org/officeDocument/2006/relationships/customXml" Target="../customXml/item19.xml"/><Relationship Id="rId224" Type="http://schemas.openxmlformats.org/officeDocument/2006/relationships/image" Target="media/image47.emf"/><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notes" Target="footnotes.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image" Target="media/image9.png"/><Relationship Id="rId189" Type="http://schemas.openxmlformats.org/officeDocument/2006/relationships/image" Target="media/image14.emf"/><Relationship Id="rId219" Type="http://schemas.openxmlformats.org/officeDocument/2006/relationships/image" Target="media/image42.png"/><Relationship Id="rId3" Type="http://schemas.openxmlformats.org/officeDocument/2006/relationships/customXml" Target="../customXml/item3.xml"/><Relationship Id="rId214" Type="http://schemas.openxmlformats.org/officeDocument/2006/relationships/image" Target="media/image37.emf"/><Relationship Id="rId230" Type="http://schemas.openxmlformats.org/officeDocument/2006/relationships/image" Target="media/image53.emf"/><Relationship Id="rId235" Type="http://schemas.openxmlformats.org/officeDocument/2006/relationships/footer" Target="footer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png"/><Relationship Id="rId179" Type="http://schemas.openxmlformats.org/officeDocument/2006/relationships/image" Target="media/image6.emf"/><Relationship Id="rId195" Type="http://schemas.openxmlformats.org/officeDocument/2006/relationships/image" Target="media/image20.emf"/><Relationship Id="rId209" Type="http://schemas.openxmlformats.org/officeDocument/2006/relationships/image" Target="media/image32.png"/><Relationship Id="rId190" Type="http://schemas.openxmlformats.org/officeDocument/2006/relationships/image" Target="media/image15.emf"/><Relationship Id="rId204" Type="http://schemas.openxmlformats.org/officeDocument/2006/relationships/image" Target="media/image27.emf"/><Relationship Id="rId220" Type="http://schemas.openxmlformats.org/officeDocument/2006/relationships/image" Target="media/image43.png"/><Relationship Id="rId225" Type="http://schemas.openxmlformats.org/officeDocument/2006/relationships/image" Target="media/image48.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numbering" Target="numbering.xml"/><Relationship Id="rId169" Type="http://schemas.openxmlformats.org/officeDocument/2006/relationships/endnotes" Target="endnotes.xml"/><Relationship Id="rId185"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dvgw-sc.de/index.php?id=1591" TargetMode="External"/><Relationship Id="rId210" Type="http://schemas.openxmlformats.org/officeDocument/2006/relationships/image" Target="media/image33.emf"/><Relationship Id="rId215" Type="http://schemas.openxmlformats.org/officeDocument/2006/relationships/image" Target="media/image38.emf"/><Relationship Id="rId236" Type="http://schemas.openxmlformats.org/officeDocument/2006/relationships/fontTable" Target="fontTable.xml"/><Relationship Id="rId26" Type="http://schemas.openxmlformats.org/officeDocument/2006/relationships/customXml" Target="../customXml/item26.xml"/><Relationship Id="rId231" Type="http://schemas.openxmlformats.org/officeDocument/2006/relationships/image" Target="media/image54.emf"/><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emf"/><Relationship Id="rId196" Type="http://schemas.openxmlformats.org/officeDocument/2006/relationships/image" Target="media/image21.png"/><Relationship Id="rId200" Type="http://schemas.openxmlformats.org/officeDocument/2006/relationships/chart" Target="charts/chart2.xml"/><Relationship Id="rId16" Type="http://schemas.openxmlformats.org/officeDocument/2006/relationships/customXml" Target="../customXml/item16.xml"/><Relationship Id="rId221" Type="http://schemas.openxmlformats.org/officeDocument/2006/relationships/image" Target="media/image44.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styles" Target="styles.xml"/><Relationship Id="rId186" Type="http://schemas.openxmlformats.org/officeDocument/2006/relationships/image" Target="media/image11.png"/><Relationship Id="rId211" Type="http://schemas.openxmlformats.org/officeDocument/2006/relationships/image" Target="media/image34.emf"/><Relationship Id="rId232" Type="http://schemas.openxmlformats.org/officeDocument/2006/relationships/image" Target="media/image55.emf"/><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00023\Documents\Beispiele%20LF%20BK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Tabelle1!$E$18</c:f>
              <c:strCache>
                <c:ptCount val="1"/>
                <c:pt idx="0">
                  <c:v>EXIT SO</c:v>
                </c:pt>
              </c:strCache>
            </c:strRef>
          </c:tx>
          <c:spPr>
            <a:solidFill>
              <a:schemeClr val="accent1">
                <a:lumMod val="40000"/>
                <a:lumOff val="60000"/>
              </a:schemeClr>
            </a:solidFill>
            <a:ln>
              <a:solidFill>
                <a:schemeClr val="tx1"/>
              </a:solidFill>
            </a:ln>
          </c:spPr>
          <c:invertIfNegative val="0"/>
          <c:cat>
            <c:numRef>
              <c:f>Tabelle1!$D$19:$D$42</c:f>
              <c:numCache>
                <c:formatCode>hh:mm</c:formatCode>
                <c:ptCount val="24"/>
                <c:pt idx="0">
                  <c:v>0.25</c:v>
                </c:pt>
                <c:pt idx="1">
                  <c:v>0.29166666666667451</c:v>
                </c:pt>
                <c:pt idx="2">
                  <c:v>0.33333333333333298</c:v>
                </c:pt>
                <c:pt idx="3">
                  <c:v>0.37500000000000488</c:v>
                </c:pt>
                <c:pt idx="4">
                  <c:v>0.41666666666667485</c:v>
                </c:pt>
                <c:pt idx="5">
                  <c:v>0.45833333333333293</c:v>
                </c:pt>
                <c:pt idx="6">
                  <c:v>0.5</c:v>
                </c:pt>
                <c:pt idx="7">
                  <c:v>0.54166666666666696</c:v>
                </c:pt>
                <c:pt idx="8">
                  <c:v>0.58333333333333259</c:v>
                </c:pt>
                <c:pt idx="9">
                  <c:v>0.62500000000001277</c:v>
                </c:pt>
                <c:pt idx="10">
                  <c:v>0.66666666666666763</c:v>
                </c:pt>
                <c:pt idx="11">
                  <c:v>0.70833333333333404</c:v>
                </c:pt>
                <c:pt idx="12">
                  <c:v>0.75000000000001277</c:v>
                </c:pt>
                <c:pt idx="13">
                  <c:v>0.79166666666666696</c:v>
                </c:pt>
                <c:pt idx="14">
                  <c:v>0.83333333333333404</c:v>
                </c:pt>
                <c:pt idx="15">
                  <c:v>0.87500000000001277</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Tabelle1!$E$19:$E$42</c:f>
              <c:numCache>
                <c:formatCode>General</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extLst>
            <c:ext xmlns:c16="http://schemas.microsoft.com/office/drawing/2014/chart" uri="{C3380CC4-5D6E-409C-BE32-E72D297353CC}">
              <c16:uniqueId val="{00000000-A7C3-4A2C-8F57-DBE0EC359E94}"/>
            </c:ext>
          </c:extLst>
        </c:ser>
        <c:ser>
          <c:idx val="1"/>
          <c:order val="1"/>
          <c:tx>
            <c:strRef>
              <c:f>Tabelle1!$F$18</c:f>
              <c:strCache>
                <c:ptCount val="1"/>
                <c:pt idx="0">
                  <c:v>SLPana</c:v>
                </c:pt>
              </c:strCache>
            </c:strRef>
          </c:tx>
          <c:spPr>
            <a:solidFill>
              <a:schemeClr val="accent2">
                <a:lumMod val="40000"/>
                <a:lumOff val="60000"/>
              </a:schemeClr>
            </a:solidFill>
            <a:ln>
              <a:solidFill>
                <a:schemeClr val="tx1"/>
              </a:solidFill>
            </a:ln>
          </c:spPr>
          <c:invertIfNegative val="0"/>
          <c:cat>
            <c:numRef>
              <c:f>Tabelle1!$D$19:$D$42</c:f>
              <c:numCache>
                <c:formatCode>hh:mm</c:formatCode>
                <c:ptCount val="24"/>
                <c:pt idx="0">
                  <c:v>0.25</c:v>
                </c:pt>
                <c:pt idx="1">
                  <c:v>0.29166666666667451</c:v>
                </c:pt>
                <c:pt idx="2">
                  <c:v>0.33333333333333298</c:v>
                </c:pt>
                <c:pt idx="3">
                  <c:v>0.37500000000000488</c:v>
                </c:pt>
                <c:pt idx="4">
                  <c:v>0.41666666666667485</c:v>
                </c:pt>
                <c:pt idx="5">
                  <c:v>0.45833333333333293</c:v>
                </c:pt>
                <c:pt idx="6">
                  <c:v>0.5</c:v>
                </c:pt>
                <c:pt idx="7">
                  <c:v>0.54166666666666696</c:v>
                </c:pt>
                <c:pt idx="8">
                  <c:v>0.58333333333333259</c:v>
                </c:pt>
                <c:pt idx="9">
                  <c:v>0.62500000000001277</c:v>
                </c:pt>
                <c:pt idx="10">
                  <c:v>0.66666666666666763</c:v>
                </c:pt>
                <c:pt idx="11">
                  <c:v>0.70833333333333404</c:v>
                </c:pt>
                <c:pt idx="12">
                  <c:v>0.75000000000001277</c:v>
                </c:pt>
                <c:pt idx="13">
                  <c:v>0.79166666666666696</c:v>
                </c:pt>
                <c:pt idx="14">
                  <c:v>0.83333333333333404</c:v>
                </c:pt>
                <c:pt idx="15">
                  <c:v>0.87500000000001277</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Tabelle1!$F$19:$F$42</c:f>
              <c:numCache>
                <c:formatCode>General</c:formatCode>
                <c:ptCount val="24"/>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numCache>
            </c:numRef>
          </c:val>
          <c:extLst>
            <c:ext xmlns:c16="http://schemas.microsoft.com/office/drawing/2014/chart" uri="{C3380CC4-5D6E-409C-BE32-E72D297353CC}">
              <c16:uniqueId val="{00000001-A7C3-4A2C-8F57-DBE0EC359E94}"/>
            </c:ext>
          </c:extLst>
        </c:ser>
        <c:ser>
          <c:idx val="2"/>
          <c:order val="2"/>
          <c:tx>
            <c:strRef>
              <c:f>Tabelle1!$G$18</c:f>
              <c:strCache>
                <c:ptCount val="1"/>
                <c:pt idx="0">
                  <c:v>RLMoT</c:v>
                </c:pt>
              </c:strCache>
            </c:strRef>
          </c:tx>
          <c:spPr>
            <a:solidFill>
              <a:schemeClr val="accent3">
                <a:lumMod val="40000"/>
                <a:lumOff val="60000"/>
              </a:schemeClr>
            </a:solidFill>
            <a:ln>
              <a:solidFill>
                <a:schemeClr val="tx1"/>
              </a:solidFill>
            </a:ln>
          </c:spPr>
          <c:invertIfNegative val="0"/>
          <c:cat>
            <c:numRef>
              <c:f>Tabelle1!$D$19:$D$42</c:f>
              <c:numCache>
                <c:formatCode>hh:mm</c:formatCode>
                <c:ptCount val="24"/>
                <c:pt idx="0">
                  <c:v>0.25</c:v>
                </c:pt>
                <c:pt idx="1">
                  <c:v>0.29166666666667451</c:v>
                </c:pt>
                <c:pt idx="2">
                  <c:v>0.33333333333333298</c:v>
                </c:pt>
                <c:pt idx="3">
                  <c:v>0.37500000000000488</c:v>
                </c:pt>
                <c:pt idx="4">
                  <c:v>0.41666666666667485</c:v>
                </c:pt>
                <c:pt idx="5">
                  <c:v>0.45833333333333293</c:v>
                </c:pt>
                <c:pt idx="6">
                  <c:v>0.5</c:v>
                </c:pt>
                <c:pt idx="7">
                  <c:v>0.54166666666666696</c:v>
                </c:pt>
                <c:pt idx="8">
                  <c:v>0.58333333333333259</c:v>
                </c:pt>
                <c:pt idx="9">
                  <c:v>0.62500000000001277</c:v>
                </c:pt>
                <c:pt idx="10">
                  <c:v>0.66666666666666763</c:v>
                </c:pt>
                <c:pt idx="11">
                  <c:v>0.70833333333333404</c:v>
                </c:pt>
                <c:pt idx="12">
                  <c:v>0.75000000000001277</c:v>
                </c:pt>
                <c:pt idx="13">
                  <c:v>0.79166666666666696</c:v>
                </c:pt>
                <c:pt idx="14">
                  <c:v>0.83333333333333404</c:v>
                </c:pt>
                <c:pt idx="15">
                  <c:v>0.87500000000001277</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Tabelle1!$G$19:$G$42</c:f>
              <c:numCache>
                <c:formatCode>General</c:formatCode>
                <c:ptCount val="24"/>
                <c:pt idx="0">
                  <c:v>0</c:v>
                </c:pt>
                <c:pt idx="1">
                  <c:v>25</c:v>
                </c:pt>
                <c:pt idx="2">
                  <c:v>25</c:v>
                </c:pt>
                <c:pt idx="3">
                  <c:v>30</c:v>
                </c:pt>
                <c:pt idx="4">
                  <c:v>35</c:v>
                </c:pt>
                <c:pt idx="5">
                  <c:v>25</c:v>
                </c:pt>
                <c:pt idx="6">
                  <c:v>25</c:v>
                </c:pt>
                <c:pt idx="7">
                  <c:v>35</c:v>
                </c:pt>
                <c:pt idx="8">
                  <c:v>40</c:v>
                </c:pt>
                <c:pt idx="9">
                  <c:v>45</c:v>
                </c:pt>
                <c:pt idx="10">
                  <c:v>45</c:v>
                </c:pt>
                <c:pt idx="11">
                  <c:v>40</c:v>
                </c:pt>
                <c:pt idx="12">
                  <c:v>20</c:v>
                </c:pt>
                <c:pt idx="13">
                  <c:v>20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2-A7C3-4A2C-8F57-DBE0EC359E94}"/>
            </c:ext>
          </c:extLst>
        </c:ser>
        <c:dLbls>
          <c:showLegendKey val="0"/>
          <c:showVal val="0"/>
          <c:showCatName val="0"/>
          <c:showSerName val="0"/>
          <c:showPercent val="0"/>
          <c:showBubbleSize val="0"/>
        </c:dLbls>
        <c:gapWidth val="0"/>
        <c:overlap val="100"/>
        <c:axId val="258021248"/>
        <c:axId val="344105344"/>
      </c:barChart>
      <c:lineChart>
        <c:grouping val="standard"/>
        <c:varyColors val="0"/>
        <c:ser>
          <c:idx val="3"/>
          <c:order val="3"/>
          <c:tx>
            <c:strRef>
              <c:f>Tabelle1!$H$18</c:f>
              <c:strCache>
                <c:ptCount val="1"/>
                <c:pt idx="0">
                  <c:v>Entry (Nominiert)</c:v>
                </c:pt>
              </c:strCache>
            </c:strRef>
          </c:tx>
          <c:spPr>
            <a:ln>
              <a:solidFill>
                <a:srgbClr val="FF0000"/>
              </a:solidFill>
            </a:ln>
          </c:spPr>
          <c:marker>
            <c:symbol val="none"/>
          </c:marker>
          <c:cat>
            <c:numRef>
              <c:f>Tabelle1!$D$19:$D$42</c:f>
              <c:numCache>
                <c:formatCode>hh:mm</c:formatCode>
                <c:ptCount val="24"/>
                <c:pt idx="0">
                  <c:v>0.25</c:v>
                </c:pt>
                <c:pt idx="1">
                  <c:v>0.29166666666667451</c:v>
                </c:pt>
                <c:pt idx="2">
                  <c:v>0.33333333333333298</c:v>
                </c:pt>
                <c:pt idx="3">
                  <c:v>0.37500000000000488</c:v>
                </c:pt>
                <c:pt idx="4">
                  <c:v>0.41666666666667485</c:v>
                </c:pt>
                <c:pt idx="5">
                  <c:v>0.45833333333333293</c:v>
                </c:pt>
                <c:pt idx="6">
                  <c:v>0.5</c:v>
                </c:pt>
                <c:pt idx="7">
                  <c:v>0.54166666666666696</c:v>
                </c:pt>
                <c:pt idx="8">
                  <c:v>0.58333333333333259</c:v>
                </c:pt>
                <c:pt idx="9">
                  <c:v>0.62500000000001277</c:v>
                </c:pt>
                <c:pt idx="10">
                  <c:v>0.66666666666666763</c:v>
                </c:pt>
                <c:pt idx="11">
                  <c:v>0.70833333333333404</c:v>
                </c:pt>
                <c:pt idx="12">
                  <c:v>0.75000000000001277</c:v>
                </c:pt>
                <c:pt idx="13">
                  <c:v>0.79166666666666696</c:v>
                </c:pt>
                <c:pt idx="14">
                  <c:v>0.83333333333333404</c:v>
                </c:pt>
                <c:pt idx="15">
                  <c:v>0.87500000000001277</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Tabelle1!$H$19:$H$42</c:f>
              <c:numCache>
                <c:formatCode>General</c:formatCode>
                <c:ptCount val="24"/>
                <c:pt idx="0">
                  <c:v>140</c:v>
                </c:pt>
                <c:pt idx="1">
                  <c:v>160</c:v>
                </c:pt>
                <c:pt idx="2">
                  <c:v>165</c:v>
                </c:pt>
                <c:pt idx="3">
                  <c:v>165</c:v>
                </c:pt>
                <c:pt idx="4">
                  <c:v>170</c:v>
                </c:pt>
                <c:pt idx="5">
                  <c:v>170</c:v>
                </c:pt>
                <c:pt idx="6">
                  <c:v>170</c:v>
                </c:pt>
                <c:pt idx="7">
                  <c:v>170</c:v>
                </c:pt>
                <c:pt idx="8">
                  <c:v>175</c:v>
                </c:pt>
                <c:pt idx="9">
                  <c:v>190</c:v>
                </c:pt>
                <c:pt idx="10">
                  <c:v>190</c:v>
                </c:pt>
                <c:pt idx="11">
                  <c:v>190</c:v>
                </c:pt>
                <c:pt idx="12">
                  <c:v>155</c:v>
                </c:pt>
                <c:pt idx="13">
                  <c:v>150</c:v>
                </c:pt>
                <c:pt idx="14">
                  <c:v>145</c:v>
                </c:pt>
                <c:pt idx="15">
                  <c:v>145</c:v>
                </c:pt>
                <c:pt idx="16">
                  <c:v>145</c:v>
                </c:pt>
                <c:pt idx="17">
                  <c:v>140</c:v>
                </c:pt>
                <c:pt idx="18">
                  <c:v>140</c:v>
                </c:pt>
                <c:pt idx="19">
                  <c:v>140</c:v>
                </c:pt>
                <c:pt idx="20">
                  <c:v>140</c:v>
                </c:pt>
                <c:pt idx="21">
                  <c:v>140</c:v>
                </c:pt>
                <c:pt idx="22">
                  <c:v>135</c:v>
                </c:pt>
                <c:pt idx="23">
                  <c:v>135</c:v>
                </c:pt>
              </c:numCache>
            </c:numRef>
          </c:val>
          <c:smooth val="0"/>
          <c:extLst>
            <c:ext xmlns:c16="http://schemas.microsoft.com/office/drawing/2014/chart" uri="{C3380CC4-5D6E-409C-BE32-E72D297353CC}">
              <c16:uniqueId val="{00000003-A7C3-4A2C-8F57-DBE0EC359E94}"/>
            </c:ext>
          </c:extLst>
        </c:ser>
        <c:dLbls>
          <c:showLegendKey val="0"/>
          <c:showVal val="0"/>
          <c:showCatName val="0"/>
          <c:showSerName val="0"/>
          <c:showPercent val="0"/>
          <c:showBubbleSize val="0"/>
        </c:dLbls>
        <c:marker val="1"/>
        <c:smooth val="0"/>
        <c:axId val="349289856"/>
        <c:axId val="344107648"/>
      </c:lineChart>
      <c:catAx>
        <c:axId val="258021248"/>
        <c:scaling>
          <c:orientation val="minMax"/>
        </c:scaling>
        <c:delete val="0"/>
        <c:axPos val="b"/>
        <c:numFmt formatCode="hh:mm" sourceLinked="1"/>
        <c:majorTickMark val="out"/>
        <c:minorTickMark val="none"/>
        <c:tickLblPos val="nextTo"/>
        <c:crossAx val="344105344"/>
        <c:crosses val="autoZero"/>
        <c:auto val="1"/>
        <c:lblAlgn val="ctr"/>
        <c:lblOffset val="100"/>
        <c:tickLblSkip val="2"/>
        <c:noMultiLvlLbl val="0"/>
      </c:catAx>
      <c:valAx>
        <c:axId val="344105344"/>
        <c:scaling>
          <c:orientation val="minMax"/>
        </c:scaling>
        <c:delete val="0"/>
        <c:axPos val="l"/>
        <c:majorGridlines/>
        <c:title>
          <c:tx>
            <c:rich>
              <a:bodyPr rot="-5400000" vert="horz"/>
              <a:lstStyle/>
              <a:p>
                <a:pPr>
                  <a:defRPr sz="1100"/>
                </a:pPr>
                <a:r>
                  <a:rPr lang="en-US" sz="1100"/>
                  <a:t>Stundenmengen</a:t>
                </a:r>
              </a:p>
            </c:rich>
          </c:tx>
          <c:overlay val="0"/>
        </c:title>
        <c:numFmt formatCode="General" sourceLinked="1"/>
        <c:majorTickMark val="out"/>
        <c:minorTickMark val="none"/>
        <c:tickLblPos val="nextTo"/>
        <c:crossAx val="258021248"/>
        <c:crosses val="autoZero"/>
        <c:crossBetween val="between"/>
      </c:valAx>
      <c:valAx>
        <c:axId val="344107648"/>
        <c:scaling>
          <c:orientation val="minMax"/>
        </c:scaling>
        <c:delete val="0"/>
        <c:axPos val="r"/>
        <c:numFmt formatCode="General" sourceLinked="1"/>
        <c:majorTickMark val="out"/>
        <c:minorTickMark val="none"/>
        <c:tickLblPos val="nextTo"/>
        <c:crossAx val="349289856"/>
        <c:crosses val="max"/>
        <c:crossBetween val="between"/>
      </c:valAx>
      <c:catAx>
        <c:axId val="349289856"/>
        <c:scaling>
          <c:orientation val="minMax"/>
        </c:scaling>
        <c:delete val="1"/>
        <c:axPos val="b"/>
        <c:numFmt formatCode="hh:mm" sourceLinked="1"/>
        <c:majorTickMark val="out"/>
        <c:minorTickMark val="none"/>
        <c:tickLblPos val="none"/>
        <c:crossAx val="34410764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Tabelle1!$E$47</c:f>
              <c:strCache>
                <c:ptCount val="1"/>
                <c:pt idx="0">
                  <c:v>Stündliche Differenz</c:v>
                </c:pt>
              </c:strCache>
            </c:strRef>
          </c:tx>
          <c:spPr>
            <a:solidFill>
              <a:schemeClr val="accent6">
                <a:lumMod val="40000"/>
                <a:lumOff val="60000"/>
              </a:schemeClr>
            </a:solidFill>
            <a:ln>
              <a:solidFill>
                <a:schemeClr val="tx1"/>
              </a:solidFill>
            </a:ln>
          </c:spPr>
          <c:invertIfNegative val="0"/>
          <c:cat>
            <c:numRef>
              <c:f>Tabelle1!$D$48:$D$71</c:f>
              <c:numCache>
                <c:formatCode>hh:mm</c:formatCode>
                <c:ptCount val="24"/>
                <c:pt idx="0">
                  <c:v>0.25</c:v>
                </c:pt>
                <c:pt idx="1">
                  <c:v>0.29166666666667446</c:v>
                </c:pt>
                <c:pt idx="2">
                  <c:v>0.33333333333333298</c:v>
                </c:pt>
                <c:pt idx="3">
                  <c:v>0.37500000000000488</c:v>
                </c:pt>
                <c:pt idx="4">
                  <c:v>0.41666666666667473</c:v>
                </c:pt>
                <c:pt idx="5">
                  <c:v>0.45833333333333293</c:v>
                </c:pt>
                <c:pt idx="6">
                  <c:v>0.5</c:v>
                </c:pt>
                <c:pt idx="7">
                  <c:v>0.54166666666666696</c:v>
                </c:pt>
                <c:pt idx="8">
                  <c:v>0.58333333333333259</c:v>
                </c:pt>
                <c:pt idx="9">
                  <c:v>0.62500000000001266</c:v>
                </c:pt>
                <c:pt idx="10">
                  <c:v>0.66666666666666763</c:v>
                </c:pt>
                <c:pt idx="11">
                  <c:v>0.70833333333333404</c:v>
                </c:pt>
                <c:pt idx="12">
                  <c:v>0.75000000000001266</c:v>
                </c:pt>
                <c:pt idx="13">
                  <c:v>0.79166666666666696</c:v>
                </c:pt>
                <c:pt idx="14">
                  <c:v>0.83333333333333404</c:v>
                </c:pt>
                <c:pt idx="15">
                  <c:v>0.87500000000001266</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Tabelle1!$E$48:$E$71</c:f>
              <c:numCache>
                <c:formatCode>General</c:formatCode>
                <c:ptCount val="24"/>
                <c:pt idx="0">
                  <c:v>0</c:v>
                </c:pt>
                <c:pt idx="1">
                  <c:v>-5</c:v>
                </c:pt>
                <c:pt idx="2">
                  <c:v>0</c:v>
                </c:pt>
                <c:pt idx="3">
                  <c:v>-5</c:v>
                </c:pt>
                <c:pt idx="4">
                  <c:v>-5</c:v>
                </c:pt>
                <c:pt idx="5">
                  <c:v>5</c:v>
                </c:pt>
                <c:pt idx="6">
                  <c:v>5</c:v>
                </c:pt>
                <c:pt idx="7">
                  <c:v>-5</c:v>
                </c:pt>
                <c:pt idx="8">
                  <c:v>-5</c:v>
                </c:pt>
                <c:pt idx="9">
                  <c:v>5</c:v>
                </c:pt>
                <c:pt idx="10">
                  <c:v>5</c:v>
                </c:pt>
                <c:pt idx="11">
                  <c:v>10</c:v>
                </c:pt>
                <c:pt idx="12">
                  <c:v>-5</c:v>
                </c:pt>
                <c:pt idx="13">
                  <c:v>-10</c:v>
                </c:pt>
                <c:pt idx="14">
                  <c:v>5</c:v>
                </c:pt>
                <c:pt idx="15">
                  <c:v>5</c:v>
                </c:pt>
                <c:pt idx="16">
                  <c:v>5</c:v>
                </c:pt>
                <c:pt idx="17">
                  <c:v>0</c:v>
                </c:pt>
                <c:pt idx="18">
                  <c:v>0</c:v>
                </c:pt>
                <c:pt idx="19">
                  <c:v>0</c:v>
                </c:pt>
                <c:pt idx="20">
                  <c:v>0</c:v>
                </c:pt>
                <c:pt idx="21">
                  <c:v>0</c:v>
                </c:pt>
                <c:pt idx="22">
                  <c:v>-5</c:v>
                </c:pt>
                <c:pt idx="23">
                  <c:v>-5</c:v>
                </c:pt>
              </c:numCache>
            </c:numRef>
          </c:val>
          <c:extLst>
            <c:ext xmlns:c16="http://schemas.microsoft.com/office/drawing/2014/chart" uri="{C3380CC4-5D6E-409C-BE32-E72D297353CC}">
              <c16:uniqueId val="{00000000-D861-4471-BB81-5FA9BAE017F8}"/>
            </c:ext>
          </c:extLst>
        </c:ser>
        <c:dLbls>
          <c:showLegendKey val="0"/>
          <c:showVal val="0"/>
          <c:showCatName val="0"/>
          <c:showSerName val="0"/>
          <c:showPercent val="0"/>
          <c:showBubbleSize val="0"/>
        </c:dLbls>
        <c:gapWidth val="0"/>
        <c:overlap val="100"/>
        <c:axId val="252230656"/>
        <c:axId val="254903040"/>
      </c:barChart>
      <c:lineChart>
        <c:grouping val="standard"/>
        <c:varyColors val="0"/>
        <c:ser>
          <c:idx val="1"/>
          <c:order val="1"/>
          <c:tx>
            <c:strRef>
              <c:f>Tabelle1!$F$47</c:f>
              <c:strCache>
                <c:ptCount val="1"/>
                <c:pt idx="0">
                  <c:v>BK Saldo (kumuliert)</c:v>
                </c:pt>
              </c:strCache>
            </c:strRef>
          </c:tx>
          <c:spPr>
            <a:ln>
              <a:solidFill>
                <a:schemeClr val="accent1"/>
              </a:solidFill>
            </a:ln>
          </c:spPr>
          <c:marker>
            <c:symbol val="none"/>
          </c:marker>
          <c:cat>
            <c:numRef>
              <c:f>Tabelle1!$D$48:$D$71</c:f>
              <c:numCache>
                <c:formatCode>hh:mm</c:formatCode>
                <c:ptCount val="24"/>
                <c:pt idx="0">
                  <c:v>0.25</c:v>
                </c:pt>
                <c:pt idx="1">
                  <c:v>0.29166666666667446</c:v>
                </c:pt>
                <c:pt idx="2">
                  <c:v>0.33333333333333298</c:v>
                </c:pt>
                <c:pt idx="3">
                  <c:v>0.37500000000000488</c:v>
                </c:pt>
                <c:pt idx="4">
                  <c:v>0.41666666666667473</c:v>
                </c:pt>
                <c:pt idx="5">
                  <c:v>0.45833333333333293</c:v>
                </c:pt>
                <c:pt idx="6">
                  <c:v>0.5</c:v>
                </c:pt>
                <c:pt idx="7">
                  <c:v>0.54166666666666696</c:v>
                </c:pt>
                <c:pt idx="8">
                  <c:v>0.58333333333333259</c:v>
                </c:pt>
                <c:pt idx="9">
                  <c:v>0.62500000000001266</c:v>
                </c:pt>
                <c:pt idx="10">
                  <c:v>0.66666666666666763</c:v>
                </c:pt>
                <c:pt idx="11">
                  <c:v>0.70833333333333404</c:v>
                </c:pt>
                <c:pt idx="12">
                  <c:v>0.75000000000001266</c:v>
                </c:pt>
                <c:pt idx="13">
                  <c:v>0.79166666666666696</c:v>
                </c:pt>
                <c:pt idx="14">
                  <c:v>0.83333333333333404</c:v>
                </c:pt>
                <c:pt idx="15">
                  <c:v>0.87500000000001266</c:v>
                </c:pt>
                <c:pt idx="16">
                  <c:v>0.91666666666666696</c:v>
                </c:pt>
                <c:pt idx="17">
                  <c:v>0.95833333333333404</c:v>
                </c:pt>
                <c:pt idx="18">
                  <c:v>1</c:v>
                </c:pt>
                <c:pt idx="19">
                  <c:v>1.0416666666666698</c:v>
                </c:pt>
                <c:pt idx="20">
                  <c:v>1.0833333333333299</c:v>
                </c:pt>
                <c:pt idx="21">
                  <c:v>1.125</c:v>
                </c:pt>
                <c:pt idx="22">
                  <c:v>1.1666666666666701</c:v>
                </c:pt>
                <c:pt idx="23">
                  <c:v>1.2083333333333299</c:v>
                </c:pt>
              </c:numCache>
            </c:numRef>
          </c:cat>
          <c:val>
            <c:numRef>
              <c:f>Tabelle1!$F$48:$F$71</c:f>
              <c:numCache>
                <c:formatCode>General</c:formatCode>
                <c:ptCount val="24"/>
                <c:pt idx="0">
                  <c:v>0</c:v>
                </c:pt>
                <c:pt idx="1">
                  <c:v>-5</c:v>
                </c:pt>
                <c:pt idx="2">
                  <c:v>-5</c:v>
                </c:pt>
                <c:pt idx="3">
                  <c:v>-10</c:v>
                </c:pt>
                <c:pt idx="4">
                  <c:v>-15</c:v>
                </c:pt>
                <c:pt idx="5">
                  <c:v>-10</c:v>
                </c:pt>
                <c:pt idx="6">
                  <c:v>-5</c:v>
                </c:pt>
                <c:pt idx="7">
                  <c:v>-10</c:v>
                </c:pt>
                <c:pt idx="8">
                  <c:v>-15</c:v>
                </c:pt>
                <c:pt idx="9">
                  <c:v>-10</c:v>
                </c:pt>
                <c:pt idx="10">
                  <c:v>-5</c:v>
                </c:pt>
                <c:pt idx="11">
                  <c:v>5</c:v>
                </c:pt>
                <c:pt idx="12">
                  <c:v>0</c:v>
                </c:pt>
                <c:pt idx="13">
                  <c:v>-10</c:v>
                </c:pt>
                <c:pt idx="14">
                  <c:v>-5</c:v>
                </c:pt>
                <c:pt idx="15">
                  <c:v>0</c:v>
                </c:pt>
                <c:pt idx="16">
                  <c:v>5</c:v>
                </c:pt>
                <c:pt idx="17">
                  <c:v>5</c:v>
                </c:pt>
                <c:pt idx="18">
                  <c:v>5</c:v>
                </c:pt>
                <c:pt idx="19">
                  <c:v>5</c:v>
                </c:pt>
                <c:pt idx="20">
                  <c:v>5</c:v>
                </c:pt>
                <c:pt idx="21">
                  <c:v>5</c:v>
                </c:pt>
                <c:pt idx="22">
                  <c:v>0</c:v>
                </c:pt>
                <c:pt idx="23">
                  <c:v>-5</c:v>
                </c:pt>
              </c:numCache>
            </c:numRef>
          </c:val>
          <c:smooth val="0"/>
          <c:extLst>
            <c:ext xmlns:c16="http://schemas.microsoft.com/office/drawing/2014/chart" uri="{C3380CC4-5D6E-409C-BE32-E72D297353CC}">
              <c16:uniqueId val="{00000001-D861-4471-BB81-5FA9BAE017F8}"/>
            </c:ext>
          </c:extLst>
        </c:ser>
        <c:dLbls>
          <c:showLegendKey val="0"/>
          <c:showVal val="0"/>
          <c:showCatName val="0"/>
          <c:showSerName val="0"/>
          <c:showPercent val="0"/>
          <c:showBubbleSize val="0"/>
        </c:dLbls>
        <c:marker val="1"/>
        <c:smooth val="0"/>
        <c:axId val="254906752"/>
        <c:axId val="254904960"/>
      </c:lineChart>
      <c:catAx>
        <c:axId val="252230656"/>
        <c:scaling>
          <c:orientation val="minMax"/>
        </c:scaling>
        <c:delete val="0"/>
        <c:axPos val="b"/>
        <c:numFmt formatCode="hh:mm" sourceLinked="1"/>
        <c:majorTickMark val="out"/>
        <c:minorTickMark val="none"/>
        <c:tickLblPos val="low"/>
        <c:crossAx val="254903040"/>
        <c:crosses val="autoZero"/>
        <c:auto val="1"/>
        <c:lblAlgn val="ctr"/>
        <c:lblOffset val="100"/>
        <c:tickLblSkip val="2"/>
        <c:noMultiLvlLbl val="0"/>
      </c:catAx>
      <c:valAx>
        <c:axId val="254903040"/>
        <c:scaling>
          <c:orientation val="minMax"/>
        </c:scaling>
        <c:delete val="0"/>
        <c:axPos val="l"/>
        <c:majorGridlines/>
        <c:title>
          <c:tx>
            <c:rich>
              <a:bodyPr rot="-5400000" vert="horz"/>
              <a:lstStyle/>
              <a:p>
                <a:pPr>
                  <a:defRPr sz="1100"/>
                </a:pPr>
                <a:r>
                  <a:rPr lang="en-US" sz="1100"/>
                  <a:t>Differenzmengen</a:t>
                </a:r>
              </a:p>
            </c:rich>
          </c:tx>
          <c:overlay val="0"/>
        </c:title>
        <c:numFmt formatCode="General" sourceLinked="1"/>
        <c:majorTickMark val="out"/>
        <c:minorTickMark val="none"/>
        <c:tickLblPos val="nextTo"/>
        <c:crossAx val="252230656"/>
        <c:crosses val="autoZero"/>
        <c:crossBetween val="between"/>
      </c:valAx>
      <c:valAx>
        <c:axId val="254904960"/>
        <c:scaling>
          <c:orientation val="minMax"/>
          <c:max val="20"/>
        </c:scaling>
        <c:delete val="0"/>
        <c:axPos val="r"/>
        <c:numFmt formatCode="General" sourceLinked="1"/>
        <c:majorTickMark val="out"/>
        <c:minorTickMark val="none"/>
        <c:tickLblPos val="nextTo"/>
        <c:crossAx val="254906752"/>
        <c:crosses val="max"/>
        <c:crossBetween val="between"/>
      </c:valAx>
      <c:catAx>
        <c:axId val="254906752"/>
        <c:scaling>
          <c:orientation val="minMax"/>
        </c:scaling>
        <c:delete val="1"/>
        <c:axPos val="b"/>
        <c:numFmt formatCode="hh:mm" sourceLinked="1"/>
        <c:majorTickMark val="out"/>
        <c:minorTickMark val="none"/>
        <c:tickLblPos val="none"/>
        <c:crossAx val="25490496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p:properties xmlns:p="http://schemas.microsoft.com/office/2006/metadata/properties" xmlns:xsi="http://www.w3.org/2001/XMLSchema-instance" xmlns:pc="http://schemas.microsoft.com/office/infopath/2007/PartnerControls">
  <documentManagement/>
</p:properties>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ct:contentTypeSchema xmlns:ct="http://schemas.microsoft.com/office/2006/metadata/contentType" xmlns:ma="http://schemas.microsoft.com/office/2006/metadata/properties/metaAttributes" ct:_="" ma:_="" ma:contentTypeName="Dokument" ma:contentTypeID="0x0101003A0141F4D9ED2748AB635E4DA1267164" ma:contentTypeVersion="2" ma:contentTypeDescription="Ein neues Dokument erstellen." ma:contentTypeScope="" ma:versionID="bc8ddb7ba5a1a745301729cdcaa0fe0d">
  <xsd:schema xmlns:xsd="http://www.w3.org/2001/XMLSchema" xmlns:xs="http://www.w3.org/2001/XMLSchema" xmlns:p="http://schemas.microsoft.com/office/2006/metadata/properties" xmlns:ns2="393f2f21-2e54-496b-865d-85ab36d196c4" targetNamespace="http://schemas.microsoft.com/office/2006/metadata/properties" ma:root="true" ma:fieldsID="9f66109edbed2a97c4ea06095754c321" ns2:_="">
    <xsd:import namespace="393f2f21-2e54-496b-865d-85ab36d196c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f2f21-2e54-496b-865d-85ab36d19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mso-contentType ?>
<FormTemplates xmlns="http://schemas.microsoft.com/sharepoint/v3/contenttype/forms">
  <Display>DocumentLibraryForm</Display>
  <Edit>DocumentLibraryForm</Edit>
  <New>DocumentLibraryForm</New>
</FormTemplates>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B42B9-AE31-4C66-A23F-E6D0FD018B27}">
  <ds:schemaRefs>
    <ds:schemaRef ds:uri="http://schemas.openxmlformats.org/officeDocument/2006/bibliography"/>
  </ds:schemaRefs>
</ds:datastoreItem>
</file>

<file path=customXml/itemProps10.xml><?xml version="1.0" encoding="utf-8"?>
<ds:datastoreItem xmlns:ds="http://schemas.openxmlformats.org/officeDocument/2006/customXml" ds:itemID="{5C3E25EC-CBFA-4433-8F0F-EF83227F2F19}">
  <ds:schemaRefs>
    <ds:schemaRef ds:uri="http://schemas.openxmlformats.org/officeDocument/2006/bibliography"/>
  </ds:schemaRefs>
</ds:datastoreItem>
</file>

<file path=customXml/itemProps100.xml><?xml version="1.0" encoding="utf-8"?>
<ds:datastoreItem xmlns:ds="http://schemas.openxmlformats.org/officeDocument/2006/customXml" ds:itemID="{61250327-20FE-4214-B3F7-5FE52653F5A8}">
  <ds:schemaRefs>
    <ds:schemaRef ds:uri="http://schemas.openxmlformats.org/officeDocument/2006/bibliography"/>
  </ds:schemaRefs>
</ds:datastoreItem>
</file>

<file path=customXml/itemProps101.xml><?xml version="1.0" encoding="utf-8"?>
<ds:datastoreItem xmlns:ds="http://schemas.openxmlformats.org/officeDocument/2006/customXml" ds:itemID="{8EA18870-4082-456B-83B6-768984E68585}">
  <ds:schemaRefs>
    <ds:schemaRef ds:uri="http://schemas.openxmlformats.org/officeDocument/2006/bibliography"/>
  </ds:schemaRefs>
</ds:datastoreItem>
</file>

<file path=customXml/itemProps102.xml><?xml version="1.0" encoding="utf-8"?>
<ds:datastoreItem xmlns:ds="http://schemas.openxmlformats.org/officeDocument/2006/customXml" ds:itemID="{9DFE2684-AF4E-4CBE-BF6D-93373329BC4B}">
  <ds:schemaRefs>
    <ds:schemaRef ds:uri="http://schemas.openxmlformats.org/officeDocument/2006/bibliography"/>
  </ds:schemaRefs>
</ds:datastoreItem>
</file>

<file path=customXml/itemProps103.xml><?xml version="1.0" encoding="utf-8"?>
<ds:datastoreItem xmlns:ds="http://schemas.openxmlformats.org/officeDocument/2006/customXml" ds:itemID="{E5E2F0AC-D601-47B2-A8F8-A752A385F0A1}">
  <ds:schemaRefs>
    <ds:schemaRef ds:uri="http://schemas.openxmlformats.org/officeDocument/2006/bibliography"/>
  </ds:schemaRefs>
</ds:datastoreItem>
</file>

<file path=customXml/itemProps104.xml><?xml version="1.0" encoding="utf-8"?>
<ds:datastoreItem xmlns:ds="http://schemas.openxmlformats.org/officeDocument/2006/customXml" ds:itemID="{29CB8292-D343-4154-A87E-54C49FD2DBF0}">
  <ds:schemaRefs>
    <ds:schemaRef ds:uri="http://schemas.openxmlformats.org/officeDocument/2006/bibliography"/>
  </ds:schemaRefs>
</ds:datastoreItem>
</file>

<file path=customXml/itemProps105.xml><?xml version="1.0" encoding="utf-8"?>
<ds:datastoreItem xmlns:ds="http://schemas.openxmlformats.org/officeDocument/2006/customXml" ds:itemID="{9F816F50-787C-4B6C-9ECC-299946C00220}">
  <ds:schemaRefs>
    <ds:schemaRef ds:uri="http://schemas.openxmlformats.org/officeDocument/2006/bibliography"/>
  </ds:schemaRefs>
</ds:datastoreItem>
</file>

<file path=customXml/itemProps106.xml><?xml version="1.0" encoding="utf-8"?>
<ds:datastoreItem xmlns:ds="http://schemas.openxmlformats.org/officeDocument/2006/customXml" ds:itemID="{73C2C1B2-5765-4547-A43A-E1EF835F359B}">
  <ds:schemaRefs>
    <ds:schemaRef ds:uri="http://schemas.openxmlformats.org/officeDocument/2006/bibliography"/>
  </ds:schemaRefs>
</ds:datastoreItem>
</file>

<file path=customXml/itemProps107.xml><?xml version="1.0" encoding="utf-8"?>
<ds:datastoreItem xmlns:ds="http://schemas.openxmlformats.org/officeDocument/2006/customXml" ds:itemID="{3F5F7E37-E796-42E6-9EB0-8E0E3757EEC7}">
  <ds:schemaRefs>
    <ds:schemaRef ds:uri="http://schemas.openxmlformats.org/officeDocument/2006/bibliography"/>
  </ds:schemaRefs>
</ds:datastoreItem>
</file>

<file path=customXml/itemProps108.xml><?xml version="1.0" encoding="utf-8"?>
<ds:datastoreItem xmlns:ds="http://schemas.openxmlformats.org/officeDocument/2006/customXml" ds:itemID="{D19B0755-1685-451F-B08A-119B5EFE7BB2}">
  <ds:schemaRefs>
    <ds:schemaRef ds:uri="http://schemas.openxmlformats.org/officeDocument/2006/bibliography"/>
  </ds:schemaRefs>
</ds:datastoreItem>
</file>

<file path=customXml/itemProps109.xml><?xml version="1.0" encoding="utf-8"?>
<ds:datastoreItem xmlns:ds="http://schemas.openxmlformats.org/officeDocument/2006/customXml" ds:itemID="{7A947374-BDAD-4C0C-8131-8FBD3BDB2CF3}">
  <ds:schemaRefs>
    <ds:schemaRef ds:uri="http://schemas.openxmlformats.org/officeDocument/2006/bibliography"/>
  </ds:schemaRefs>
</ds:datastoreItem>
</file>

<file path=customXml/itemProps11.xml><?xml version="1.0" encoding="utf-8"?>
<ds:datastoreItem xmlns:ds="http://schemas.openxmlformats.org/officeDocument/2006/customXml" ds:itemID="{2AE8AADE-1772-4372-B511-620892DFC854}">
  <ds:schemaRefs>
    <ds:schemaRef ds:uri="http://schemas.openxmlformats.org/officeDocument/2006/bibliography"/>
  </ds:schemaRefs>
</ds:datastoreItem>
</file>

<file path=customXml/itemProps110.xml><?xml version="1.0" encoding="utf-8"?>
<ds:datastoreItem xmlns:ds="http://schemas.openxmlformats.org/officeDocument/2006/customXml" ds:itemID="{D21B8EAA-1B37-4814-9920-543BB1216443}">
  <ds:schemaRefs>
    <ds:schemaRef ds:uri="http://schemas.openxmlformats.org/officeDocument/2006/bibliography"/>
  </ds:schemaRefs>
</ds:datastoreItem>
</file>

<file path=customXml/itemProps111.xml><?xml version="1.0" encoding="utf-8"?>
<ds:datastoreItem xmlns:ds="http://schemas.openxmlformats.org/officeDocument/2006/customXml" ds:itemID="{D84E784F-7E04-4D26-8C1D-32150AE11A61}">
  <ds:schemaRefs>
    <ds:schemaRef ds:uri="http://schemas.openxmlformats.org/officeDocument/2006/bibliography"/>
  </ds:schemaRefs>
</ds:datastoreItem>
</file>

<file path=customXml/itemProps112.xml><?xml version="1.0" encoding="utf-8"?>
<ds:datastoreItem xmlns:ds="http://schemas.openxmlformats.org/officeDocument/2006/customXml" ds:itemID="{ADE68610-2DA6-402F-AE11-0E69B8D523B7}">
  <ds:schemaRefs>
    <ds:schemaRef ds:uri="http://schemas.openxmlformats.org/officeDocument/2006/bibliography"/>
  </ds:schemaRefs>
</ds:datastoreItem>
</file>

<file path=customXml/itemProps113.xml><?xml version="1.0" encoding="utf-8"?>
<ds:datastoreItem xmlns:ds="http://schemas.openxmlformats.org/officeDocument/2006/customXml" ds:itemID="{2142EB6E-B15F-4EDA-A246-799D83621756}">
  <ds:schemaRefs>
    <ds:schemaRef ds:uri="http://schemas.openxmlformats.org/officeDocument/2006/bibliography"/>
  </ds:schemaRefs>
</ds:datastoreItem>
</file>

<file path=customXml/itemProps114.xml><?xml version="1.0" encoding="utf-8"?>
<ds:datastoreItem xmlns:ds="http://schemas.openxmlformats.org/officeDocument/2006/customXml" ds:itemID="{90016AA5-0C50-4510-AF16-F6EE62340372}">
  <ds:schemaRefs>
    <ds:schemaRef ds:uri="http://schemas.openxmlformats.org/officeDocument/2006/bibliography"/>
  </ds:schemaRefs>
</ds:datastoreItem>
</file>

<file path=customXml/itemProps115.xml><?xml version="1.0" encoding="utf-8"?>
<ds:datastoreItem xmlns:ds="http://schemas.openxmlformats.org/officeDocument/2006/customXml" ds:itemID="{1D4714E2-F02F-4E78-817B-BF4506BDA9F3}">
  <ds:schemaRefs>
    <ds:schemaRef ds:uri="http://schemas.openxmlformats.org/officeDocument/2006/bibliography"/>
  </ds:schemaRefs>
</ds:datastoreItem>
</file>

<file path=customXml/itemProps116.xml><?xml version="1.0" encoding="utf-8"?>
<ds:datastoreItem xmlns:ds="http://schemas.openxmlformats.org/officeDocument/2006/customXml" ds:itemID="{39705F00-461C-4D16-9698-EB31F3C4B2C1}">
  <ds:schemaRefs>
    <ds:schemaRef ds:uri="http://schemas.openxmlformats.org/officeDocument/2006/bibliography"/>
  </ds:schemaRefs>
</ds:datastoreItem>
</file>

<file path=customXml/itemProps117.xml><?xml version="1.0" encoding="utf-8"?>
<ds:datastoreItem xmlns:ds="http://schemas.openxmlformats.org/officeDocument/2006/customXml" ds:itemID="{5FF8E283-5164-4507-B675-32C35C0E4140}">
  <ds:schemaRefs>
    <ds:schemaRef ds:uri="http://schemas.openxmlformats.org/officeDocument/2006/bibliography"/>
  </ds:schemaRefs>
</ds:datastoreItem>
</file>

<file path=customXml/itemProps118.xml><?xml version="1.0" encoding="utf-8"?>
<ds:datastoreItem xmlns:ds="http://schemas.openxmlformats.org/officeDocument/2006/customXml" ds:itemID="{0131FB5D-B641-49DA-86C9-5CB4CA17C99D}">
  <ds:schemaRefs>
    <ds:schemaRef ds:uri="http://schemas.openxmlformats.org/officeDocument/2006/bibliography"/>
  </ds:schemaRefs>
</ds:datastoreItem>
</file>

<file path=customXml/itemProps119.xml><?xml version="1.0" encoding="utf-8"?>
<ds:datastoreItem xmlns:ds="http://schemas.openxmlformats.org/officeDocument/2006/customXml" ds:itemID="{3E227FBD-80D0-4794-8E66-742DE1B4789B}">
  <ds:schemaRefs>
    <ds:schemaRef ds:uri="http://schemas.openxmlformats.org/officeDocument/2006/bibliography"/>
  </ds:schemaRefs>
</ds:datastoreItem>
</file>

<file path=customXml/itemProps12.xml><?xml version="1.0" encoding="utf-8"?>
<ds:datastoreItem xmlns:ds="http://schemas.openxmlformats.org/officeDocument/2006/customXml" ds:itemID="{0B7B64F9-6FBD-4BF5-AFA0-9C811C311518}">
  <ds:schemaRefs>
    <ds:schemaRef ds:uri="http://schemas.openxmlformats.org/officeDocument/2006/bibliography"/>
  </ds:schemaRefs>
</ds:datastoreItem>
</file>

<file path=customXml/itemProps120.xml><?xml version="1.0" encoding="utf-8"?>
<ds:datastoreItem xmlns:ds="http://schemas.openxmlformats.org/officeDocument/2006/customXml" ds:itemID="{530F405A-7B51-467B-9A96-332D7FC68CE6}">
  <ds:schemaRefs>
    <ds:schemaRef ds:uri="http://schemas.openxmlformats.org/officeDocument/2006/bibliography"/>
  </ds:schemaRefs>
</ds:datastoreItem>
</file>

<file path=customXml/itemProps121.xml><?xml version="1.0" encoding="utf-8"?>
<ds:datastoreItem xmlns:ds="http://schemas.openxmlformats.org/officeDocument/2006/customXml" ds:itemID="{E9FDEFBD-70B2-4FB9-8C66-79B5F644D015}">
  <ds:schemaRefs>
    <ds:schemaRef ds:uri="http://schemas.openxmlformats.org/officeDocument/2006/bibliography"/>
  </ds:schemaRefs>
</ds:datastoreItem>
</file>

<file path=customXml/itemProps122.xml><?xml version="1.0" encoding="utf-8"?>
<ds:datastoreItem xmlns:ds="http://schemas.openxmlformats.org/officeDocument/2006/customXml" ds:itemID="{72BB1A6E-7AA4-4502-A0B4-77D6FD45DD4D}">
  <ds:schemaRefs>
    <ds:schemaRef ds:uri="http://schemas.openxmlformats.org/officeDocument/2006/bibliography"/>
  </ds:schemaRefs>
</ds:datastoreItem>
</file>

<file path=customXml/itemProps123.xml><?xml version="1.0" encoding="utf-8"?>
<ds:datastoreItem xmlns:ds="http://schemas.openxmlformats.org/officeDocument/2006/customXml" ds:itemID="{109A1A82-E655-4C19-8947-27E043888ECC}">
  <ds:schemaRefs>
    <ds:schemaRef ds:uri="http://schemas.openxmlformats.org/officeDocument/2006/bibliography"/>
  </ds:schemaRefs>
</ds:datastoreItem>
</file>

<file path=customXml/itemProps124.xml><?xml version="1.0" encoding="utf-8"?>
<ds:datastoreItem xmlns:ds="http://schemas.openxmlformats.org/officeDocument/2006/customXml" ds:itemID="{AB0807BB-3CB2-4605-B826-5154DF109172}">
  <ds:schemaRefs>
    <ds:schemaRef ds:uri="http://schemas.openxmlformats.org/officeDocument/2006/bibliography"/>
  </ds:schemaRefs>
</ds:datastoreItem>
</file>

<file path=customXml/itemProps125.xml><?xml version="1.0" encoding="utf-8"?>
<ds:datastoreItem xmlns:ds="http://schemas.openxmlformats.org/officeDocument/2006/customXml" ds:itemID="{296F898B-CDD2-498E-86EA-6DBF90DE76A3}">
  <ds:schemaRefs>
    <ds:schemaRef ds:uri="http://schemas.openxmlformats.org/officeDocument/2006/bibliography"/>
  </ds:schemaRefs>
</ds:datastoreItem>
</file>

<file path=customXml/itemProps126.xml><?xml version="1.0" encoding="utf-8"?>
<ds:datastoreItem xmlns:ds="http://schemas.openxmlformats.org/officeDocument/2006/customXml" ds:itemID="{F81AF377-66F3-4787-9052-8B47076B3490}">
  <ds:schemaRefs>
    <ds:schemaRef ds:uri="http://schemas.openxmlformats.org/officeDocument/2006/bibliography"/>
  </ds:schemaRefs>
</ds:datastoreItem>
</file>

<file path=customXml/itemProps127.xml><?xml version="1.0" encoding="utf-8"?>
<ds:datastoreItem xmlns:ds="http://schemas.openxmlformats.org/officeDocument/2006/customXml" ds:itemID="{00545857-1DED-41A8-87A3-EFE37D4D175F}">
  <ds:schemaRefs>
    <ds:schemaRef ds:uri="http://schemas.openxmlformats.org/officeDocument/2006/bibliography"/>
  </ds:schemaRefs>
</ds:datastoreItem>
</file>

<file path=customXml/itemProps128.xml><?xml version="1.0" encoding="utf-8"?>
<ds:datastoreItem xmlns:ds="http://schemas.openxmlformats.org/officeDocument/2006/customXml" ds:itemID="{4E00B84E-255D-4F0A-8ABF-CC087B0A1B1F}">
  <ds:schemaRefs>
    <ds:schemaRef ds:uri="http://schemas.openxmlformats.org/officeDocument/2006/bibliography"/>
  </ds:schemaRefs>
</ds:datastoreItem>
</file>

<file path=customXml/itemProps129.xml><?xml version="1.0" encoding="utf-8"?>
<ds:datastoreItem xmlns:ds="http://schemas.openxmlformats.org/officeDocument/2006/customXml" ds:itemID="{A1722971-62F4-4FEC-B027-44E2FDB28AB9}">
  <ds:schemaRefs>
    <ds:schemaRef ds:uri="http://schemas.openxmlformats.org/officeDocument/2006/bibliography"/>
  </ds:schemaRefs>
</ds:datastoreItem>
</file>

<file path=customXml/itemProps13.xml><?xml version="1.0" encoding="utf-8"?>
<ds:datastoreItem xmlns:ds="http://schemas.openxmlformats.org/officeDocument/2006/customXml" ds:itemID="{47E5B7C3-C3E1-4921-93ED-6317DB4BCFCC}">
  <ds:schemaRefs>
    <ds:schemaRef ds:uri="http://schemas.openxmlformats.org/officeDocument/2006/bibliography"/>
  </ds:schemaRefs>
</ds:datastoreItem>
</file>

<file path=customXml/itemProps130.xml><?xml version="1.0" encoding="utf-8"?>
<ds:datastoreItem xmlns:ds="http://schemas.openxmlformats.org/officeDocument/2006/customXml" ds:itemID="{4716BA93-A69B-4E19-ACF3-0B59406A896C}">
  <ds:schemaRefs>
    <ds:schemaRef ds:uri="http://schemas.openxmlformats.org/officeDocument/2006/bibliography"/>
  </ds:schemaRefs>
</ds:datastoreItem>
</file>

<file path=customXml/itemProps131.xml><?xml version="1.0" encoding="utf-8"?>
<ds:datastoreItem xmlns:ds="http://schemas.openxmlformats.org/officeDocument/2006/customXml" ds:itemID="{07CE0EEB-80D8-43FA-AB47-FB7B089142DA}">
  <ds:schemaRefs>
    <ds:schemaRef ds:uri="http://schemas.openxmlformats.org/officeDocument/2006/bibliography"/>
  </ds:schemaRefs>
</ds:datastoreItem>
</file>

<file path=customXml/itemProps132.xml><?xml version="1.0" encoding="utf-8"?>
<ds:datastoreItem xmlns:ds="http://schemas.openxmlformats.org/officeDocument/2006/customXml" ds:itemID="{56A4EFDD-F0D2-42EE-9FB1-5C2F11FC6106}">
  <ds:schemaRefs>
    <ds:schemaRef ds:uri="http://schemas.openxmlformats.org/officeDocument/2006/bibliography"/>
  </ds:schemaRefs>
</ds:datastoreItem>
</file>

<file path=customXml/itemProps133.xml><?xml version="1.0" encoding="utf-8"?>
<ds:datastoreItem xmlns:ds="http://schemas.openxmlformats.org/officeDocument/2006/customXml" ds:itemID="{E057D117-E3F6-4B2F-94AC-35EA7DDBD6A1}">
  <ds:schemaRefs>
    <ds:schemaRef ds:uri="http://schemas.openxmlformats.org/officeDocument/2006/bibliography"/>
  </ds:schemaRefs>
</ds:datastoreItem>
</file>

<file path=customXml/itemProps134.xml><?xml version="1.0" encoding="utf-8"?>
<ds:datastoreItem xmlns:ds="http://schemas.openxmlformats.org/officeDocument/2006/customXml" ds:itemID="{12CCDABF-5A7B-4054-9EDF-B6C44A6AE641}">
  <ds:schemaRefs>
    <ds:schemaRef ds:uri="http://schemas.openxmlformats.org/officeDocument/2006/bibliography"/>
  </ds:schemaRefs>
</ds:datastoreItem>
</file>

<file path=customXml/itemProps135.xml><?xml version="1.0" encoding="utf-8"?>
<ds:datastoreItem xmlns:ds="http://schemas.openxmlformats.org/officeDocument/2006/customXml" ds:itemID="{D9EE74FB-F696-48FE-BA23-370B167C414C}">
  <ds:schemaRefs>
    <ds:schemaRef ds:uri="http://schemas.openxmlformats.org/officeDocument/2006/bibliography"/>
  </ds:schemaRefs>
</ds:datastoreItem>
</file>

<file path=customXml/itemProps136.xml><?xml version="1.0" encoding="utf-8"?>
<ds:datastoreItem xmlns:ds="http://schemas.openxmlformats.org/officeDocument/2006/customXml" ds:itemID="{EFC83AE2-1117-404E-849C-E505701AF956}">
  <ds:schemaRefs>
    <ds:schemaRef ds:uri="http://schemas.openxmlformats.org/officeDocument/2006/bibliography"/>
  </ds:schemaRefs>
</ds:datastoreItem>
</file>

<file path=customXml/itemProps137.xml><?xml version="1.0" encoding="utf-8"?>
<ds:datastoreItem xmlns:ds="http://schemas.openxmlformats.org/officeDocument/2006/customXml" ds:itemID="{162556D5-C889-48A7-91C7-D8AFCC0000F9}">
  <ds:schemaRefs>
    <ds:schemaRef ds:uri="http://schemas.openxmlformats.org/officeDocument/2006/bibliography"/>
  </ds:schemaRefs>
</ds:datastoreItem>
</file>

<file path=customXml/itemProps138.xml><?xml version="1.0" encoding="utf-8"?>
<ds:datastoreItem xmlns:ds="http://schemas.openxmlformats.org/officeDocument/2006/customXml" ds:itemID="{9AF6A103-BAF8-4ED1-882A-CF6EFBB77FCD}">
  <ds:schemaRefs>
    <ds:schemaRef ds:uri="http://schemas.openxmlformats.org/officeDocument/2006/bibliography"/>
  </ds:schemaRefs>
</ds:datastoreItem>
</file>

<file path=customXml/itemProps139.xml><?xml version="1.0" encoding="utf-8"?>
<ds:datastoreItem xmlns:ds="http://schemas.openxmlformats.org/officeDocument/2006/customXml" ds:itemID="{458958D9-B0C9-47AF-950C-9D3FF1E25FD2}">
  <ds:schemaRefs>
    <ds:schemaRef ds:uri="http://schemas.openxmlformats.org/officeDocument/2006/bibliography"/>
  </ds:schemaRefs>
</ds:datastoreItem>
</file>

<file path=customXml/itemProps14.xml><?xml version="1.0" encoding="utf-8"?>
<ds:datastoreItem xmlns:ds="http://schemas.openxmlformats.org/officeDocument/2006/customXml" ds:itemID="{78A9F57B-2D7C-4734-80A1-34BD90C2DA10}">
  <ds:schemaRefs>
    <ds:schemaRef ds:uri="http://schemas.openxmlformats.org/officeDocument/2006/bibliography"/>
  </ds:schemaRefs>
</ds:datastoreItem>
</file>

<file path=customXml/itemProps140.xml><?xml version="1.0" encoding="utf-8"?>
<ds:datastoreItem xmlns:ds="http://schemas.openxmlformats.org/officeDocument/2006/customXml" ds:itemID="{5DBA10EC-3934-46DC-84FC-1B3471A2388D}">
  <ds:schemaRefs>
    <ds:schemaRef ds:uri="http://schemas.openxmlformats.org/officeDocument/2006/bibliography"/>
  </ds:schemaRefs>
</ds:datastoreItem>
</file>

<file path=customXml/itemProps141.xml><?xml version="1.0" encoding="utf-8"?>
<ds:datastoreItem xmlns:ds="http://schemas.openxmlformats.org/officeDocument/2006/customXml" ds:itemID="{2F6E84E9-8116-4E50-BAA9-003AB5937E9A}">
  <ds:schemaRefs>
    <ds:schemaRef ds:uri="http://schemas.openxmlformats.org/officeDocument/2006/bibliography"/>
  </ds:schemaRefs>
</ds:datastoreItem>
</file>

<file path=customXml/itemProps142.xml><?xml version="1.0" encoding="utf-8"?>
<ds:datastoreItem xmlns:ds="http://schemas.openxmlformats.org/officeDocument/2006/customXml" ds:itemID="{35E1BBD5-FB83-4F37-B8FF-E7E7F0DF623C}">
  <ds:schemaRefs>
    <ds:schemaRef ds:uri="http://schemas.openxmlformats.org/officeDocument/2006/bibliography"/>
  </ds:schemaRefs>
</ds:datastoreItem>
</file>

<file path=customXml/itemProps143.xml><?xml version="1.0" encoding="utf-8"?>
<ds:datastoreItem xmlns:ds="http://schemas.openxmlformats.org/officeDocument/2006/customXml" ds:itemID="{0E5A473D-51C1-4860-ADE0-523F6030E621}">
  <ds:schemaRefs>
    <ds:schemaRef ds:uri="http://schemas.openxmlformats.org/officeDocument/2006/bibliography"/>
  </ds:schemaRefs>
</ds:datastoreItem>
</file>

<file path=customXml/itemProps144.xml><?xml version="1.0" encoding="utf-8"?>
<ds:datastoreItem xmlns:ds="http://schemas.openxmlformats.org/officeDocument/2006/customXml" ds:itemID="{6EF9FBE0-B076-4850-886D-0805A42BA1AC}">
  <ds:schemaRefs>
    <ds:schemaRef ds:uri="http://schemas.openxmlformats.org/officeDocument/2006/bibliography"/>
  </ds:schemaRefs>
</ds:datastoreItem>
</file>

<file path=customXml/itemProps145.xml><?xml version="1.0" encoding="utf-8"?>
<ds:datastoreItem xmlns:ds="http://schemas.openxmlformats.org/officeDocument/2006/customXml" ds:itemID="{DEAAE1E9-FD3A-496C-8E2C-875ED9F38137}">
  <ds:schemaRefs>
    <ds:schemaRef ds:uri="http://schemas.openxmlformats.org/officeDocument/2006/bibliography"/>
  </ds:schemaRefs>
</ds:datastoreItem>
</file>

<file path=customXml/itemProps146.xml><?xml version="1.0" encoding="utf-8"?>
<ds:datastoreItem xmlns:ds="http://schemas.openxmlformats.org/officeDocument/2006/customXml" ds:itemID="{FD0B0302-F536-4D9F-8BED-083110895802}">
  <ds:schemaRefs>
    <ds:schemaRef ds:uri="http://schemas.openxmlformats.org/officeDocument/2006/bibliography"/>
  </ds:schemaRefs>
</ds:datastoreItem>
</file>

<file path=customXml/itemProps147.xml><?xml version="1.0" encoding="utf-8"?>
<ds:datastoreItem xmlns:ds="http://schemas.openxmlformats.org/officeDocument/2006/customXml" ds:itemID="{7EC5E761-703D-4C0E-963B-3FE6BC4D7124}">
  <ds:schemaRefs>
    <ds:schemaRef ds:uri="http://schemas.openxmlformats.org/officeDocument/2006/bibliography"/>
  </ds:schemaRefs>
</ds:datastoreItem>
</file>

<file path=customXml/itemProps148.xml><?xml version="1.0" encoding="utf-8"?>
<ds:datastoreItem xmlns:ds="http://schemas.openxmlformats.org/officeDocument/2006/customXml" ds:itemID="{38D0924F-1BAE-41A3-B39B-E2B0E94403CD}">
  <ds:schemaRefs>
    <ds:schemaRef ds:uri="http://schemas.openxmlformats.org/officeDocument/2006/bibliography"/>
  </ds:schemaRefs>
</ds:datastoreItem>
</file>

<file path=customXml/itemProps149.xml><?xml version="1.0" encoding="utf-8"?>
<ds:datastoreItem xmlns:ds="http://schemas.openxmlformats.org/officeDocument/2006/customXml" ds:itemID="{43B6C698-A68C-4239-B2FB-DBA9304AC362}">
  <ds:schemaRefs>
    <ds:schemaRef ds:uri="http://schemas.openxmlformats.org/officeDocument/2006/bibliography"/>
  </ds:schemaRefs>
</ds:datastoreItem>
</file>

<file path=customXml/itemProps15.xml><?xml version="1.0" encoding="utf-8"?>
<ds:datastoreItem xmlns:ds="http://schemas.openxmlformats.org/officeDocument/2006/customXml" ds:itemID="{A4F292A7-EDBE-40D3-909E-07147FBE146A}">
  <ds:schemaRefs>
    <ds:schemaRef ds:uri="http://schemas.openxmlformats.org/officeDocument/2006/bibliography"/>
  </ds:schemaRefs>
</ds:datastoreItem>
</file>

<file path=customXml/itemProps150.xml><?xml version="1.0" encoding="utf-8"?>
<ds:datastoreItem xmlns:ds="http://schemas.openxmlformats.org/officeDocument/2006/customXml" ds:itemID="{D4855CE8-C2AC-4870-995E-D70B32662C15}">
  <ds:schemaRefs>
    <ds:schemaRef ds:uri="http://schemas.openxmlformats.org/officeDocument/2006/bibliography"/>
  </ds:schemaRefs>
</ds:datastoreItem>
</file>

<file path=customXml/itemProps151.xml><?xml version="1.0" encoding="utf-8"?>
<ds:datastoreItem xmlns:ds="http://schemas.openxmlformats.org/officeDocument/2006/customXml" ds:itemID="{B5F4E0E2-1FC3-4416-9B97-F9E8AC36CACE}">
  <ds:schemaRefs>
    <ds:schemaRef ds:uri="http://schemas.openxmlformats.org/officeDocument/2006/bibliography"/>
  </ds:schemaRefs>
</ds:datastoreItem>
</file>

<file path=customXml/itemProps152.xml><?xml version="1.0" encoding="utf-8"?>
<ds:datastoreItem xmlns:ds="http://schemas.openxmlformats.org/officeDocument/2006/customXml" ds:itemID="{AC7E5A2A-617C-41DE-A6E9-790734D67D75}">
  <ds:schemaRefs>
    <ds:schemaRef ds:uri="http://schemas.openxmlformats.org/officeDocument/2006/bibliography"/>
  </ds:schemaRefs>
</ds:datastoreItem>
</file>

<file path=customXml/itemProps153.xml><?xml version="1.0" encoding="utf-8"?>
<ds:datastoreItem xmlns:ds="http://schemas.openxmlformats.org/officeDocument/2006/customXml" ds:itemID="{ED75A14D-3622-49C4-879B-383A9C8913F4}">
  <ds:schemaRefs>
    <ds:schemaRef ds:uri="http://schemas.openxmlformats.org/officeDocument/2006/bibliography"/>
  </ds:schemaRefs>
</ds:datastoreItem>
</file>

<file path=customXml/itemProps154.xml><?xml version="1.0" encoding="utf-8"?>
<ds:datastoreItem xmlns:ds="http://schemas.openxmlformats.org/officeDocument/2006/customXml" ds:itemID="{99BAB3BF-8960-4BE2-A67D-0269B047D9BB}">
  <ds:schemaRefs>
    <ds:schemaRef ds:uri="http://schemas.openxmlformats.org/officeDocument/2006/bibliography"/>
  </ds:schemaRefs>
</ds:datastoreItem>
</file>

<file path=customXml/itemProps155.xml><?xml version="1.0" encoding="utf-8"?>
<ds:datastoreItem xmlns:ds="http://schemas.openxmlformats.org/officeDocument/2006/customXml" ds:itemID="{A2BDFB3D-8E24-4AF2-A68A-B65BC452832D}">
  <ds:schemaRefs>
    <ds:schemaRef ds:uri="http://schemas.openxmlformats.org/officeDocument/2006/bibliography"/>
  </ds:schemaRefs>
</ds:datastoreItem>
</file>

<file path=customXml/itemProps156.xml><?xml version="1.0" encoding="utf-8"?>
<ds:datastoreItem xmlns:ds="http://schemas.openxmlformats.org/officeDocument/2006/customXml" ds:itemID="{7613DC42-590D-4EC5-983D-8AB3EB86BBD7}">
  <ds:schemaRefs>
    <ds:schemaRef ds:uri="http://schemas.openxmlformats.org/officeDocument/2006/bibliography"/>
  </ds:schemaRefs>
</ds:datastoreItem>
</file>

<file path=customXml/itemProps157.xml><?xml version="1.0" encoding="utf-8"?>
<ds:datastoreItem xmlns:ds="http://schemas.openxmlformats.org/officeDocument/2006/customXml" ds:itemID="{0B680B8E-AF00-441E-9893-68CAF700CB49}">
  <ds:schemaRefs>
    <ds:schemaRef ds:uri="http://schemas.openxmlformats.org/officeDocument/2006/bibliography"/>
  </ds:schemaRefs>
</ds:datastoreItem>
</file>

<file path=customXml/itemProps158.xml><?xml version="1.0" encoding="utf-8"?>
<ds:datastoreItem xmlns:ds="http://schemas.openxmlformats.org/officeDocument/2006/customXml" ds:itemID="{787032DC-4C78-4D36-B652-C200D57BEA4E}">
  <ds:schemaRefs>
    <ds:schemaRef ds:uri="http://schemas.openxmlformats.org/officeDocument/2006/bibliography"/>
  </ds:schemaRefs>
</ds:datastoreItem>
</file>

<file path=customXml/itemProps159.xml><?xml version="1.0" encoding="utf-8"?>
<ds:datastoreItem xmlns:ds="http://schemas.openxmlformats.org/officeDocument/2006/customXml" ds:itemID="{5DCB652B-E08F-4166-BA3B-B397FD115D8D}">
  <ds:schemaRefs>
    <ds:schemaRef ds:uri="http://schemas.openxmlformats.org/officeDocument/2006/bibliography"/>
  </ds:schemaRefs>
</ds:datastoreItem>
</file>

<file path=customXml/itemProps16.xml><?xml version="1.0" encoding="utf-8"?>
<ds:datastoreItem xmlns:ds="http://schemas.openxmlformats.org/officeDocument/2006/customXml" ds:itemID="{A706E8E8-43A7-4F99-AED4-9B2CAEB4906A}">
  <ds:schemaRefs>
    <ds:schemaRef ds:uri="http://schemas.openxmlformats.org/officeDocument/2006/bibliography"/>
  </ds:schemaRefs>
</ds:datastoreItem>
</file>

<file path=customXml/itemProps160.xml><?xml version="1.0" encoding="utf-8"?>
<ds:datastoreItem xmlns:ds="http://schemas.openxmlformats.org/officeDocument/2006/customXml" ds:itemID="{2FA42691-C1DA-445A-BBD4-9CBB8CBBE589}">
  <ds:schemaRefs>
    <ds:schemaRef ds:uri="http://schemas.openxmlformats.org/officeDocument/2006/bibliography"/>
  </ds:schemaRefs>
</ds:datastoreItem>
</file>

<file path=customXml/itemProps161.xml><?xml version="1.0" encoding="utf-8"?>
<ds:datastoreItem xmlns:ds="http://schemas.openxmlformats.org/officeDocument/2006/customXml" ds:itemID="{7C64BB18-F25E-4E84-A263-303227BAF8F4}">
  <ds:schemaRefs>
    <ds:schemaRef ds:uri="http://schemas.openxmlformats.org/officeDocument/2006/bibliography"/>
  </ds:schemaRefs>
</ds:datastoreItem>
</file>

<file path=customXml/itemProps162.xml><?xml version="1.0" encoding="utf-8"?>
<ds:datastoreItem xmlns:ds="http://schemas.openxmlformats.org/officeDocument/2006/customXml" ds:itemID="{7A0ED7AA-37AC-4374-A619-36AD5B6D6489}">
  <ds:schemaRefs>
    <ds:schemaRef ds:uri="http://schemas.openxmlformats.org/officeDocument/2006/bibliography"/>
  </ds:schemaRefs>
</ds:datastoreItem>
</file>

<file path=customXml/itemProps163.xml><?xml version="1.0" encoding="utf-8"?>
<ds:datastoreItem xmlns:ds="http://schemas.openxmlformats.org/officeDocument/2006/customXml" ds:itemID="{7703562C-F712-4466-A171-5AED3EC2FCD9}">
  <ds:schemaRefs>
    <ds:schemaRef ds:uri="http://schemas.openxmlformats.org/officeDocument/2006/bibliography"/>
  </ds:schemaRefs>
</ds:datastoreItem>
</file>

<file path=customXml/itemProps17.xml><?xml version="1.0" encoding="utf-8"?>
<ds:datastoreItem xmlns:ds="http://schemas.openxmlformats.org/officeDocument/2006/customXml" ds:itemID="{3B47C3CF-2C8C-4699-A24A-080252A895A2}">
  <ds:schemaRefs>
    <ds:schemaRef ds:uri="http://schemas.openxmlformats.org/officeDocument/2006/bibliography"/>
  </ds:schemaRefs>
</ds:datastoreItem>
</file>

<file path=customXml/itemProps18.xml><?xml version="1.0" encoding="utf-8"?>
<ds:datastoreItem xmlns:ds="http://schemas.openxmlformats.org/officeDocument/2006/customXml" ds:itemID="{C898C6DE-E1E5-4854-BC64-2CF5174895D2}">
  <ds:schemaRefs>
    <ds:schemaRef ds:uri="http://schemas.openxmlformats.org/officeDocument/2006/bibliography"/>
  </ds:schemaRefs>
</ds:datastoreItem>
</file>

<file path=customXml/itemProps19.xml><?xml version="1.0" encoding="utf-8"?>
<ds:datastoreItem xmlns:ds="http://schemas.openxmlformats.org/officeDocument/2006/customXml" ds:itemID="{52FF3D42-61D1-46DD-8462-CAC58F2F17DF}">
  <ds:schemaRefs>
    <ds:schemaRef ds:uri="http://schemas.openxmlformats.org/officeDocument/2006/bibliography"/>
  </ds:schemaRefs>
</ds:datastoreItem>
</file>

<file path=customXml/itemProps2.xml><?xml version="1.0" encoding="utf-8"?>
<ds:datastoreItem xmlns:ds="http://schemas.openxmlformats.org/officeDocument/2006/customXml" ds:itemID="{6834F550-77C5-4EB6-AC5F-68CDB50D2DE5}">
  <ds:schemaRefs>
    <ds:schemaRef ds:uri="http://schemas.openxmlformats.org/officeDocument/2006/bibliography"/>
  </ds:schemaRefs>
</ds:datastoreItem>
</file>

<file path=customXml/itemProps20.xml><?xml version="1.0" encoding="utf-8"?>
<ds:datastoreItem xmlns:ds="http://schemas.openxmlformats.org/officeDocument/2006/customXml" ds:itemID="{CF3AD15F-2B64-419B-B8E1-6B1D443EF793}">
  <ds:schemaRefs>
    <ds:schemaRef ds:uri="http://schemas.openxmlformats.org/officeDocument/2006/bibliography"/>
  </ds:schemaRefs>
</ds:datastoreItem>
</file>

<file path=customXml/itemProps21.xml><?xml version="1.0" encoding="utf-8"?>
<ds:datastoreItem xmlns:ds="http://schemas.openxmlformats.org/officeDocument/2006/customXml" ds:itemID="{E2E5A019-07E0-4F31-9E14-044C61E9562C}">
  <ds:schemaRefs>
    <ds:schemaRef ds:uri="http://schemas.openxmlformats.org/officeDocument/2006/bibliography"/>
  </ds:schemaRefs>
</ds:datastoreItem>
</file>

<file path=customXml/itemProps22.xml><?xml version="1.0" encoding="utf-8"?>
<ds:datastoreItem xmlns:ds="http://schemas.openxmlformats.org/officeDocument/2006/customXml" ds:itemID="{9514B3C1-E0D3-4199-B980-394DBC0DEDB4}">
  <ds:schemaRefs>
    <ds:schemaRef ds:uri="http://schemas.openxmlformats.org/officeDocument/2006/bibliography"/>
  </ds:schemaRefs>
</ds:datastoreItem>
</file>

<file path=customXml/itemProps23.xml><?xml version="1.0" encoding="utf-8"?>
<ds:datastoreItem xmlns:ds="http://schemas.openxmlformats.org/officeDocument/2006/customXml" ds:itemID="{DAD03C8D-B0D8-432A-B943-4179594AE256}">
  <ds:schemaRefs>
    <ds:schemaRef ds:uri="http://schemas.openxmlformats.org/officeDocument/2006/bibliography"/>
  </ds:schemaRefs>
</ds:datastoreItem>
</file>

<file path=customXml/itemProps24.xml><?xml version="1.0" encoding="utf-8"?>
<ds:datastoreItem xmlns:ds="http://schemas.openxmlformats.org/officeDocument/2006/customXml" ds:itemID="{2425253C-FE66-41DF-A519-45C83D8FE92F}">
  <ds:schemaRefs>
    <ds:schemaRef ds:uri="http://schemas.openxmlformats.org/officeDocument/2006/bibliography"/>
  </ds:schemaRefs>
</ds:datastoreItem>
</file>

<file path=customXml/itemProps25.xml><?xml version="1.0" encoding="utf-8"?>
<ds:datastoreItem xmlns:ds="http://schemas.openxmlformats.org/officeDocument/2006/customXml" ds:itemID="{74CDB0EC-747B-4791-BBA9-8618C03AFC12}">
  <ds:schemaRefs>
    <ds:schemaRef ds:uri="http://schemas.openxmlformats.org/officeDocument/2006/bibliography"/>
  </ds:schemaRefs>
</ds:datastoreItem>
</file>

<file path=customXml/itemProps26.xml><?xml version="1.0" encoding="utf-8"?>
<ds:datastoreItem xmlns:ds="http://schemas.openxmlformats.org/officeDocument/2006/customXml" ds:itemID="{13E71280-0FC3-4DB4-B60B-724F9DEFB262}">
  <ds:schemaRefs>
    <ds:schemaRef ds:uri="http://schemas.openxmlformats.org/officeDocument/2006/bibliography"/>
  </ds:schemaRefs>
</ds:datastoreItem>
</file>

<file path=customXml/itemProps27.xml><?xml version="1.0" encoding="utf-8"?>
<ds:datastoreItem xmlns:ds="http://schemas.openxmlformats.org/officeDocument/2006/customXml" ds:itemID="{2390229C-71CE-4F96-A7E0-992BD8945306}">
  <ds:schemaRefs>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393f2f21-2e54-496b-865d-85ab36d196c4"/>
    <ds:schemaRef ds:uri="http://purl.org/dc/terms/"/>
  </ds:schemaRefs>
</ds:datastoreItem>
</file>

<file path=customXml/itemProps28.xml><?xml version="1.0" encoding="utf-8"?>
<ds:datastoreItem xmlns:ds="http://schemas.openxmlformats.org/officeDocument/2006/customXml" ds:itemID="{E3D1CA3B-D3AF-4AE2-8166-27FECC1E8410}">
  <ds:schemaRefs>
    <ds:schemaRef ds:uri="http://schemas.openxmlformats.org/officeDocument/2006/bibliography"/>
  </ds:schemaRefs>
</ds:datastoreItem>
</file>

<file path=customXml/itemProps29.xml><?xml version="1.0" encoding="utf-8"?>
<ds:datastoreItem xmlns:ds="http://schemas.openxmlformats.org/officeDocument/2006/customXml" ds:itemID="{13FDD2F7-E279-42FC-83C5-1A4C8F8EC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f2f21-2e54-496b-865d-85ab36d19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223DD-D3D9-4E01-B5C5-BD3980070331}">
  <ds:schemaRefs>
    <ds:schemaRef ds:uri="http://schemas.openxmlformats.org/officeDocument/2006/bibliography"/>
  </ds:schemaRefs>
</ds:datastoreItem>
</file>

<file path=customXml/itemProps30.xml><?xml version="1.0" encoding="utf-8"?>
<ds:datastoreItem xmlns:ds="http://schemas.openxmlformats.org/officeDocument/2006/customXml" ds:itemID="{8EEB267A-4B64-4277-841D-D93FEE496605}">
  <ds:schemaRefs>
    <ds:schemaRef ds:uri="http://schemas.openxmlformats.org/officeDocument/2006/bibliography"/>
  </ds:schemaRefs>
</ds:datastoreItem>
</file>

<file path=customXml/itemProps31.xml><?xml version="1.0" encoding="utf-8"?>
<ds:datastoreItem xmlns:ds="http://schemas.openxmlformats.org/officeDocument/2006/customXml" ds:itemID="{DD48F8A6-1C2B-4F40-893C-14B8D385A698}">
  <ds:schemaRefs>
    <ds:schemaRef ds:uri="http://schemas.openxmlformats.org/officeDocument/2006/bibliography"/>
  </ds:schemaRefs>
</ds:datastoreItem>
</file>

<file path=customXml/itemProps32.xml><?xml version="1.0" encoding="utf-8"?>
<ds:datastoreItem xmlns:ds="http://schemas.openxmlformats.org/officeDocument/2006/customXml" ds:itemID="{5699CD12-ECF2-4AE4-B536-0F03E9A5578C}">
  <ds:schemaRefs>
    <ds:schemaRef ds:uri="http://schemas.openxmlformats.org/officeDocument/2006/bibliography"/>
  </ds:schemaRefs>
</ds:datastoreItem>
</file>

<file path=customXml/itemProps33.xml><?xml version="1.0" encoding="utf-8"?>
<ds:datastoreItem xmlns:ds="http://schemas.openxmlformats.org/officeDocument/2006/customXml" ds:itemID="{4D68205C-4998-4669-BAEA-9A4777F74F9E}">
  <ds:schemaRefs>
    <ds:schemaRef ds:uri="http://schemas.openxmlformats.org/officeDocument/2006/bibliography"/>
  </ds:schemaRefs>
</ds:datastoreItem>
</file>

<file path=customXml/itemProps34.xml><?xml version="1.0" encoding="utf-8"?>
<ds:datastoreItem xmlns:ds="http://schemas.openxmlformats.org/officeDocument/2006/customXml" ds:itemID="{1EFF229E-0A6F-4CCB-986C-921DCD9284D6}">
  <ds:schemaRefs>
    <ds:schemaRef ds:uri="http://schemas.openxmlformats.org/officeDocument/2006/bibliography"/>
  </ds:schemaRefs>
</ds:datastoreItem>
</file>

<file path=customXml/itemProps35.xml><?xml version="1.0" encoding="utf-8"?>
<ds:datastoreItem xmlns:ds="http://schemas.openxmlformats.org/officeDocument/2006/customXml" ds:itemID="{84006E8D-506C-4E4A-A7F5-5A39A235A856}">
  <ds:schemaRefs>
    <ds:schemaRef ds:uri="http://schemas.openxmlformats.org/officeDocument/2006/bibliography"/>
  </ds:schemaRefs>
</ds:datastoreItem>
</file>

<file path=customXml/itemProps36.xml><?xml version="1.0" encoding="utf-8"?>
<ds:datastoreItem xmlns:ds="http://schemas.openxmlformats.org/officeDocument/2006/customXml" ds:itemID="{64A4EC33-FB37-4260-87B8-DF22FB5A78F5}">
  <ds:schemaRefs>
    <ds:schemaRef ds:uri="http://schemas.openxmlformats.org/officeDocument/2006/bibliography"/>
  </ds:schemaRefs>
</ds:datastoreItem>
</file>

<file path=customXml/itemProps37.xml><?xml version="1.0" encoding="utf-8"?>
<ds:datastoreItem xmlns:ds="http://schemas.openxmlformats.org/officeDocument/2006/customXml" ds:itemID="{D393C26C-171E-4178-BAF5-1CBDC4B1E41F}">
  <ds:schemaRefs>
    <ds:schemaRef ds:uri="http://schemas.openxmlformats.org/officeDocument/2006/bibliography"/>
  </ds:schemaRefs>
</ds:datastoreItem>
</file>

<file path=customXml/itemProps38.xml><?xml version="1.0" encoding="utf-8"?>
<ds:datastoreItem xmlns:ds="http://schemas.openxmlformats.org/officeDocument/2006/customXml" ds:itemID="{C43EBC4C-AC85-4BA1-9121-E817135F0D56}">
  <ds:schemaRefs>
    <ds:schemaRef ds:uri="http://schemas.openxmlformats.org/officeDocument/2006/bibliography"/>
  </ds:schemaRefs>
</ds:datastoreItem>
</file>

<file path=customXml/itemProps39.xml><?xml version="1.0" encoding="utf-8"?>
<ds:datastoreItem xmlns:ds="http://schemas.openxmlformats.org/officeDocument/2006/customXml" ds:itemID="{692970F5-9056-4A3C-8F4C-52DB2E61C91C}">
  <ds:schemaRefs>
    <ds:schemaRef ds:uri="http://schemas.openxmlformats.org/officeDocument/2006/bibliography"/>
  </ds:schemaRefs>
</ds:datastoreItem>
</file>

<file path=customXml/itemProps4.xml><?xml version="1.0" encoding="utf-8"?>
<ds:datastoreItem xmlns:ds="http://schemas.openxmlformats.org/officeDocument/2006/customXml" ds:itemID="{870CA6CE-CA44-490D-8EDA-A552C4BAB06D}">
  <ds:schemaRefs>
    <ds:schemaRef ds:uri="http://schemas.openxmlformats.org/officeDocument/2006/bibliography"/>
  </ds:schemaRefs>
</ds:datastoreItem>
</file>

<file path=customXml/itemProps40.xml><?xml version="1.0" encoding="utf-8"?>
<ds:datastoreItem xmlns:ds="http://schemas.openxmlformats.org/officeDocument/2006/customXml" ds:itemID="{E112A8E8-1312-46E0-85E4-64A8B17E5B31}">
  <ds:schemaRefs>
    <ds:schemaRef ds:uri="http://schemas.openxmlformats.org/officeDocument/2006/bibliography"/>
  </ds:schemaRefs>
</ds:datastoreItem>
</file>

<file path=customXml/itemProps41.xml><?xml version="1.0" encoding="utf-8"?>
<ds:datastoreItem xmlns:ds="http://schemas.openxmlformats.org/officeDocument/2006/customXml" ds:itemID="{DC544361-92DD-46D6-838D-671B34D23389}">
  <ds:schemaRefs>
    <ds:schemaRef ds:uri="http://schemas.openxmlformats.org/officeDocument/2006/bibliography"/>
  </ds:schemaRefs>
</ds:datastoreItem>
</file>

<file path=customXml/itemProps42.xml><?xml version="1.0" encoding="utf-8"?>
<ds:datastoreItem xmlns:ds="http://schemas.openxmlformats.org/officeDocument/2006/customXml" ds:itemID="{ADD792B7-D53A-4F98-A02C-E10FAB008DCD}">
  <ds:schemaRefs>
    <ds:schemaRef ds:uri="http://schemas.openxmlformats.org/officeDocument/2006/bibliography"/>
  </ds:schemaRefs>
</ds:datastoreItem>
</file>

<file path=customXml/itemProps43.xml><?xml version="1.0" encoding="utf-8"?>
<ds:datastoreItem xmlns:ds="http://schemas.openxmlformats.org/officeDocument/2006/customXml" ds:itemID="{A063B618-842A-4368-AD8F-74C94AB5A893}">
  <ds:schemaRefs>
    <ds:schemaRef ds:uri="http://schemas.openxmlformats.org/officeDocument/2006/bibliography"/>
  </ds:schemaRefs>
</ds:datastoreItem>
</file>

<file path=customXml/itemProps44.xml><?xml version="1.0" encoding="utf-8"?>
<ds:datastoreItem xmlns:ds="http://schemas.openxmlformats.org/officeDocument/2006/customXml" ds:itemID="{1FCDA9AF-9D3E-4D7E-A142-24111EF7120E}">
  <ds:schemaRefs>
    <ds:schemaRef ds:uri="http://schemas.openxmlformats.org/officeDocument/2006/bibliography"/>
  </ds:schemaRefs>
</ds:datastoreItem>
</file>

<file path=customXml/itemProps45.xml><?xml version="1.0" encoding="utf-8"?>
<ds:datastoreItem xmlns:ds="http://schemas.openxmlformats.org/officeDocument/2006/customXml" ds:itemID="{07438A2A-947F-459D-B9DA-0015F4E31F8C}">
  <ds:schemaRefs>
    <ds:schemaRef ds:uri="http://schemas.openxmlformats.org/officeDocument/2006/bibliography"/>
  </ds:schemaRefs>
</ds:datastoreItem>
</file>

<file path=customXml/itemProps46.xml><?xml version="1.0" encoding="utf-8"?>
<ds:datastoreItem xmlns:ds="http://schemas.openxmlformats.org/officeDocument/2006/customXml" ds:itemID="{F091ECE4-A984-48E4-9D0D-728CA52452CC}">
  <ds:schemaRefs>
    <ds:schemaRef ds:uri="http://schemas.openxmlformats.org/officeDocument/2006/bibliography"/>
  </ds:schemaRefs>
</ds:datastoreItem>
</file>

<file path=customXml/itemProps47.xml><?xml version="1.0" encoding="utf-8"?>
<ds:datastoreItem xmlns:ds="http://schemas.openxmlformats.org/officeDocument/2006/customXml" ds:itemID="{99645223-3C5D-4F54-B5C6-094D4A8337B1}">
  <ds:schemaRefs>
    <ds:schemaRef ds:uri="http://schemas.openxmlformats.org/officeDocument/2006/bibliography"/>
  </ds:schemaRefs>
</ds:datastoreItem>
</file>

<file path=customXml/itemProps48.xml><?xml version="1.0" encoding="utf-8"?>
<ds:datastoreItem xmlns:ds="http://schemas.openxmlformats.org/officeDocument/2006/customXml" ds:itemID="{623E801D-3190-41BC-9068-31256AACDE01}">
  <ds:schemaRefs>
    <ds:schemaRef ds:uri="http://schemas.openxmlformats.org/officeDocument/2006/bibliography"/>
  </ds:schemaRefs>
</ds:datastoreItem>
</file>

<file path=customXml/itemProps49.xml><?xml version="1.0" encoding="utf-8"?>
<ds:datastoreItem xmlns:ds="http://schemas.openxmlformats.org/officeDocument/2006/customXml" ds:itemID="{B96B5E42-24C7-4599-BE81-E4E2173D633F}">
  <ds:schemaRefs>
    <ds:schemaRef ds:uri="http://schemas.openxmlformats.org/officeDocument/2006/bibliography"/>
  </ds:schemaRefs>
</ds:datastoreItem>
</file>

<file path=customXml/itemProps5.xml><?xml version="1.0" encoding="utf-8"?>
<ds:datastoreItem xmlns:ds="http://schemas.openxmlformats.org/officeDocument/2006/customXml" ds:itemID="{A47B7D5F-30C1-4DE8-B06B-C76BCFF11071}">
  <ds:schemaRefs>
    <ds:schemaRef ds:uri="http://schemas.openxmlformats.org/officeDocument/2006/bibliography"/>
  </ds:schemaRefs>
</ds:datastoreItem>
</file>

<file path=customXml/itemProps50.xml><?xml version="1.0" encoding="utf-8"?>
<ds:datastoreItem xmlns:ds="http://schemas.openxmlformats.org/officeDocument/2006/customXml" ds:itemID="{185AAF32-BD2C-4F4C-AB2D-B4AB89869E70}">
  <ds:schemaRefs>
    <ds:schemaRef ds:uri="http://schemas.openxmlformats.org/officeDocument/2006/bibliography"/>
  </ds:schemaRefs>
</ds:datastoreItem>
</file>

<file path=customXml/itemProps51.xml><?xml version="1.0" encoding="utf-8"?>
<ds:datastoreItem xmlns:ds="http://schemas.openxmlformats.org/officeDocument/2006/customXml" ds:itemID="{97C62523-F8DE-4CF6-BA51-73F1AE46AE07}">
  <ds:schemaRefs>
    <ds:schemaRef ds:uri="http://schemas.openxmlformats.org/officeDocument/2006/bibliography"/>
  </ds:schemaRefs>
</ds:datastoreItem>
</file>

<file path=customXml/itemProps52.xml><?xml version="1.0" encoding="utf-8"?>
<ds:datastoreItem xmlns:ds="http://schemas.openxmlformats.org/officeDocument/2006/customXml" ds:itemID="{0DA3C34E-7297-4580-B85B-E7E00D2093C3}">
  <ds:schemaRefs>
    <ds:schemaRef ds:uri="http://schemas.openxmlformats.org/officeDocument/2006/bibliography"/>
  </ds:schemaRefs>
</ds:datastoreItem>
</file>

<file path=customXml/itemProps53.xml><?xml version="1.0" encoding="utf-8"?>
<ds:datastoreItem xmlns:ds="http://schemas.openxmlformats.org/officeDocument/2006/customXml" ds:itemID="{DD371103-4E1D-46DC-B91E-287BD8E5240A}">
  <ds:schemaRefs>
    <ds:schemaRef ds:uri="http://schemas.openxmlformats.org/officeDocument/2006/bibliography"/>
  </ds:schemaRefs>
</ds:datastoreItem>
</file>

<file path=customXml/itemProps54.xml><?xml version="1.0" encoding="utf-8"?>
<ds:datastoreItem xmlns:ds="http://schemas.openxmlformats.org/officeDocument/2006/customXml" ds:itemID="{5571D08D-07B2-46C7-9986-82C27B84E68B}">
  <ds:schemaRefs>
    <ds:schemaRef ds:uri="http://schemas.openxmlformats.org/officeDocument/2006/bibliography"/>
  </ds:schemaRefs>
</ds:datastoreItem>
</file>

<file path=customXml/itemProps55.xml><?xml version="1.0" encoding="utf-8"?>
<ds:datastoreItem xmlns:ds="http://schemas.openxmlformats.org/officeDocument/2006/customXml" ds:itemID="{7B1A5945-34F2-4644-B6C6-ECC69FC929C2}">
  <ds:schemaRefs>
    <ds:schemaRef ds:uri="http://schemas.openxmlformats.org/officeDocument/2006/bibliography"/>
  </ds:schemaRefs>
</ds:datastoreItem>
</file>

<file path=customXml/itemProps56.xml><?xml version="1.0" encoding="utf-8"?>
<ds:datastoreItem xmlns:ds="http://schemas.openxmlformats.org/officeDocument/2006/customXml" ds:itemID="{10471512-96A1-4382-BA73-0B3F87F7660B}">
  <ds:schemaRefs>
    <ds:schemaRef ds:uri="http://schemas.openxmlformats.org/officeDocument/2006/bibliography"/>
  </ds:schemaRefs>
</ds:datastoreItem>
</file>

<file path=customXml/itemProps57.xml><?xml version="1.0" encoding="utf-8"?>
<ds:datastoreItem xmlns:ds="http://schemas.openxmlformats.org/officeDocument/2006/customXml" ds:itemID="{B26A92B9-137B-42CC-BCE4-7E324847A999}">
  <ds:schemaRefs>
    <ds:schemaRef ds:uri="http://schemas.openxmlformats.org/officeDocument/2006/bibliography"/>
  </ds:schemaRefs>
</ds:datastoreItem>
</file>

<file path=customXml/itemProps58.xml><?xml version="1.0" encoding="utf-8"?>
<ds:datastoreItem xmlns:ds="http://schemas.openxmlformats.org/officeDocument/2006/customXml" ds:itemID="{20BB1097-C1B2-46EF-B4D6-ECC071AB7472}">
  <ds:schemaRefs>
    <ds:schemaRef ds:uri="http://schemas.openxmlformats.org/officeDocument/2006/bibliography"/>
  </ds:schemaRefs>
</ds:datastoreItem>
</file>

<file path=customXml/itemProps59.xml><?xml version="1.0" encoding="utf-8"?>
<ds:datastoreItem xmlns:ds="http://schemas.openxmlformats.org/officeDocument/2006/customXml" ds:itemID="{A40CAE13-17E7-49B3-A504-DCBAC7E7B49B}">
  <ds:schemaRefs>
    <ds:schemaRef ds:uri="http://schemas.openxmlformats.org/officeDocument/2006/bibliography"/>
  </ds:schemaRefs>
</ds:datastoreItem>
</file>

<file path=customXml/itemProps6.xml><?xml version="1.0" encoding="utf-8"?>
<ds:datastoreItem xmlns:ds="http://schemas.openxmlformats.org/officeDocument/2006/customXml" ds:itemID="{4EDECC5F-D711-443D-BFC1-8132DC6313BF}">
  <ds:schemaRefs>
    <ds:schemaRef ds:uri="http://schemas.openxmlformats.org/officeDocument/2006/bibliography"/>
  </ds:schemaRefs>
</ds:datastoreItem>
</file>

<file path=customXml/itemProps60.xml><?xml version="1.0" encoding="utf-8"?>
<ds:datastoreItem xmlns:ds="http://schemas.openxmlformats.org/officeDocument/2006/customXml" ds:itemID="{2F0B0E2D-0F53-4F93-9232-6ECB60AF384D}">
  <ds:schemaRefs>
    <ds:schemaRef ds:uri="http://schemas.openxmlformats.org/officeDocument/2006/bibliography"/>
  </ds:schemaRefs>
</ds:datastoreItem>
</file>

<file path=customXml/itemProps61.xml><?xml version="1.0" encoding="utf-8"?>
<ds:datastoreItem xmlns:ds="http://schemas.openxmlformats.org/officeDocument/2006/customXml" ds:itemID="{9A1F79C3-5335-4BFF-B7E4-90D33D83A2D5}">
  <ds:schemaRefs>
    <ds:schemaRef ds:uri="http://schemas.openxmlformats.org/officeDocument/2006/bibliography"/>
  </ds:schemaRefs>
</ds:datastoreItem>
</file>

<file path=customXml/itemProps62.xml><?xml version="1.0" encoding="utf-8"?>
<ds:datastoreItem xmlns:ds="http://schemas.openxmlformats.org/officeDocument/2006/customXml" ds:itemID="{A569DF88-4B7E-464B-A25F-4F31D4A3B98F}">
  <ds:schemaRefs>
    <ds:schemaRef ds:uri="http://schemas.openxmlformats.org/officeDocument/2006/bibliography"/>
  </ds:schemaRefs>
</ds:datastoreItem>
</file>

<file path=customXml/itemProps63.xml><?xml version="1.0" encoding="utf-8"?>
<ds:datastoreItem xmlns:ds="http://schemas.openxmlformats.org/officeDocument/2006/customXml" ds:itemID="{DB164449-F44A-4AAA-8212-F557D54DE0F2}">
  <ds:schemaRefs>
    <ds:schemaRef ds:uri="http://schemas.openxmlformats.org/officeDocument/2006/bibliography"/>
  </ds:schemaRefs>
</ds:datastoreItem>
</file>

<file path=customXml/itemProps64.xml><?xml version="1.0" encoding="utf-8"?>
<ds:datastoreItem xmlns:ds="http://schemas.openxmlformats.org/officeDocument/2006/customXml" ds:itemID="{AF3F4DD1-5075-4ACB-A7EE-0EC3E564386A}">
  <ds:schemaRefs>
    <ds:schemaRef ds:uri="http://schemas.openxmlformats.org/officeDocument/2006/bibliography"/>
  </ds:schemaRefs>
</ds:datastoreItem>
</file>

<file path=customXml/itemProps65.xml><?xml version="1.0" encoding="utf-8"?>
<ds:datastoreItem xmlns:ds="http://schemas.openxmlformats.org/officeDocument/2006/customXml" ds:itemID="{3FA99A4E-3500-4ABF-92F9-6ABA1768C948}">
  <ds:schemaRefs>
    <ds:schemaRef ds:uri="http://schemas.openxmlformats.org/officeDocument/2006/bibliography"/>
  </ds:schemaRefs>
</ds:datastoreItem>
</file>

<file path=customXml/itemProps66.xml><?xml version="1.0" encoding="utf-8"?>
<ds:datastoreItem xmlns:ds="http://schemas.openxmlformats.org/officeDocument/2006/customXml" ds:itemID="{96E0BD3D-5975-4B06-8F80-002BD9BA2BF7}">
  <ds:schemaRefs>
    <ds:schemaRef ds:uri="http://schemas.openxmlformats.org/officeDocument/2006/bibliography"/>
  </ds:schemaRefs>
</ds:datastoreItem>
</file>

<file path=customXml/itemProps67.xml><?xml version="1.0" encoding="utf-8"?>
<ds:datastoreItem xmlns:ds="http://schemas.openxmlformats.org/officeDocument/2006/customXml" ds:itemID="{3AB9CBD9-BFBE-41BB-BCD5-7B4BE17EF1B2}">
  <ds:schemaRefs>
    <ds:schemaRef ds:uri="http://schemas.openxmlformats.org/officeDocument/2006/bibliography"/>
  </ds:schemaRefs>
</ds:datastoreItem>
</file>

<file path=customXml/itemProps68.xml><?xml version="1.0" encoding="utf-8"?>
<ds:datastoreItem xmlns:ds="http://schemas.openxmlformats.org/officeDocument/2006/customXml" ds:itemID="{CBB69EA2-6601-485C-B34F-CBA7606E241D}">
  <ds:schemaRefs>
    <ds:schemaRef ds:uri="http://schemas.openxmlformats.org/officeDocument/2006/bibliography"/>
  </ds:schemaRefs>
</ds:datastoreItem>
</file>

<file path=customXml/itemProps69.xml><?xml version="1.0" encoding="utf-8"?>
<ds:datastoreItem xmlns:ds="http://schemas.openxmlformats.org/officeDocument/2006/customXml" ds:itemID="{35D628F8-2A17-4540-9C5B-CE4D00F8F521}">
  <ds:schemaRefs>
    <ds:schemaRef ds:uri="http://schemas.openxmlformats.org/officeDocument/2006/bibliography"/>
  </ds:schemaRefs>
</ds:datastoreItem>
</file>

<file path=customXml/itemProps7.xml><?xml version="1.0" encoding="utf-8"?>
<ds:datastoreItem xmlns:ds="http://schemas.openxmlformats.org/officeDocument/2006/customXml" ds:itemID="{76E94C86-F4E6-4696-BFEF-4130203C2FA2}">
  <ds:schemaRefs>
    <ds:schemaRef ds:uri="http://schemas.openxmlformats.org/officeDocument/2006/bibliography"/>
  </ds:schemaRefs>
</ds:datastoreItem>
</file>

<file path=customXml/itemProps70.xml><?xml version="1.0" encoding="utf-8"?>
<ds:datastoreItem xmlns:ds="http://schemas.openxmlformats.org/officeDocument/2006/customXml" ds:itemID="{EB2806C7-4E37-4358-B1B3-CC5BF45B3A24}">
  <ds:schemaRefs>
    <ds:schemaRef ds:uri="http://schemas.openxmlformats.org/officeDocument/2006/bibliography"/>
  </ds:schemaRefs>
</ds:datastoreItem>
</file>

<file path=customXml/itemProps71.xml><?xml version="1.0" encoding="utf-8"?>
<ds:datastoreItem xmlns:ds="http://schemas.openxmlformats.org/officeDocument/2006/customXml" ds:itemID="{E099C1DE-35C7-4EF0-A9E3-99E18A519C57}">
  <ds:schemaRefs>
    <ds:schemaRef ds:uri="http://schemas.openxmlformats.org/officeDocument/2006/bibliography"/>
  </ds:schemaRefs>
</ds:datastoreItem>
</file>

<file path=customXml/itemProps72.xml><?xml version="1.0" encoding="utf-8"?>
<ds:datastoreItem xmlns:ds="http://schemas.openxmlformats.org/officeDocument/2006/customXml" ds:itemID="{A71C7BC8-5366-4779-BDFC-FD73623E5848}">
  <ds:schemaRefs>
    <ds:schemaRef ds:uri="http://schemas.openxmlformats.org/officeDocument/2006/bibliography"/>
  </ds:schemaRefs>
</ds:datastoreItem>
</file>

<file path=customXml/itemProps73.xml><?xml version="1.0" encoding="utf-8"?>
<ds:datastoreItem xmlns:ds="http://schemas.openxmlformats.org/officeDocument/2006/customXml" ds:itemID="{1791FCFC-E18B-46C2-93E0-E3343C5C44FA}">
  <ds:schemaRefs>
    <ds:schemaRef ds:uri="http://schemas.openxmlformats.org/officeDocument/2006/bibliography"/>
  </ds:schemaRefs>
</ds:datastoreItem>
</file>

<file path=customXml/itemProps74.xml><?xml version="1.0" encoding="utf-8"?>
<ds:datastoreItem xmlns:ds="http://schemas.openxmlformats.org/officeDocument/2006/customXml" ds:itemID="{439A1E09-024A-4E05-829E-02400ABE0FCA}">
  <ds:schemaRefs>
    <ds:schemaRef ds:uri="http://schemas.openxmlformats.org/officeDocument/2006/bibliography"/>
  </ds:schemaRefs>
</ds:datastoreItem>
</file>

<file path=customXml/itemProps75.xml><?xml version="1.0" encoding="utf-8"?>
<ds:datastoreItem xmlns:ds="http://schemas.openxmlformats.org/officeDocument/2006/customXml" ds:itemID="{6FE2ED2C-0478-4094-9F1A-BDA6F012EA08}">
  <ds:schemaRefs>
    <ds:schemaRef ds:uri="http://schemas.openxmlformats.org/officeDocument/2006/bibliography"/>
  </ds:schemaRefs>
</ds:datastoreItem>
</file>

<file path=customXml/itemProps76.xml><?xml version="1.0" encoding="utf-8"?>
<ds:datastoreItem xmlns:ds="http://schemas.openxmlformats.org/officeDocument/2006/customXml" ds:itemID="{ABC86196-FD21-4F2B-BF5A-EB22B1D1D78E}">
  <ds:schemaRefs>
    <ds:schemaRef ds:uri="http://schemas.openxmlformats.org/officeDocument/2006/bibliography"/>
  </ds:schemaRefs>
</ds:datastoreItem>
</file>

<file path=customXml/itemProps77.xml><?xml version="1.0" encoding="utf-8"?>
<ds:datastoreItem xmlns:ds="http://schemas.openxmlformats.org/officeDocument/2006/customXml" ds:itemID="{76D9264A-9153-4ED7-A73F-8F8386C78647}">
  <ds:schemaRefs>
    <ds:schemaRef ds:uri="http://schemas.openxmlformats.org/officeDocument/2006/bibliography"/>
  </ds:schemaRefs>
</ds:datastoreItem>
</file>

<file path=customXml/itemProps78.xml><?xml version="1.0" encoding="utf-8"?>
<ds:datastoreItem xmlns:ds="http://schemas.openxmlformats.org/officeDocument/2006/customXml" ds:itemID="{8F37B49E-C5DF-4407-98CF-1C1D5C9A020D}">
  <ds:schemaRefs>
    <ds:schemaRef ds:uri="http://schemas.openxmlformats.org/officeDocument/2006/bibliography"/>
  </ds:schemaRefs>
</ds:datastoreItem>
</file>

<file path=customXml/itemProps79.xml><?xml version="1.0" encoding="utf-8"?>
<ds:datastoreItem xmlns:ds="http://schemas.openxmlformats.org/officeDocument/2006/customXml" ds:itemID="{C7672B34-2E9B-429B-8999-36D909EC5201}">
  <ds:schemaRefs>
    <ds:schemaRef ds:uri="http://schemas.openxmlformats.org/officeDocument/2006/bibliography"/>
  </ds:schemaRefs>
</ds:datastoreItem>
</file>

<file path=customXml/itemProps8.xml><?xml version="1.0" encoding="utf-8"?>
<ds:datastoreItem xmlns:ds="http://schemas.openxmlformats.org/officeDocument/2006/customXml" ds:itemID="{173B33C3-9338-4806-9815-3F216C44C91B}">
  <ds:schemaRefs>
    <ds:schemaRef ds:uri="http://schemas.openxmlformats.org/officeDocument/2006/bibliography"/>
  </ds:schemaRefs>
</ds:datastoreItem>
</file>

<file path=customXml/itemProps80.xml><?xml version="1.0" encoding="utf-8"?>
<ds:datastoreItem xmlns:ds="http://schemas.openxmlformats.org/officeDocument/2006/customXml" ds:itemID="{1883DC07-F6BD-4C6F-B2B5-DE6143EDFE84}">
  <ds:schemaRefs>
    <ds:schemaRef ds:uri="http://schemas.openxmlformats.org/officeDocument/2006/bibliography"/>
  </ds:schemaRefs>
</ds:datastoreItem>
</file>

<file path=customXml/itemProps81.xml><?xml version="1.0" encoding="utf-8"?>
<ds:datastoreItem xmlns:ds="http://schemas.openxmlformats.org/officeDocument/2006/customXml" ds:itemID="{94B75698-1BBE-4F12-9921-B5315A09F63D}">
  <ds:schemaRefs>
    <ds:schemaRef ds:uri="http://schemas.openxmlformats.org/officeDocument/2006/bibliography"/>
  </ds:schemaRefs>
</ds:datastoreItem>
</file>

<file path=customXml/itemProps82.xml><?xml version="1.0" encoding="utf-8"?>
<ds:datastoreItem xmlns:ds="http://schemas.openxmlformats.org/officeDocument/2006/customXml" ds:itemID="{ECF8E7AD-2841-4AEC-8763-486F81320EF4}">
  <ds:schemaRefs>
    <ds:schemaRef ds:uri="http://schemas.openxmlformats.org/officeDocument/2006/bibliography"/>
  </ds:schemaRefs>
</ds:datastoreItem>
</file>

<file path=customXml/itemProps83.xml><?xml version="1.0" encoding="utf-8"?>
<ds:datastoreItem xmlns:ds="http://schemas.openxmlformats.org/officeDocument/2006/customXml" ds:itemID="{DD6DE4AC-D5C9-4B93-828D-2C2106A6A63F}">
  <ds:schemaRefs>
    <ds:schemaRef ds:uri="http://schemas.openxmlformats.org/officeDocument/2006/bibliography"/>
  </ds:schemaRefs>
</ds:datastoreItem>
</file>

<file path=customXml/itemProps84.xml><?xml version="1.0" encoding="utf-8"?>
<ds:datastoreItem xmlns:ds="http://schemas.openxmlformats.org/officeDocument/2006/customXml" ds:itemID="{420F5FFE-EF0B-4B90-9615-C4789992B23B}">
  <ds:schemaRefs>
    <ds:schemaRef ds:uri="http://schemas.openxmlformats.org/officeDocument/2006/bibliography"/>
  </ds:schemaRefs>
</ds:datastoreItem>
</file>

<file path=customXml/itemProps85.xml><?xml version="1.0" encoding="utf-8"?>
<ds:datastoreItem xmlns:ds="http://schemas.openxmlformats.org/officeDocument/2006/customXml" ds:itemID="{BA089A9A-003B-40D5-9B13-5BFEEC1D991D}">
  <ds:schemaRefs>
    <ds:schemaRef ds:uri="http://schemas.openxmlformats.org/officeDocument/2006/bibliography"/>
  </ds:schemaRefs>
</ds:datastoreItem>
</file>

<file path=customXml/itemProps86.xml><?xml version="1.0" encoding="utf-8"?>
<ds:datastoreItem xmlns:ds="http://schemas.openxmlformats.org/officeDocument/2006/customXml" ds:itemID="{67640181-8C61-4207-B892-4E039A40A148}">
  <ds:schemaRefs>
    <ds:schemaRef ds:uri="http://schemas.openxmlformats.org/officeDocument/2006/bibliography"/>
  </ds:schemaRefs>
</ds:datastoreItem>
</file>

<file path=customXml/itemProps87.xml><?xml version="1.0" encoding="utf-8"?>
<ds:datastoreItem xmlns:ds="http://schemas.openxmlformats.org/officeDocument/2006/customXml" ds:itemID="{C5B53651-36E6-45FC-B5E2-DDEAE738E0FB}">
  <ds:schemaRefs>
    <ds:schemaRef ds:uri="http://schemas.openxmlformats.org/officeDocument/2006/bibliography"/>
  </ds:schemaRefs>
</ds:datastoreItem>
</file>

<file path=customXml/itemProps88.xml><?xml version="1.0" encoding="utf-8"?>
<ds:datastoreItem xmlns:ds="http://schemas.openxmlformats.org/officeDocument/2006/customXml" ds:itemID="{F2112AAA-95C3-4D08-8067-CD9A6E8A3D70}">
  <ds:schemaRefs>
    <ds:schemaRef ds:uri="http://schemas.openxmlformats.org/officeDocument/2006/bibliography"/>
  </ds:schemaRefs>
</ds:datastoreItem>
</file>

<file path=customXml/itemProps89.xml><?xml version="1.0" encoding="utf-8"?>
<ds:datastoreItem xmlns:ds="http://schemas.openxmlformats.org/officeDocument/2006/customXml" ds:itemID="{E5AFE35D-BACF-488A-BBB4-BE704377DE32}">
  <ds:schemaRefs>
    <ds:schemaRef ds:uri="http://schemas.openxmlformats.org/officeDocument/2006/bibliography"/>
  </ds:schemaRefs>
</ds:datastoreItem>
</file>

<file path=customXml/itemProps9.xml><?xml version="1.0" encoding="utf-8"?>
<ds:datastoreItem xmlns:ds="http://schemas.openxmlformats.org/officeDocument/2006/customXml" ds:itemID="{67E21BC0-E2D6-4D96-B863-25D6B43C218C}">
  <ds:schemaRefs>
    <ds:schemaRef ds:uri="http://schemas.openxmlformats.org/officeDocument/2006/bibliography"/>
  </ds:schemaRefs>
</ds:datastoreItem>
</file>

<file path=customXml/itemProps90.xml><?xml version="1.0" encoding="utf-8"?>
<ds:datastoreItem xmlns:ds="http://schemas.openxmlformats.org/officeDocument/2006/customXml" ds:itemID="{CE78D60E-E502-4A51-8B15-DFD8280F650B}">
  <ds:schemaRefs>
    <ds:schemaRef ds:uri="http://schemas.openxmlformats.org/officeDocument/2006/bibliography"/>
  </ds:schemaRefs>
</ds:datastoreItem>
</file>

<file path=customXml/itemProps91.xml><?xml version="1.0" encoding="utf-8"?>
<ds:datastoreItem xmlns:ds="http://schemas.openxmlformats.org/officeDocument/2006/customXml" ds:itemID="{3A9E339E-22D1-41C5-AB01-D342B693031C}">
  <ds:schemaRefs>
    <ds:schemaRef ds:uri="http://schemas.openxmlformats.org/officeDocument/2006/bibliography"/>
  </ds:schemaRefs>
</ds:datastoreItem>
</file>

<file path=customXml/itemProps92.xml><?xml version="1.0" encoding="utf-8"?>
<ds:datastoreItem xmlns:ds="http://schemas.openxmlformats.org/officeDocument/2006/customXml" ds:itemID="{4C5A35DF-1CE6-4538-AA2F-B4AF94C57935}">
  <ds:schemaRefs>
    <ds:schemaRef ds:uri="http://schemas.openxmlformats.org/officeDocument/2006/bibliography"/>
  </ds:schemaRefs>
</ds:datastoreItem>
</file>

<file path=customXml/itemProps93.xml><?xml version="1.0" encoding="utf-8"?>
<ds:datastoreItem xmlns:ds="http://schemas.openxmlformats.org/officeDocument/2006/customXml" ds:itemID="{F53B745F-EB2D-4019-9FAC-38B0F7901E75}">
  <ds:schemaRefs>
    <ds:schemaRef ds:uri="http://schemas.openxmlformats.org/officeDocument/2006/bibliography"/>
  </ds:schemaRefs>
</ds:datastoreItem>
</file>

<file path=customXml/itemProps94.xml><?xml version="1.0" encoding="utf-8"?>
<ds:datastoreItem xmlns:ds="http://schemas.openxmlformats.org/officeDocument/2006/customXml" ds:itemID="{2A1C5778-05BE-4DBC-BDC7-206017E242CF}">
  <ds:schemaRefs>
    <ds:schemaRef ds:uri="http://schemas.openxmlformats.org/officeDocument/2006/bibliography"/>
  </ds:schemaRefs>
</ds:datastoreItem>
</file>

<file path=customXml/itemProps95.xml><?xml version="1.0" encoding="utf-8"?>
<ds:datastoreItem xmlns:ds="http://schemas.openxmlformats.org/officeDocument/2006/customXml" ds:itemID="{841EE5F0-1F7B-4CF9-BC12-E41E9EB14077}">
  <ds:schemaRefs>
    <ds:schemaRef ds:uri="http://schemas.microsoft.com/sharepoint/v3/contenttype/forms"/>
  </ds:schemaRefs>
</ds:datastoreItem>
</file>

<file path=customXml/itemProps96.xml><?xml version="1.0" encoding="utf-8"?>
<ds:datastoreItem xmlns:ds="http://schemas.openxmlformats.org/officeDocument/2006/customXml" ds:itemID="{8E19799B-F8C4-49F2-AA06-5893BF113A53}">
  <ds:schemaRefs>
    <ds:schemaRef ds:uri="http://schemas.openxmlformats.org/officeDocument/2006/bibliography"/>
  </ds:schemaRefs>
</ds:datastoreItem>
</file>

<file path=customXml/itemProps97.xml><?xml version="1.0" encoding="utf-8"?>
<ds:datastoreItem xmlns:ds="http://schemas.openxmlformats.org/officeDocument/2006/customXml" ds:itemID="{86C9FE76-D2C0-4726-AF14-4238E18D2F34}">
  <ds:schemaRefs>
    <ds:schemaRef ds:uri="http://schemas.openxmlformats.org/officeDocument/2006/bibliography"/>
  </ds:schemaRefs>
</ds:datastoreItem>
</file>

<file path=customXml/itemProps98.xml><?xml version="1.0" encoding="utf-8"?>
<ds:datastoreItem xmlns:ds="http://schemas.openxmlformats.org/officeDocument/2006/customXml" ds:itemID="{62E410B6-258E-41C1-9347-23BC0EA564B7}">
  <ds:schemaRefs>
    <ds:schemaRef ds:uri="http://schemas.openxmlformats.org/officeDocument/2006/bibliography"/>
  </ds:schemaRefs>
</ds:datastoreItem>
</file>

<file path=customXml/itemProps99.xml><?xml version="1.0" encoding="utf-8"?>
<ds:datastoreItem xmlns:ds="http://schemas.openxmlformats.org/officeDocument/2006/customXml" ds:itemID="{E3D30C88-2809-4BA1-91F5-194AD88B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40606</Words>
  <Characters>296434</Characters>
  <Application>Microsoft Office Word</Application>
  <DocSecurity>0</DocSecurity>
  <Lines>2470</Lines>
  <Paragraphs>672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336368</CharactersWithSpaces>
  <SharedDoc>false</SharedDoc>
  <HLinks>
    <vt:vector size="1266" baseType="variant">
      <vt:variant>
        <vt:i4>3342461</vt:i4>
      </vt:variant>
      <vt:variant>
        <vt:i4>1287</vt:i4>
      </vt:variant>
      <vt:variant>
        <vt:i4>0</vt:i4>
      </vt:variant>
      <vt:variant>
        <vt:i4>5</vt:i4>
      </vt:variant>
      <vt:variant>
        <vt:lpwstr>http://www.dvgw-sc.de/index.php?id=1591</vt:lpwstr>
      </vt:variant>
      <vt:variant>
        <vt:lpwstr/>
      </vt:variant>
      <vt:variant>
        <vt:i4>720920</vt:i4>
      </vt:variant>
      <vt:variant>
        <vt:i4>1272</vt:i4>
      </vt:variant>
      <vt:variant>
        <vt:i4>0</vt:i4>
      </vt:variant>
      <vt:variant>
        <vt:i4>5</vt:i4>
      </vt:variant>
      <vt:variant>
        <vt:lpwstr>http://www.edi-energy.de/</vt:lpwstr>
      </vt:variant>
      <vt:variant>
        <vt:lpwstr/>
      </vt:variant>
      <vt:variant>
        <vt:i4>3342461</vt:i4>
      </vt:variant>
      <vt:variant>
        <vt:i4>1269</vt:i4>
      </vt:variant>
      <vt:variant>
        <vt:i4>0</vt:i4>
      </vt:variant>
      <vt:variant>
        <vt:i4>5</vt:i4>
      </vt:variant>
      <vt:variant>
        <vt:lpwstr>http://www.dvgw-sc.de/index.php?id=1591</vt:lpwstr>
      </vt:variant>
      <vt:variant>
        <vt:lpwstr/>
      </vt:variant>
      <vt:variant>
        <vt:i4>720920</vt:i4>
      </vt:variant>
      <vt:variant>
        <vt:i4>1266</vt:i4>
      </vt:variant>
      <vt:variant>
        <vt:i4>0</vt:i4>
      </vt:variant>
      <vt:variant>
        <vt:i4>5</vt:i4>
      </vt:variant>
      <vt:variant>
        <vt:lpwstr>http://www.edi-energy.de/</vt:lpwstr>
      </vt:variant>
      <vt:variant>
        <vt:lpwstr/>
      </vt:variant>
      <vt:variant>
        <vt:i4>1769527</vt:i4>
      </vt:variant>
      <vt:variant>
        <vt:i4>1241</vt:i4>
      </vt:variant>
      <vt:variant>
        <vt:i4>0</vt:i4>
      </vt:variant>
      <vt:variant>
        <vt:i4>5</vt:i4>
      </vt:variant>
      <vt:variant>
        <vt:lpwstr/>
      </vt:variant>
      <vt:variant>
        <vt:lpwstr>_Toc111118640</vt:lpwstr>
      </vt:variant>
      <vt:variant>
        <vt:i4>1835063</vt:i4>
      </vt:variant>
      <vt:variant>
        <vt:i4>1235</vt:i4>
      </vt:variant>
      <vt:variant>
        <vt:i4>0</vt:i4>
      </vt:variant>
      <vt:variant>
        <vt:i4>5</vt:i4>
      </vt:variant>
      <vt:variant>
        <vt:lpwstr/>
      </vt:variant>
      <vt:variant>
        <vt:lpwstr>_Toc111118639</vt:lpwstr>
      </vt:variant>
      <vt:variant>
        <vt:i4>1835063</vt:i4>
      </vt:variant>
      <vt:variant>
        <vt:i4>1229</vt:i4>
      </vt:variant>
      <vt:variant>
        <vt:i4>0</vt:i4>
      </vt:variant>
      <vt:variant>
        <vt:i4>5</vt:i4>
      </vt:variant>
      <vt:variant>
        <vt:lpwstr/>
      </vt:variant>
      <vt:variant>
        <vt:lpwstr>_Toc111118638</vt:lpwstr>
      </vt:variant>
      <vt:variant>
        <vt:i4>1835063</vt:i4>
      </vt:variant>
      <vt:variant>
        <vt:i4>1223</vt:i4>
      </vt:variant>
      <vt:variant>
        <vt:i4>0</vt:i4>
      </vt:variant>
      <vt:variant>
        <vt:i4>5</vt:i4>
      </vt:variant>
      <vt:variant>
        <vt:lpwstr/>
      </vt:variant>
      <vt:variant>
        <vt:lpwstr>_Toc111118637</vt:lpwstr>
      </vt:variant>
      <vt:variant>
        <vt:i4>1835063</vt:i4>
      </vt:variant>
      <vt:variant>
        <vt:i4>1217</vt:i4>
      </vt:variant>
      <vt:variant>
        <vt:i4>0</vt:i4>
      </vt:variant>
      <vt:variant>
        <vt:i4>5</vt:i4>
      </vt:variant>
      <vt:variant>
        <vt:lpwstr/>
      </vt:variant>
      <vt:variant>
        <vt:lpwstr>_Toc111118636</vt:lpwstr>
      </vt:variant>
      <vt:variant>
        <vt:i4>1835063</vt:i4>
      </vt:variant>
      <vt:variant>
        <vt:i4>1211</vt:i4>
      </vt:variant>
      <vt:variant>
        <vt:i4>0</vt:i4>
      </vt:variant>
      <vt:variant>
        <vt:i4>5</vt:i4>
      </vt:variant>
      <vt:variant>
        <vt:lpwstr/>
      </vt:variant>
      <vt:variant>
        <vt:lpwstr>_Toc111118635</vt:lpwstr>
      </vt:variant>
      <vt:variant>
        <vt:i4>1835063</vt:i4>
      </vt:variant>
      <vt:variant>
        <vt:i4>1205</vt:i4>
      </vt:variant>
      <vt:variant>
        <vt:i4>0</vt:i4>
      </vt:variant>
      <vt:variant>
        <vt:i4>5</vt:i4>
      </vt:variant>
      <vt:variant>
        <vt:lpwstr/>
      </vt:variant>
      <vt:variant>
        <vt:lpwstr>_Toc111118634</vt:lpwstr>
      </vt:variant>
      <vt:variant>
        <vt:i4>1835063</vt:i4>
      </vt:variant>
      <vt:variant>
        <vt:i4>1199</vt:i4>
      </vt:variant>
      <vt:variant>
        <vt:i4>0</vt:i4>
      </vt:variant>
      <vt:variant>
        <vt:i4>5</vt:i4>
      </vt:variant>
      <vt:variant>
        <vt:lpwstr/>
      </vt:variant>
      <vt:variant>
        <vt:lpwstr>_Toc111118633</vt:lpwstr>
      </vt:variant>
      <vt:variant>
        <vt:i4>1835063</vt:i4>
      </vt:variant>
      <vt:variant>
        <vt:i4>1193</vt:i4>
      </vt:variant>
      <vt:variant>
        <vt:i4>0</vt:i4>
      </vt:variant>
      <vt:variant>
        <vt:i4>5</vt:i4>
      </vt:variant>
      <vt:variant>
        <vt:lpwstr/>
      </vt:variant>
      <vt:variant>
        <vt:lpwstr>_Toc111118632</vt:lpwstr>
      </vt:variant>
      <vt:variant>
        <vt:i4>1835063</vt:i4>
      </vt:variant>
      <vt:variant>
        <vt:i4>1187</vt:i4>
      </vt:variant>
      <vt:variant>
        <vt:i4>0</vt:i4>
      </vt:variant>
      <vt:variant>
        <vt:i4>5</vt:i4>
      </vt:variant>
      <vt:variant>
        <vt:lpwstr/>
      </vt:variant>
      <vt:variant>
        <vt:lpwstr>_Toc111118631</vt:lpwstr>
      </vt:variant>
      <vt:variant>
        <vt:i4>1835063</vt:i4>
      </vt:variant>
      <vt:variant>
        <vt:i4>1181</vt:i4>
      </vt:variant>
      <vt:variant>
        <vt:i4>0</vt:i4>
      </vt:variant>
      <vt:variant>
        <vt:i4>5</vt:i4>
      </vt:variant>
      <vt:variant>
        <vt:lpwstr/>
      </vt:variant>
      <vt:variant>
        <vt:lpwstr>_Toc111118630</vt:lpwstr>
      </vt:variant>
      <vt:variant>
        <vt:i4>1900599</vt:i4>
      </vt:variant>
      <vt:variant>
        <vt:i4>1175</vt:i4>
      </vt:variant>
      <vt:variant>
        <vt:i4>0</vt:i4>
      </vt:variant>
      <vt:variant>
        <vt:i4>5</vt:i4>
      </vt:variant>
      <vt:variant>
        <vt:lpwstr/>
      </vt:variant>
      <vt:variant>
        <vt:lpwstr>_Toc111118629</vt:lpwstr>
      </vt:variant>
      <vt:variant>
        <vt:i4>1900599</vt:i4>
      </vt:variant>
      <vt:variant>
        <vt:i4>1169</vt:i4>
      </vt:variant>
      <vt:variant>
        <vt:i4>0</vt:i4>
      </vt:variant>
      <vt:variant>
        <vt:i4>5</vt:i4>
      </vt:variant>
      <vt:variant>
        <vt:lpwstr/>
      </vt:variant>
      <vt:variant>
        <vt:lpwstr>_Toc111118628</vt:lpwstr>
      </vt:variant>
      <vt:variant>
        <vt:i4>1900599</vt:i4>
      </vt:variant>
      <vt:variant>
        <vt:i4>1163</vt:i4>
      </vt:variant>
      <vt:variant>
        <vt:i4>0</vt:i4>
      </vt:variant>
      <vt:variant>
        <vt:i4>5</vt:i4>
      </vt:variant>
      <vt:variant>
        <vt:lpwstr/>
      </vt:variant>
      <vt:variant>
        <vt:lpwstr>_Toc111118627</vt:lpwstr>
      </vt:variant>
      <vt:variant>
        <vt:i4>1900599</vt:i4>
      </vt:variant>
      <vt:variant>
        <vt:i4>1157</vt:i4>
      </vt:variant>
      <vt:variant>
        <vt:i4>0</vt:i4>
      </vt:variant>
      <vt:variant>
        <vt:i4>5</vt:i4>
      </vt:variant>
      <vt:variant>
        <vt:lpwstr/>
      </vt:variant>
      <vt:variant>
        <vt:lpwstr>_Toc111118626</vt:lpwstr>
      </vt:variant>
      <vt:variant>
        <vt:i4>1900599</vt:i4>
      </vt:variant>
      <vt:variant>
        <vt:i4>1151</vt:i4>
      </vt:variant>
      <vt:variant>
        <vt:i4>0</vt:i4>
      </vt:variant>
      <vt:variant>
        <vt:i4>5</vt:i4>
      </vt:variant>
      <vt:variant>
        <vt:lpwstr/>
      </vt:variant>
      <vt:variant>
        <vt:lpwstr>_Toc111118625</vt:lpwstr>
      </vt:variant>
      <vt:variant>
        <vt:i4>1900599</vt:i4>
      </vt:variant>
      <vt:variant>
        <vt:i4>1145</vt:i4>
      </vt:variant>
      <vt:variant>
        <vt:i4>0</vt:i4>
      </vt:variant>
      <vt:variant>
        <vt:i4>5</vt:i4>
      </vt:variant>
      <vt:variant>
        <vt:lpwstr/>
      </vt:variant>
      <vt:variant>
        <vt:lpwstr>_Toc111118624</vt:lpwstr>
      </vt:variant>
      <vt:variant>
        <vt:i4>1900599</vt:i4>
      </vt:variant>
      <vt:variant>
        <vt:i4>1139</vt:i4>
      </vt:variant>
      <vt:variant>
        <vt:i4>0</vt:i4>
      </vt:variant>
      <vt:variant>
        <vt:i4>5</vt:i4>
      </vt:variant>
      <vt:variant>
        <vt:lpwstr/>
      </vt:variant>
      <vt:variant>
        <vt:lpwstr>_Toc111118623</vt:lpwstr>
      </vt:variant>
      <vt:variant>
        <vt:i4>1900599</vt:i4>
      </vt:variant>
      <vt:variant>
        <vt:i4>1133</vt:i4>
      </vt:variant>
      <vt:variant>
        <vt:i4>0</vt:i4>
      </vt:variant>
      <vt:variant>
        <vt:i4>5</vt:i4>
      </vt:variant>
      <vt:variant>
        <vt:lpwstr/>
      </vt:variant>
      <vt:variant>
        <vt:lpwstr>_Toc111118622</vt:lpwstr>
      </vt:variant>
      <vt:variant>
        <vt:i4>1900599</vt:i4>
      </vt:variant>
      <vt:variant>
        <vt:i4>1127</vt:i4>
      </vt:variant>
      <vt:variant>
        <vt:i4>0</vt:i4>
      </vt:variant>
      <vt:variant>
        <vt:i4>5</vt:i4>
      </vt:variant>
      <vt:variant>
        <vt:lpwstr/>
      </vt:variant>
      <vt:variant>
        <vt:lpwstr>_Toc111118621</vt:lpwstr>
      </vt:variant>
      <vt:variant>
        <vt:i4>1900599</vt:i4>
      </vt:variant>
      <vt:variant>
        <vt:i4>1121</vt:i4>
      </vt:variant>
      <vt:variant>
        <vt:i4>0</vt:i4>
      </vt:variant>
      <vt:variant>
        <vt:i4>5</vt:i4>
      </vt:variant>
      <vt:variant>
        <vt:lpwstr/>
      </vt:variant>
      <vt:variant>
        <vt:lpwstr>_Toc111118620</vt:lpwstr>
      </vt:variant>
      <vt:variant>
        <vt:i4>1966135</vt:i4>
      </vt:variant>
      <vt:variant>
        <vt:i4>1115</vt:i4>
      </vt:variant>
      <vt:variant>
        <vt:i4>0</vt:i4>
      </vt:variant>
      <vt:variant>
        <vt:i4>5</vt:i4>
      </vt:variant>
      <vt:variant>
        <vt:lpwstr/>
      </vt:variant>
      <vt:variant>
        <vt:lpwstr>_Toc111118619</vt:lpwstr>
      </vt:variant>
      <vt:variant>
        <vt:i4>1966135</vt:i4>
      </vt:variant>
      <vt:variant>
        <vt:i4>1109</vt:i4>
      </vt:variant>
      <vt:variant>
        <vt:i4>0</vt:i4>
      </vt:variant>
      <vt:variant>
        <vt:i4>5</vt:i4>
      </vt:variant>
      <vt:variant>
        <vt:lpwstr/>
      </vt:variant>
      <vt:variant>
        <vt:lpwstr>_Toc111118618</vt:lpwstr>
      </vt:variant>
      <vt:variant>
        <vt:i4>1966135</vt:i4>
      </vt:variant>
      <vt:variant>
        <vt:i4>1103</vt:i4>
      </vt:variant>
      <vt:variant>
        <vt:i4>0</vt:i4>
      </vt:variant>
      <vt:variant>
        <vt:i4>5</vt:i4>
      </vt:variant>
      <vt:variant>
        <vt:lpwstr/>
      </vt:variant>
      <vt:variant>
        <vt:lpwstr>_Toc111118617</vt:lpwstr>
      </vt:variant>
      <vt:variant>
        <vt:i4>1966135</vt:i4>
      </vt:variant>
      <vt:variant>
        <vt:i4>1097</vt:i4>
      </vt:variant>
      <vt:variant>
        <vt:i4>0</vt:i4>
      </vt:variant>
      <vt:variant>
        <vt:i4>5</vt:i4>
      </vt:variant>
      <vt:variant>
        <vt:lpwstr/>
      </vt:variant>
      <vt:variant>
        <vt:lpwstr>_Toc111118616</vt:lpwstr>
      </vt:variant>
      <vt:variant>
        <vt:i4>1966135</vt:i4>
      </vt:variant>
      <vt:variant>
        <vt:i4>1091</vt:i4>
      </vt:variant>
      <vt:variant>
        <vt:i4>0</vt:i4>
      </vt:variant>
      <vt:variant>
        <vt:i4>5</vt:i4>
      </vt:variant>
      <vt:variant>
        <vt:lpwstr/>
      </vt:variant>
      <vt:variant>
        <vt:lpwstr>_Toc111118615</vt:lpwstr>
      </vt:variant>
      <vt:variant>
        <vt:i4>1966135</vt:i4>
      </vt:variant>
      <vt:variant>
        <vt:i4>1085</vt:i4>
      </vt:variant>
      <vt:variant>
        <vt:i4>0</vt:i4>
      </vt:variant>
      <vt:variant>
        <vt:i4>5</vt:i4>
      </vt:variant>
      <vt:variant>
        <vt:lpwstr/>
      </vt:variant>
      <vt:variant>
        <vt:lpwstr>_Toc111118614</vt:lpwstr>
      </vt:variant>
      <vt:variant>
        <vt:i4>1966135</vt:i4>
      </vt:variant>
      <vt:variant>
        <vt:i4>1079</vt:i4>
      </vt:variant>
      <vt:variant>
        <vt:i4>0</vt:i4>
      </vt:variant>
      <vt:variant>
        <vt:i4>5</vt:i4>
      </vt:variant>
      <vt:variant>
        <vt:lpwstr/>
      </vt:variant>
      <vt:variant>
        <vt:lpwstr>_Toc111118613</vt:lpwstr>
      </vt:variant>
      <vt:variant>
        <vt:i4>1966135</vt:i4>
      </vt:variant>
      <vt:variant>
        <vt:i4>1073</vt:i4>
      </vt:variant>
      <vt:variant>
        <vt:i4>0</vt:i4>
      </vt:variant>
      <vt:variant>
        <vt:i4>5</vt:i4>
      </vt:variant>
      <vt:variant>
        <vt:lpwstr/>
      </vt:variant>
      <vt:variant>
        <vt:lpwstr>_Toc111118612</vt:lpwstr>
      </vt:variant>
      <vt:variant>
        <vt:i4>1966135</vt:i4>
      </vt:variant>
      <vt:variant>
        <vt:i4>1067</vt:i4>
      </vt:variant>
      <vt:variant>
        <vt:i4>0</vt:i4>
      </vt:variant>
      <vt:variant>
        <vt:i4>5</vt:i4>
      </vt:variant>
      <vt:variant>
        <vt:lpwstr/>
      </vt:variant>
      <vt:variant>
        <vt:lpwstr>_Toc111118611</vt:lpwstr>
      </vt:variant>
      <vt:variant>
        <vt:i4>1966135</vt:i4>
      </vt:variant>
      <vt:variant>
        <vt:i4>1061</vt:i4>
      </vt:variant>
      <vt:variant>
        <vt:i4>0</vt:i4>
      </vt:variant>
      <vt:variant>
        <vt:i4>5</vt:i4>
      </vt:variant>
      <vt:variant>
        <vt:lpwstr/>
      </vt:variant>
      <vt:variant>
        <vt:lpwstr>_Toc111118610</vt:lpwstr>
      </vt:variant>
      <vt:variant>
        <vt:i4>2031671</vt:i4>
      </vt:variant>
      <vt:variant>
        <vt:i4>1055</vt:i4>
      </vt:variant>
      <vt:variant>
        <vt:i4>0</vt:i4>
      </vt:variant>
      <vt:variant>
        <vt:i4>5</vt:i4>
      </vt:variant>
      <vt:variant>
        <vt:lpwstr/>
      </vt:variant>
      <vt:variant>
        <vt:lpwstr>_Toc111118609</vt:lpwstr>
      </vt:variant>
      <vt:variant>
        <vt:i4>2031671</vt:i4>
      </vt:variant>
      <vt:variant>
        <vt:i4>1049</vt:i4>
      </vt:variant>
      <vt:variant>
        <vt:i4>0</vt:i4>
      </vt:variant>
      <vt:variant>
        <vt:i4>5</vt:i4>
      </vt:variant>
      <vt:variant>
        <vt:lpwstr/>
      </vt:variant>
      <vt:variant>
        <vt:lpwstr>_Toc111118608</vt:lpwstr>
      </vt:variant>
      <vt:variant>
        <vt:i4>2031671</vt:i4>
      </vt:variant>
      <vt:variant>
        <vt:i4>1043</vt:i4>
      </vt:variant>
      <vt:variant>
        <vt:i4>0</vt:i4>
      </vt:variant>
      <vt:variant>
        <vt:i4>5</vt:i4>
      </vt:variant>
      <vt:variant>
        <vt:lpwstr/>
      </vt:variant>
      <vt:variant>
        <vt:lpwstr>_Toc111118607</vt:lpwstr>
      </vt:variant>
      <vt:variant>
        <vt:i4>2031671</vt:i4>
      </vt:variant>
      <vt:variant>
        <vt:i4>1037</vt:i4>
      </vt:variant>
      <vt:variant>
        <vt:i4>0</vt:i4>
      </vt:variant>
      <vt:variant>
        <vt:i4>5</vt:i4>
      </vt:variant>
      <vt:variant>
        <vt:lpwstr/>
      </vt:variant>
      <vt:variant>
        <vt:lpwstr>_Toc111118606</vt:lpwstr>
      </vt:variant>
      <vt:variant>
        <vt:i4>2031671</vt:i4>
      </vt:variant>
      <vt:variant>
        <vt:i4>1031</vt:i4>
      </vt:variant>
      <vt:variant>
        <vt:i4>0</vt:i4>
      </vt:variant>
      <vt:variant>
        <vt:i4>5</vt:i4>
      </vt:variant>
      <vt:variant>
        <vt:lpwstr/>
      </vt:variant>
      <vt:variant>
        <vt:lpwstr>_Toc111118605</vt:lpwstr>
      </vt:variant>
      <vt:variant>
        <vt:i4>2031671</vt:i4>
      </vt:variant>
      <vt:variant>
        <vt:i4>1025</vt:i4>
      </vt:variant>
      <vt:variant>
        <vt:i4>0</vt:i4>
      </vt:variant>
      <vt:variant>
        <vt:i4>5</vt:i4>
      </vt:variant>
      <vt:variant>
        <vt:lpwstr/>
      </vt:variant>
      <vt:variant>
        <vt:lpwstr>_Toc111118604</vt:lpwstr>
      </vt:variant>
      <vt:variant>
        <vt:i4>2031671</vt:i4>
      </vt:variant>
      <vt:variant>
        <vt:i4>1019</vt:i4>
      </vt:variant>
      <vt:variant>
        <vt:i4>0</vt:i4>
      </vt:variant>
      <vt:variant>
        <vt:i4>5</vt:i4>
      </vt:variant>
      <vt:variant>
        <vt:lpwstr/>
      </vt:variant>
      <vt:variant>
        <vt:lpwstr>_Toc111118603</vt:lpwstr>
      </vt:variant>
      <vt:variant>
        <vt:i4>2031671</vt:i4>
      </vt:variant>
      <vt:variant>
        <vt:i4>1013</vt:i4>
      </vt:variant>
      <vt:variant>
        <vt:i4>0</vt:i4>
      </vt:variant>
      <vt:variant>
        <vt:i4>5</vt:i4>
      </vt:variant>
      <vt:variant>
        <vt:lpwstr/>
      </vt:variant>
      <vt:variant>
        <vt:lpwstr>_Toc111118602</vt:lpwstr>
      </vt:variant>
      <vt:variant>
        <vt:i4>2031671</vt:i4>
      </vt:variant>
      <vt:variant>
        <vt:i4>1007</vt:i4>
      </vt:variant>
      <vt:variant>
        <vt:i4>0</vt:i4>
      </vt:variant>
      <vt:variant>
        <vt:i4>5</vt:i4>
      </vt:variant>
      <vt:variant>
        <vt:lpwstr/>
      </vt:variant>
      <vt:variant>
        <vt:lpwstr>_Toc111118601</vt:lpwstr>
      </vt:variant>
      <vt:variant>
        <vt:i4>2031671</vt:i4>
      </vt:variant>
      <vt:variant>
        <vt:i4>1001</vt:i4>
      </vt:variant>
      <vt:variant>
        <vt:i4>0</vt:i4>
      </vt:variant>
      <vt:variant>
        <vt:i4>5</vt:i4>
      </vt:variant>
      <vt:variant>
        <vt:lpwstr/>
      </vt:variant>
      <vt:variant>
        <vt:lpwstr>_Toc111118600</vt:lpwstr>
      </vt:variant>
      <vt:variant>
        <vt:i4>1441844</vt:i4>
      </vt:variant>
      <vt:variant>
        <vt:i4>995</vt:i4>
      </vt:variant>
      <vt:variant>
        <vt:i4>0</vt:i4>
      </vt:variant>
      <vt:variant>
        <vt:i4>5</vt:i4>
      </vt:variant>
      <vt:variant>
        <vt:lpwstr/>
      </vt:variant>
      <vt:variant>
        <vt:lpwstr>_Toc111118599</vt:lpwstr>
      </vt:variant>
      <vt:variant>
        <vt:i4>1441844</vt:i4>
      </vt:variant>
      <vt:variant>
        <vt:i4>989</vt:i4>
      </vt:variant>
      <vt:variant>
        <vt:i4>0</vt:i4>
      </vt:variant>
      <vt:variant>
        <vt:i4>5</vt:i4>
      </vt:variant>
      <vt:variant>
        <vt:lpwstr/>
      </vt:variant>
      <vt:variant>
        <vt:lpwstr>_Toc111118598</vt:lpwstr>
      </vt:variant>
      <vt:variant>
        <vt:i4>1441844</vt:i4>
      </vt:variant>
      <vt:variant>
        <vt:i4>983</vt:i4>
      </vt:variant>
      <vt:variant>
        <vt:i4>0</vt:i4>
      </vt:variant>
      <vt:variant>
        <vt:i4>5</vt:i4>
      </vt:variant>
      <vt:variant>
        <vt:lpwstr/>
      </vt:variant>
      <vt:variant>
        <vt:lpwstr>_Toc111118597</vt:lpwstr>
      </vt:variant>
      <vt:variant>
        <vt:i4>1441844</vt:i4>
      </vt:variant>
      <vt:variant>
        <vt:i4>977</vt:i4>
      </vt:variant>
      <vt:variant>
        <vt:i4>0</vt:i4>
      </vt:variant>
      <vt:variant>
        <vt:i4>5</vt:i4>
      </vt:variant>
      <vt:variant>
        <vt:lpwstr/>
      </vt:variant>
      <vt:variant>
        <vt:lpwstr>_Toc111118596</vt:lpwstr>
      </vt:variant>
      <vt:variant>
        <vt:i4>1441844</vt:i4>
      </vt:variant>
      <vt:variant>
        <vt:i4>971</vt:i4>
      </vt:variant>
      <vt:variant>
        <vt:i4>0</vt:i4>
      </vt:variant>
      <vt:variant>
        <vt:i4>5</vt:i4>
      </vt:variant>
      <vt:variant>
        <vt:lpwstr/>
      </vt:variant>
      <vt:variant>
        <vt:lpwstr>_Toc111118595</vt:lpwstr>
      </vt:variant>
      <vt:variant>
        <vt:i4>1441844</vt:i4>
      </vt:variant>
      <vt:variant>
        <vt:i4>965</vt:i4>
      </vt:variant>
      <vt:variant>
        <vt:i4>0</vt:i4>
      </vt:variant>
      <vt:variant>
        <vt:i4>5</vt:i4>
      </vt:variant>
      <vt:variant>
        <vt:lpwstr/>
      </vt:variant>
      <vt:variant>
        <vt:lpwstr>_Toc111118594</vt:lpwstr>
      </vt:variant>
      <vt:variant>
        <vt:i4>1441844</vt:i4>
      </vt:variant>
      <vt:variant>
        <vt:i4>959</vt:i4>
      </vt:variant>
      <vt:variant>
        <vt:i4>0</vt:i4>
      </vt:variant>
      <vt:variant>
        <vt:i4>5</vt:i4>
      </vt:variant>
      <vt:variant>
        <vt:lpwstr/>
      </vt:variant>
      <vt:variant>
        <vt:lpwstr>_Toc111118593</vt:lpwstr>
      </vt:variant>
      <vt:variant>
        <vt:i4>1441844</vt:i4>
      </vt:variant>
      <vt:variant>
        <vt:i4>953</vt:i4>
      </vt:variant>
      <vt:variant>
        <vt:i4>0</vt:i4>
      </vt:variant>
      <vt:variant>
        <vt:i4>5</vt:i4>
      </vt:variant>
      <vt:variant>
        <vt:lpwstr/>
      </vt:variant>
      <vt:variant>
        <vt:lpwstr>_Toc111118592</vt:lpwstr>
      </vt:variant>
      <vt:variant>
        <vt:i4>1441844</vt:i4>
      </vt:variant>
      <vt:variant>
        <vt:i4>947</vt:i4>
      </vt:variant>
      <vt:variant>
        <vt:i4>0</vt:i4>
      </vt:variant>
      <vt:variant>
        <vt:i4>5</vt:i4>
      </vt:variant>
      <vt:variant>
        <vt:lpwstr/>
      </vt:variant>
      <vt:variant>
        <vt:lpwstr>_Toc111118591</vt:lpwstr>
      </vt:variant>
      <vt:variant>
        <vt:i4>1441844</vt:i4>
      </vt:variant>
      <vt:variant>
        <vt:i4>941</vt:i4>
      </vt:variant>
      <vt:variant>
        <vt:i4>0</vt:i4>
      </vt:variant>
      <vt:variant>
        <vt:i4>5</vt:i4>
      </vt:variant>
      <vt:variant>
        <vt:lpwstr/>
      </vt:variant>
      <vt:variant>
        <vt:lpwstr>_Toc111118590</vt:lpwstr>
      </vt:variant>
      <vt:variant>
        <vt:i4>1507380</vt:i4>
      </vt:variant>
      <vt:variant>
        <vt:i4>935</vt:i4>
      </vt:variant>
      <vt:variant>
        <vt:i4>0</vt:i4>
      </vt:variant>
      <vt:variant>
        <vt:i4>5</vt:i4>
      </vt:variant>
      <vt:variant>
        <vt:lpwstr/>
      </vt:variant>
      <vt:variant>
        <vt:lpwstr>_Toc111118589</vt:lpwstr>
      </vt:variant>
      <vt:variant>
        <vt:i4>1507380</vt:i4>
      </vt:variant>
      <vt:variant>
        <vt:i4>929</vt:i4>
      </vt:variant>
      <vt:variant>
        <vt:i4>0</vt:i4>
      </vt:variant>
      <vt:variant>
        <vt:i4>5</vt:i4>
      </vt:variant>
      <vt:variant>
        <vt:lpwstr/>
      </vt:variant>
      <vt:variant>
        <vt:lpwstr>_Toc111118588</vt:lpwstr>
      </vt:variant>
      <vt:variant>
        <vt:i4>1507380</vt:i4>
      </vt:variant>
      <vt:variant>
        <vt:i4>923</vt:i4>
      </vt:variant>
      <vt:variant>
        <vt:i4>0</vt:i4>
      </vt:variant>
      <vt:variant>
        <vt:i4>5</vt:i4>
      </vt:variant>
      <vt:variant>
        <vt:lpwstr/>
      </vt:variant>
      <vt:variant>
        <vt:lpwstr>_Toc111118587</vt:lpwstr>
      </vt:variant>
      <vt:variant>
        <vt:i4>1507380</vt:i4>
      </vt:variant>
      <vt:variant>
        <vt:i4>917</vt:i4>
      </vt:variant>
      <vt:variant>
        <vt:i4>0</vt:i4>
      </vt:variant>
      <vt:variant>
        <vt:i4>5</vt:i4>
      </vt:variant>
      <vt:variant>
        <vt:lpwstr/>
      </vt:variant>
      <vt:variant>
        <vt:lpwstr>_Toc111118586</vt:lpwstr>
      </vt:variant>
      <vt:variant>
        <vt:i4>1507380</vt:i4>
      </vt:variant>
      <vt:variant>
        <vt:i4>911</vt:i4>
      </vt:variant>
      <vt:variant>
        <vt:i4>0</vt:i4>
      </vt:variant>
      <vt:variant>
        <vt:i4>5</vt:i4>
      </vt:variant>
      <vt:variant>
        <vt:lpwstr/>
      </vt:variant>
      <vt:variant>
        <vt:lpwstr>_Toc111118585</vt:lpwstr>
      </vt:variant>
      <vt:variant>
        <vt:i4>1507380</vt:i4>
      </vt:variant>
      <vt:variant>
        <vt:i4>905</vt:i4>
      </vt:variant>
      <vt:variant>
        <vt:i4>0</vt:i4>
      </vt:variant>
      <vt:variant>
        <vt:i4>5</vt:i4>
      </vt:variant>
      <vt:variant>
        <vt:lpwstr/>
      </vt:variant>
      <vt:variant>
        <vt:lpwstr>_Toc111118584</vt:lpwstr>
      </vt:variant>
      <vt:variant>
        <vt:i4>1507380</vt:i4>
      </vt:variant>
      <vt:variant>
        <vt:i4>896</vt:i4>
      </vt:variant>
      <vt:variant>
        <vt:i4>0</vt:i4>
      </vt:variant>
      <vt:variant>
        <vt:i4>5</vt:i4>
      </vt:variant>
      <vt:variant>
        <vt:lpwstr/>
      </vt:variant>
      <vt:variant>
        <vt:lpwstr>_Toc111118583</vt:lpwstr>
      </vt:variant>
      <vt:variant>
        <vt:i4>1507380</vt:i4>
      </vt:variant>
      <vt:variant>
        <vt:i4>890</vt:i4>
      </vt:variant>
      <vt:variant>
        <vt:i4>0</vt:i4>
      </vt:variant>
      <vt:variant>
        <vt:i4>5</vt:i4>
      </vt:variant>
      <vt:variant>
        <vt:lpwstr/>
      </vt:variant>
      <vt:variant>
        <vt:lpwstr>_Toc111118582</vt:lpwstr>
      </vt:variant>
      <vt:variant>
        <vt:i4>1507380</vt:i4>
      </vt:variant>
      <vt:variant>
        <vt:i4>884</vt:i4>
      </vt:variant>
      <vt:variant>
        <vt:i4>0</vt:i4>
      </vt:variant>
      <vt:variant>
        <vt:i4>5</vt:i4>
      </vt:variant>
      <vt:variant>
        <vt:lpwstr/>
      </vt:variant>
      <vt:variant>
        <vt:lpwstr>_Toc111118581</vt:lpwstr>
      </vt:variant>
      <vt:variant>
        <vt:i4>1507380</vt:i4>
      </vt:variant>
      <vt:variant>
        <vt:i4>878</vt:i4>
      </vt:variant>
      <vt:variant>
        <vt:i4>0</vt:i4>
      </vt:variant>
      <vt:variant>
        <vt:i4>5</vt:i4>
      </vt:variant>
      <vt:variant>
        <vt:lpwstr/>
      </vt:variant>
      <vt:variant>
        <vt:lpwstr>_Toc111118580</vt:lpwstr>
      </vt:variant>
      <vt:variant>
        <vt:i4>1572916</vt:i4>
      </vt:variant>
      <vt:variant>
        <vt:i4>872</vt:i4>
      </vt:variant>
      <vt:variant>
        <vt:i4>0</vt:i4>
      </vt:variant>
      <vt:variant>
        <vt:i4>5</vt:i4>
      </vt:variant>
      <vt:variant>
        <vt:lpwstr/>
      </vt:variant>
      <vt:variant>
        <vt:lpwstr>_Toc111118579</vt:lpwstr>
      </vt:variant>
      <vt:variant>
        <vt:i4>1572916</vt:i4>
      </vt:variant>
      <vt:variant>
        <vt:i4>866</vt:i4>
      </vt:variant>
      <vt:variant>
        <vt:i4>0</vt:i4>
      </vt:variant>
      <vt:variant>
        <vt:i4>5</vt:i4>
      </vt:variant>
      <vt:variant>
        <vt:lpwstr/>
      </vt:variant>
      <vt:variant>
        <vt:lpwstr>_Toc111118578</vt:lpwstr>
      </vt:variant>
      <vt:variant>
        <vt:i4>1572916</vt:i4>
      </vt:variant>
      <vt:variant>
        <vt:i4>860</vt:i4>
      </vt:variant>
      <vt:variant>
        <vt:i4>0</vt:i4>
      </vt:variant>
      <vt:variant>
        <vt:i4>5</vt:i4>
      </vt:variant>
      <vt:variant>
        <vt:lpwstr/>
      </vt:variant>
      <vt:variant>
        <vt:lpwstr>_Toc111118577</vt:lpwstr>
      </vt:variant>
      <vt:variant>
        <vt:i4>1572916</vt:i4>
      </vt:variant>
      <vt:variant>
        <vt:i4>854</vt:i4>
      </vt:variant>
      <vt:variant>
        <vt:i4>0</vt:i4>
      </vt:variant>
      <vt:variant>
        <vt:i4>5</vt:i4>
      </vt:variant>
      <vt:variant>
        <vt:lpwstr/>
      </vt:variant>
      <vt:variant>
        <vt:lpwstr>_Toc111118576</vt:lpwstr>
      </vt:variant>
      <vt:variant>
        <vt:i4>1572916</vt:i4>
      </vt:variant>
      <vt:variant>
        <vt:i4>848</vt:i4>
      </vt:variant>
      <vt:variant>
        <vt:i4>0</vt:i4>
      </vt:variant>
      <vt:variant>
        <vt:i4>5</vt:i4>
      </vt:variant>
      <vt:variant>
        <vt:lpwstr/>
      </vt:variant>
      <vt:variant>
        <vt:lpwstr>_Toc111118575</vt:lpwstr>
      </vt:variant>
      <vt:variant>
        <vt:i4>1572916</vt:i4>
      </vt:variant>
      <vt:variant>
        <vt:i4>842</vt:i4>
      </vt:variant>
      <vt:variant>
        <vt:i4>0</vt:i4>
      </vt:variant>
      <vt:variant>
        <vt:i4>5</vt:i4>
      </vt:variant>
      <vt:variant>
        <vt:lpwstr/>
      </vt:variant>
      <vt:variant>
        <vt:lpwstr>_Toc111118574</vt:lpwstr>
      </vt:variant>
      <vt:variant>
        <vt:i4>1572916</vt:i4>
      </vt:variant>
      <vt:variant>
        <vt:i4>836</vt:i4>
      </vt:variant>
      <vt:variant>
        <vt:i4>0</vt:i4>
      </vt:variant>
      <vt:variant>
        <vt:i4>5</vt:i4>
      </vt:variant>
      <vt:variant>
        <vt:lpwstr/>
      </vt:variant>
      <vt:variant>
        <vt:lpwstr>_Toc111118573</vt:lpwstr>
      </vt:variant>
      <vt:variant>
        <vt:i4>1572916</vt:i4>
      </vt:variant>
      <vt:variant>
        <vt:i4>830</vt:i4>
      </vt:variant>
      <vt:variant>
        <vt:i4>0</vt:i4>
      </vt:variant>
      <vt:variant>
        <vt:i4>5</vt:i4>
      </vt:variant>
      <vt:variant>
        <vt:lpwstr/>
      </vt:variant>
      <vt:variant>
        <vt:lpwstr>_Toc111118572</vt:lpwstr>
      </vt:variant>
      <vt:variant>
        <vt:i4>1572916</vt:i4>
      </vt:variant>
      <vt:variant>
        <vt:i4>824</vt:i4>
      </vt:variant>
      <vt:variant>
        <vt:i4>0</vt:i4>
      </vt:variant>
      <vt:variant>
        <vt:i4>5</vt:i4>
      </vt:variant>
      <vt:variant>
        <vt:lpwstr/>
      </vt:variant>
      <vt:variant>
        <vt:lpwstr>_Toc111118571</vt:lpwstr>
      </vt:variant>
      <vt:variant>
        <vt:i4>1572916</vt:i4>
      </vt:variant>
      <vt:variant>
        <vt:i4>818</vt:i4>
      </vt:variant>
      <vt:variant>
        <vt:i4>0</vt:i4>
      </vt:variant>
      <vt:variant>
        <vt:i4>5</vt:i4>
      </vt:variant>
      <vt:variant>
        <vt:lpwstr/>
      </vt:variant>
      <vt:variant>
        <vt:lpwstr>_Toc111118570</vt:lpwstr>
      </vt:variant>
      <vt:variant>
        <vt:i4>1638452</vt:i4>
      </vt:variant>
      <vt:variant>
        <vt:i4>812</vt:i4>
      </vt:variant>
      <vt:variant>
        <vt:i4>0</vt:i4>
      </vt:variant>
      <vt:variant>
        <vt:i4>5</vt:i4>
      </vt:variant>
      <vt:variant>
        <vt:lpwstr/>
      </vt:variant>
      <vt:variant>
        <vt:lpwstr>_Toc111118569</vt:lpwstr>
      </vt:variant>
      <vt:variant>
        <vt:i4>1638452</vt:i4>
      </vt:variant>
      <vt:variant>
        <vt:i4>806</vt:i4>
      </vt:variant>
      <vt:variant>
        <vt:i4>0</vt:i4>
      </vt:variant>
      <vt:variant>
        <vt:i4>5</vt:i4>
      </vt:variant>
      <vt:variant>
        <vt:lpwstr/>
      </vt:variant>
      <vt:variant>
        <vt:lpwstr>_Toc111118568</vt:lpwstr>
      </vt:variant>
      <vt:variant>
        <vt:i4>1638452</vt:i4>
      </vt:variant>
      <vt:variant>
        <vt:i4>800</vt:i4>
      </vt:variant>
      <vt:variant>
        <vt:i4>0</vt:i4>
      </vt:variant>
      <vt:variant>
        <vt:i4>5</vt:i4>
      </vt:variant>
      <vt:variant>
        <vt:lpwstr/>
      </vt:variant>
      <vt:variant>
        <vt:lpwstr>_Toc111118567</vt:lpwstr>
      </vt:variant>
      <vt:variant>
        <vt:i4>1638452</vt:i4>
      </vt:variant>
      <vt:variant>
        <vt:i4>794</vt:i4>
      </vt:variant>
      <vt:variant>
        <vt:i4>0</vt:i4>
      </vt:variant>
      <vt:variant>
        <vt:i4>5</vt:i4>
      </vt:variant>
      <vt:variant>
        <vt:lpwstr/>
      </vt:variant>
      <vt:variant>
        <vt:lpwstr>_Toc111118566</vt:lpwstr>
      </vt:variant>
      <vt:variant>
        <vt:i4>1638452</vt:i4>
      </vt:variant>
      <vt:variant>
        <vt:i4>788</vt:i4>
      </vt:variant>
      <vt:variant>
        <vt:i4>0</vt:i4>
      </vt:variant>
      <vt:variant>
        <vt:i4>5</vt:i4>
      </vt:variant>
      <vt:variant>
        <vt:lpwstr/>
      </vt:variant>
      <vt:variant>
        <vt:lpwstr>_Toc111118565</vt:lpwstr>
      </vt:variant>
      <vt:variant>
        <vt:i4>1638452</vt:i4>
      </vt:variant>
      <vt:variant>
        <vt:i4>782</vt:i4>
      </vt:variant>
      <vt:variant>
        <vt:i4>0</vt:i4>
      </vt:variant>
      <vt:variant>
        <vt:i4>5</vt:i4>
      </vt:variant>
      <vt:variant>
        <vt:lpwstr/>
      </vt:variant>
      <vt:variant>
        <vt:lpwstr>_Toc111118564</vt:lpwstr>
      </vt:variant>
      <vt:variant>
        <vt:i4>1638452</vt:i4>
      </vt:variant>
      <vt:variant>
        <vt:i4>776</vt:i4>
      </vt:variant>
      <vt:variant>
        <vt:i4>0</vt:i4>
      </vt:variant>
      <vt:variant>
        <vt:i4>5</vt:i4>
      </vt:variant>
      <vt:variant>
        <vt:lpwstr/>
      </vt:variant>
      <vt:variant>
        <vt:lpwstr>_Toc111118563</vt:lpwstr>
      </vt:variant>
      <vt:variant>
        <vt:i4>1638452</vt:i4>
      </vt:variant>
      <vt:variant>
        <vt:i4>770</vt:i4>
      </vt:variant>
      <vt:variant>
        <vt:i4>0</vt:i4>
      </vt:variant>
      <vt:variant>
        <vt:i4>5</vt:i4>
      </vt:variant>
      <vt:variant>
        <vt:lpwstr/>
      </vt:variant>
      <vt:variant>
        <vt:lpwstr>_Toc111118562</vt:lpwstr>
      </vt:variant>
      <vt:variant>
        <vt:i4>1638452</vt:i4>
      </vt:variant>
      <vt:variant>
        <vt:i4>764</vt:i4>
      </vt:variant>
      <vt:variant>
        <vt:i4>0</vt:i4>
      </vt:variant>
      <vt:variant>
        <vt:i4>5</vt:i4>
      </vt:variant>
      <vt:variant>
        <vt:lpwstr/>
      </vt:variant>
      <vt:variant>
        <vt:lpwstr>_Toc111118561</vt:lpwstr>
      </vt:variant>
      <vt:variant>
        <vt:i4>1638452</vt:i4>
      </vt:variant>
      <vt:variant>
        <vt:i4>758</vt:i4>
      </vt:variant>
      <vt:variant>
        <vt:i4>0</vt:i4>
      </vt:variant>
      <vt:variant>
        <vt:i4>5</vt:i4>
      </vt:variant>
      <vt:variant>
        <vt:lpwstr/>
      </vt:variant>
      <vt:variant>
        <vt:lpwstr>_Toc111118560</vt:lpwstr>
      </vt:variant>
      <vt:variant>
        <vt:i4>1703988</vt:i4>
      </vt:variant>
      <vt:variant>
        <vt:i4>752</vt:i4>
      </vt:variant>
      <vt:variant>
        <vt:i4>0</vt:i4>
      </vt:variant>
      <vt:variant>
        <vt:i4>5</vt:i4>
      </vt:variant>
      <vt:variant>
        <vt:lpwstr/>
      </vt:variant>
      <vt:variant>
        <vt:lpwstr>_Toc111118559</vt:lpwstr>
      </vt:variant>
      <vt:variant>
        <vt:i4>1703988</vt:i4>
      </vt:variant>
      <vt:variant>
        <vt:i4>746</vt:i4>
      </vt:variant>
      <vt:variant>
        <vt:i4>0</vt:i4>
      </vt:variant>
      <vt:variant>
        <vt:i4>5</vt:i4>
      </vt:variant>
      <vt:variant>
        <vt:lpwstr/>
      </vt:variant>
      <vt:variant>
        <vt:lpwstr>_Toc111118558</vt:lpwstr>
      </vt:variant>
      <vt:variant>
        <vt:i4>1703988</vt:i4>
      </vt:variant>
      <vt:variant>
        <vt:i4>740</vt:i4>
      </vt:variant>
      <vt:variant>
        <vt:i4>0</vt:i4>
      </vt:variant>
      <vt:variant>
        <vt:i4>5</vt:i4>
      </vt:variant>
      <vt:variant>
        <vt:lpwstr/>
      </vt:variant>
      <vt:variant>
        <vt:lpwstr>_Toc111118557</vt:lpwstr>
      </vt:variant>
      <vt:variant>
        <vt:i4>1703988</vt:i4>
      </vt:variant>
      <vt:variant>
        <vt:i4>734</vt:i4>
      </vt:variant>
      <vt:variant>
        <vt:i4>0</vt:i4>
      </vt:variant>
      <vt:variant>
        <vt:i4>5</vt:i4>
      </vt:variant>
      <vt:variant>
        <vt:lpwstr/>
      </vt:variant>
      <vt:variant>
        <vt:lpwstr>_Toc111118556</vt:lpwstr>
      </vt:variant>
      <vt:variant>
        <vt:i4>1703988</vt:i4>
      </vt:variant>
      <vt:variant>
        <vt:i4>728</vt:i4>
      </vt:variant>
      <vt:variant>
        <vt:i4>0</vt:i4>
      </vt:variant>
      <vt:variant>
        <vt:i4>5</vt:i4>
      </vt:variant>
      <vt:variant>
        <vt:lpwstr/>
      </vt:variant>
      <vt:variant>
        <vt:lpwstr>_Toc111118555</vt:lpwstr>
      </vt:variant>
      <vt:variant>
        <vt:i4>1703988</vt:i4>
      </vt:variant>
      <vt:variant>
        <vt:i4>722</vt:i4>
      </vt:variant>
      <vt:variant>
        <vt:i4>0</vt:i4>
      </vt:variant>
      <vt:variant>
        <vt:i4>5</vt:i4>
      </vt:variant>
      <vt:variant>
        <vt:lpwstr/>
      </vt:variant>
      <vt:variant>
        <vt:lpwstr>_Toc111118554</vt:lpwstr>
      </vt:variant>
      <vt:variant>
        <vt:i4>1703988</vt:i4>
      </vt:variant>
      <vt:variant>
        <vt:i4>716</vt:i4>
      </vt:variant>
      <vt:variant>
        <vt:i4>0</vt:i4>
      </vt:variant>
      <vt:variant>
        <vt:i4>5</vt:i4>
      </vt:variant>
      <vt:variant>
        <vt:lpwstr/>
      </vt:variant>
      <vt:variant>
        <vt:lpwstr>_Toc111118553</vt:lpwstr>
      </vt:variant>
      <vt:variant>
        <vt:i4>1703988</vt:i4>
      </vt:variant>
      <vt:variant>
        <vt:i4>710</vt:i4>
      </vt:variant>
      <vt:variant>
        <vt:i4>0</vt:i4>
      </vt:variant>
      <vt:variant>
        <vt:i4>5</vt:i4>
      </vt:variant>
      <vt:variant>
        <vt:lpwstr/>
      </vt:variant>
      <vt:variant>
        <vt:lpwstr>_Toc111118552</vt:lpwstr>
      </vt:variant>
      <vt:variant>
        <vt:i4>1703988</vt:i4>
      </vt:variant>
      <vt:variant>
        <vt:i4>704</vt:i4>
      </vt:variant>
      <vt:variant>
        <vt:i4>0</vt:i4>
      </vt:variant>
      <vt:variant>
        <vt:i4>5</vt:i4>
      </vt:variant>
      <vt:variant>
        <vt:lpwstr/>
      </vt:variant>
      <vt:variant>
        <vt:lpwstr>_Toc111118551</vt:lpwstr>
      </vt:variant>
      <vt:variant>
        <vt:i4>1703988</vt:i4>
      </vt:variant>
      <vt:variant>
        <vt:i4>698</vt:i4>
      </vt:variant>
      <vt:variant>
        <vt:i4>0</vt:i4>
      </vt:variant>
      <vt:variant>
        <vt:i4>5</vt:i4>
      </vt:variant>
      <vt:variant>
        <vt:lpwstr/>
      </vt:variant>
      <vt:variant>
        <vt:lpwstr>_Toc111118550</vt:lpwstr>
      </vt:variant>
      <vt:variant>
        <vt:i4>1769524</vt:i4>
      </vt:variant>
      <vt:variant>
        <vt:i4>692</vt:i4>
      </vt:variant>
      <vt:variant>
        <vt:i4>0</vt:i4>
      </vt:variant>
      <vt:variant>
        <vt:i4>5</vt:i4>
      </vt:variant>
      <vt:variant>
        <vt:lpwstr/>
      </vt:variant>
      <vt:variant>
        <vt:lpwstr>_Toc111118549</vt:lpwstr>
      </vt:variant>
      <vt:variant>
        <vt:i4>1769524</vt:i4>
      </vt:variant>
      <vt:variant>
        <vt:i4>686</vt:i4>
      </vt:variant>
      <vt:variant>
        <vt:i4>0</vt:i4>
      </vt:variant>
      <vt:variant>
        <vt:i4>5</vt:i4>
      </vt:variant>
      <vt:variant>
        <vt:lpwstr/>
      </vt:variant>
      <vt:variant>
        <vt:lpwstr>_Toc111118548</vt:lpwstr>
      </vt:variant>
      <vt:variant>
        <vt:i4>1769524</vt:i4>
      </vt:variant>
      <vt:variant>
        <vt:i4>680</vt:i4>
      </vt:variant>
      <vt:variant>
        <vt:i4>0</vt:i4>
      </vt:variant>
      <vt:variant>
        <vt:i4>5</vt:i4>
      </vt:variant>
      <vt:variant>
        <vt:lpwstr/>
      </vt:variant>
      <vt:variant>
        <vt:lpwstr>_Toc111118547</vt:lpwstr>
      </vt:variant>
      <vt:variant>
        <vt:i4>1769524</vt:i4>
      </vt:variant>
      <vt:variant>
        <vt:i4>674</vt:i4>
      </vt:variant>
      <vt:variant>
        <vt:i4>0</vt:i4>
      </vt:variant>
      <vt:variant>
        <vt:i4>5</vt:i4>
      </vt:variant>
      <vt:variant>
        <vt:lpwstr/>
      </vt:variant>
      <vt:variant>
        <vt:lpwstr>_Toc111118546</vt:lpwstr>
      </vt:variant>
      <vt:variant>
        <vt:i4>1769524</vt:i4>
      </vt:variant>
      <vt:variant>
        <vt:i4>668</vt:i4>
      </vt:variant>
      <vt:variant>
        <vt:i4>0</vt:i4>
      </vt:variant>
      <vt:variant>
        <vt:i4>5</vt:i4>
      </vt:variant>
      <vt:variant>
        <vt:lpwstr/>
      </vt:variant>
      <vt:variant>
        <vt:lpwstr>_Toc111118545</vt:lpwstr>
      </vt:variant>
      <vt:variant>
        <vt:i4>1769524</vt:i4>
      </vt:variant>
      <vt:variant>
        <vt:i4>662</vt:i4>
      </vt:variant>
      <vt:variant>
        <vt:i4>0</vt:i4>
      </vt:variant>
      <vt:variant>
        <vt:i4>5</vt:i4>
      </vt:variant>
      <vt:variant>
        <vt:lpwstr/>
      </vt:variant>
      <vt:variant>
        <vt:lpwstr>_Toc111118544</vt:lpwstr>
      </vt:variant>
      <vt:variant>
        <vt:i4>1769524</vt:i4>
      </vt:variant>
      <vt:variant>
        <vt:i4>656</vt:i4>
      </vt:variant>
      <vt:variant>
        <vt:i4>0</vt:i4>
      </vt:variant>
      <vt:variant>
        <vt:i4>5</vt:i4>
      </vt:variant>
      <vt:variant>
        <vt:lpwstr/>
      </vt:variant>
      <vt:variant>
        <vt:lpwstr>_Toc111118543</vt:lpwstr>
      </vt:variant>
      <vt:variant>
        <vt:i4>1769524</vt:i4>
      </vt:variant>
      <vt:variant>
        <vt:i4>650</vt:i4>
      </vt:variant>
      <vt:variant>
        <vt:i4>0</vt:i4>
      </vt:variant>
      <vt:variant>
        <vt:i4>5</vt:i4>
      </vt:variant>
      <vt:variant>
        <vt:lpwstr/>
      </vt:variant>
      <vt:variant>
        <vt:lpwstr>_Toc111118542</vt:lpwstr>
      </vt:variant>
      <vt:variant>
        <vt:i4>1769524</vt:i4>
      </vt:variant>
      <vt:variant>
        <vt:i4>644</vt:i4>
      </vt:variant>
      <vt:variant>
        <vt:i4>0</vt:i4>
      </vt:variant>
      <vt:variant>
        <vt:i4>5</vt:i4>
      </vt:variant>
      <vt:variant>
        <vt:lpwstr/>
      </vt:variant>
      <vt:variant>
        <vt:lpwstr>_Toc111118541</vt:lpwstr>
      </vt:variant>
      <vt:variant>
        <vt:i4>1769524</vt:i4>
      </vt:variant>
      <vt:variant>
        <vt:i4>638</vt:i4>
      </vt:variant>
      <vt:variant>
        <vt:i4>0</vt:i4>
      </vt:variant>
      <vt:variant>
        <vt:i4>5</vt:i4>
      </vt:variant>
      <vt:variant>
        <vt:lpwstr/>
      </vt:variant>
      <vt:variant>
        <vt:lpwstr>_Toc111118540</vt:lpwstr>
      </vt:variant>
      <vt:variant>
        <vt:i4>1835060</vt:i4>
      </vt:variant>
      <vt:variant>
        <vt:i4>632</vt:i4>
      </vt:variant>
      <vt:variant>
        <vt:i4>0</vt:i4>
      </vt:variant>
      <vt:variant>
        <vt:i4>5</vt:i4>
      </vt:variant>
      <vt:variant>
        <vt:lpwstr/>
      </vt:variant>
      <vt:variant>
        <vt:lpwstr>_Toc111118539</vt:lpwstr>
      </vt:variant>
      <vt:variant>
        <vt:i4>1835060</vt:i4>
      </vt:variant>
      <vt:variant>
        <vt:i4>626</vt:i4>
      </vt:variant>
      <vt:variant>
        <vt:i4>0</vt:i4>
      </vt:variant>
      <vt:variant>
        <vt:i4>5</vt:i4>
      </vt:variant>
      <vt:variant>
        <vt:lpwstr/>
      </vt:variant>
      <vt:variant>
        <vt:lpwstr>_Toc111118538</vt:lpwstr>
      </vt:variant>
      <vt:variant>
        <vt:i4>1835060</vt:i4>
      </vt:variant>
      <vt:variant>
        <vt:i4>620</vt:i4>
      </vt:variant>
      <vt:variant>
        <vt:i4>0</vt:i4>
      </vt:variant>
      <vt:variant>
        <vt:i4>5</vt:i4>
      </vt:variant>
      <vt:variant>
        <vt:lpwstr/>
      </vt:variant>
      <vt:variant>
        <vt:lpwstr>_Toc111118537</vt:lpwstr>
      </vt:variant>
      <vt:variant>
        <vt:i4>1835060</vt:i4>
      </vt:variant>
      <vt:variant>
        <vt:i4>614</vt:i4>
      </vt:variant>
      <vt:variant>
        <vt:i4>0</vt:i4>
      </vt:variant>
      <vt:variant>
        <vt:i4>5</vt:i4>
      </vt:variant>
      <vt:variant>
        <vt:lpwstr/>
      </vt:variant>
      <vt:variant>
        <vt:lpwstr>_Toc111118536</vt:lpwstr>
      </vt:variant>
      <vt:variant>
        <vt:i4>1835060</vt:i4>
      </vt:variant>
      <vt:variant>
        <vt:i4>608</vt:i4>
      </vt:variant>
      <vt:variant>
        <vt:i4>0</vt:i4>
      </vt:variant>
      <vt:variant>
        <vt:i4>5</vt:i4>
      </vt:variant>
      <vt:variant>
        <vt:lpwstr/>
      </vt:variant>
      <vt:variant>
        <vt:lpwstr>_Toc111118535</vt:lpwstr>
      </vt:variant>
      <vt:variant>
        <vt:i4>1835060</vt:i4>
      </vt:variant>
      <vt:variant>
        <vt:i4>602</vt:i4>
      </vt:variant>
      <vt:variant>
        <vt:i4>0</vt:i4>
      </vt:variant>
      <vt:variant>
        <vt:i4>5</vt:i4>
      </vt:variant>
      <vt:variant>
        <vt:lpwstr/>
      </vt:variant>
      <vt:variant>
        <vt:lpwstr>_Toc111118534</vt:lpwstr>
      </vt:variant>
      <vt:variant>
        <vt:i4>1835060</vt:i4>
      </vt:variant>
      <vt:variant>
        <vt:i4>596</vt:i4>
      </vt:variant>
      <vt:variant>
        <vt:i4>0</vt:i4>
      </vt:variant>
      <vt:variant>
        <vt:i4>5</vt:i4>
      </vt:variant>
      <vt:variant>
        <vt:lpwstr/>
      </vt:variant>
      <vt:variant>
        <vt:lpwstr>_Toc111118533</vt:lpwstr>
      </vt:variant>
      <vt:variant>
        <vt:i4>1835060</vt:i4>
      </vt:variant>
      <vt:variant>
        <vt:i4>590</vt:i4>
      </vt:variant>
      <vt:variant>
        <vt:i4>0</vt:i4>
      </vt:variant>
      <vt:variant>
        <vt:i4>5</vt:i4>
      </vt:variant>
      <vt:variant>
        <vt:lpwstr/>
      </vt:variant>
      <vt:variant>
        <vt:lpwstr>_Toc111118532</vt:lpwstr>
      </vt:variant>
      <vt:variant>
        <vt:i4>1835060</vt:i4>
      </vt:variant>
      <vt:variant>
        <vt:i4>584</vt:i4>
      </vt:variant>
      <vt:variant>
        <vt:i4>0</vt:i4>
      </vt:variant>
      <vt:variant>
        <vt:i4>5</vt:i4>
      </vt:variant>
      <vt:variant>
        <vt:lpwstr/>
      </vt:variant>
      <vt:variant>
        <vt:lpwstr>_Toc111118531</vt:lpwstr>
      </vt:variant>
      <vt:variant>
        <vt:i4>1835060</vt:i4>
      </vt:variant>
      <vt:variant>
        <vt:i4>578</vt:i4>
      </vt:variant>
      <vt:variant>
        <vt:i4>0</vt:i4>
      </vt:variant>
      <vt:variant>
        <vt:i4>5</vt:i4>
      </vt:variant>
      <vt:variant>
        <vt:lpwstr/>
      </vt:variant>
      <vt:variant>
        <vt:lpwstr>_Toc111118530</vt:lpwstr>
      </vt:variant>
      <vt:variant>
        <vt:i4>1900596</vt:i4>
      </vt:variant>
      <vt:variant>
        <vt:i4>572</vt:i4>
      </vt:variant>
      <vt:variant>
        <vt:i4>0</vt:i4>
      </vt:variant>
      <vt:variant>
        <vt:i4>5</vt:i4>
      </vt:variant>
      <vt:variant>
        <vt:lpwstr/>
      </vt:variant>
      <vt:variant>
        <vt:lpwstr>_Toc111118529</vt:lpwstr>
      </vt:variant>
      <vt:variant>
        <vt:i4>1900596</vt:i4>
      </vt:variant>
      <vt:variant>
        <vt:i4>566</vt:i4>
      </vt:variant>
      <vt:variant>
        <vt:i4>0</vt:i4>
      </vt:variant>
      <vt:variant>
        <vt:i4>5</vt:i4>
      </vt:variant>
      <vt:variant>
        <vt:lpwstr/>
      </vt:variant>
      <vt:variant>
        <vt:lpwstr>_Toc111118528</vt:lpwstr>
      </vt:variant>
      <vt:variant>
        <vt:i4>1900596</vt:i4>
      </vt:variant>
      <vt:variant>
        <vt:i4>560</vt:i4>
      </vt:variant>
      <vt:variant>
        <vt:i4>0</vt:i4>
      </vt:variant>
      <vt:variant>
        <vt:i4>5</vt:i4>
      </vt:variant>
      <vt:variant>
        <vt:lpwstr/>
      </vt:variant>
      <vt:variant>
        <vt:lpwstr>_Toc111118527</vt:lpwstr>
      </vt:variant>
      <vt:variant>
        <vt:i4>1900596</vt:i4>
      </vt:variant>
      <vt:variant>
        <vt:i4>554</vt:i4>
      </vt:variant>
      <vt:variant>
        <vt:i4>0</vt:i4>
      </vt:variant>
      <vt:variant>
        <vt:i4>5</vt:i4>
      </vt:variant>
      <vt:variant>
        <vt:lpwstr/>
      </vt:variant>
      <vt:variant>
        <vt:lpwstr>_Toc111118526</vt:lpwstr>
      </vt:variant>
      <vt:variant>
        <vt:i4>1900596</vt:i4>
      </vt:variant>
      <vt:variant>
        <vt:i4>548</vt:i4>
      </vt:variant>
      <vt:variant>
        <vt:i4>0</vt:i4>
      </vt:variant>
      <vt:variant>
        <vt:i4>5</vt:i4>
      </vt:variant>
      <vt:variant>
        <vt:lpwstr/>
      </vt:variant>
      <vt:variant>
        <vt:lpwstr>_Toc111118525</vt:lpwstr>
      </vt:variant>
      <vt:variant>
        <vt:i4>1900596</vt:i4>
      </vt:variant>
      <vt:variant>
        <vt:i4>542</vt:i4>
      </vt:variant>
      <vt:variant>
        <vt:i4>0</vt:i4>
      </vt:variant>
      <vt:variant>
        <vt:i4>5</vt:i4>
      </vt:variant>
      <vt:variant>
        <vt:lpwstr/>
      </vt:variant>
      <vt:variant>
        <vt:lpwstr>_Toc111118524</vt:lpwstr>
      </vt:variant>
      <vt:variant>
        <vt:i4>1900596</vt:i4>
      </vt:variant>
      <vt:variant>
        <vt:i4>536</vt:i4>
      </vt:variant>
      <vt:variant>
        <vt:i4>0</vt:i4>
      </vt:variant>
      <vt:variant>
        <vt:i4>5</vt:i4>
      </vt:variant>
      <vt:variant>
        <vt:lpwstr/>
      </vt:variant>
      <vt:variant>
        <vt:lpwstr>_Toc111118523</vt:lpwstr>
      </vt:variant>
      <vt:variant>
        <vt:i4>1900596</vt:i4>
      </vt:variant>
      <vt:variant>
        <vt:i4>530</vt:i4>
      </vt:variant>
      <vt:variant>
        <vt:i4>0</vt:i4>
      </vt:variant>
      <vt:variant>
        <vt:i4>5</vt:i4>
      </vt:variant>
      <vt:variant>
        <vt:lpwstr/>
      </vt:variant>
      <vt:variant>
        <vt:lpwstr>_Toc111118522</vt:lpwstr>
      </vt:variant>
      <vt:variant>
        <vt:i4>1900596</vt:i4>
      </vt:variant>
      <vt:variant>
        <vt:i4>524</vt:i4>
      </vt:variant>
      <vt:variant>
        <vt:i4>0</vt:i4>
      </vt:variant>
      <vt:variant>
        <vt:i4>5</vt:i4>
      </vt:variant>
      <vt:variant>
        <vt:lpwstr/>
      </vt:variant>
      <vt:variant>
        <vt:lpwstr>_Toc111118521</vt:lpwstr>
      </vt:variant>
      <vt:variant>
        <vt:i4>1900596</vt:i4>
      </vt:variant>
      <vt:variant>
        <vt:i4>518</vt:i4>
      </vt:variant>
      <vt:variant>
        <vt:i4>0</vt:i4>
      </vt:variant>
      <vt:variant>
        <vt:i4>5</vt:i4>
      </vt:variant>
      <vt:variant>
        <vt:lpwstr/>
      </vt:variant>
      <vt:variant>
        <vt:lpwstr>_Toc111118520</vt:lpwstr>
      </vt:variant>
      <vt:variant>
        <vt:i4>1966132</vt:i4>
      </vt:variant>
      <vt:variant>
        <vt:i4>512</vt:i4>
      </vt:variant>
      <vt:variant>
        <vt:i4>0</vt:i4>
      </vt:variant>
      <vt:variant>
        <vt:i4>5</vt:i4>
      </vt:variant>
      <vt:variant>
        <vt:lpwstr/>
      </vt:variant>
      <vt:variant>
        <vt:lpwstr>_Toc111118519</vt:lpwstr>
      </vt:variant>
      <vt:variant>
        <vt:i4>1966132</vt:i4>
      </vt:variant>
      <vt:variant>
        <vt:i4>506</vt:i4>
      </vt:variant>
      <vt:variant>
        <vt:i4>0</vt:i4>
      </vt:variant>
      <vt:variant>
        <vt:i4>5</vt:i4>
      </vt:variant>
      <vt:variant>
        <vt:lpwstr/>
      </vt:variant>
      <vt:variant>
        <vt:lpwstr>_Toc111118518</vt:lpwstr>
      </vt:variant>
      <vt:variant>
        <vt:i4>1966132</vt:i4>
      </vt:variant>
      <vt:variant>
        <vt:i4>500</vt:i4>
      </vt:variant>
      <vt:variant>
        <vt:i4>0</vt:i4>
      </vt:variant>
      <vt:variant>
        <vt:i4>5</vt:i4>
      </vt:variant>
      <vt:variant>
        <vt:lpwstr/>
      </vt:variant>
      <vt:variant>
        <vt:lpwstr>_Toc111118517</vt:lpwstr>
      </vt:variant>
      <vt:variant>
        <vt:i4>1966132</vt:i4>
      </vt:variant>
      <vt:variant>
        <vt:i4>494</vt:i4>
      </vt:variant>
      <vt:variant>
        <vt:i4>0</vt:i4>
      </vt:variant>
      <vt:variant>
        <vt:i4>5</vt:i4>
      </vt:variant>
      <vt:variant>
        <vt:lpwstr/>
      </vt:variant>
      <vt:variant>
        <vt:lpwstr>_Toc111118516</vt:lpwstr>
      </vt:variant>
      <vt:variant>
        <vt:i4>1966132</vt:i4>
      </vt:variant>
      <vt:variant>
        <vt:i4>488</vt:i4>
      </vt:variant>
      <vt:variant>
        <vt:i4>0</vt:i4>
      </vt:variant>
      <vt:variant>
        <vt:i4>5</vt:i4>
      </vt:variant>
      <vt:variant>
        <vt:lpwstr/>
      </vt:variant>
      <vt:variant>
        <vt:lpwstr>_Toc111118515</vt:lpwstr>
      </vt:variant>
      <vt:variant>
        <vt:i4>1966132</vt:i4>
      </vt:variant>
      <vt:variant>
        <vt:i4>482</vt:i4>
      </vt:variant>
      <vt:variant>
        <vt:i4>0</vt:i4>
      </vt:variant>
      <vt:variant>
        <vt:i4>5</vt:i4>
      </vt:variant>
      <vt:variant>
        <vt:lpwstr/>
      </vt:variant>
      <vt:variant>
        <vt:lpwstr>_Toc111118514</vt:lpwstr>
      </vt:variant>
      <vt:variant>
        <vt:i4>1966132</vt:i4>
      </vt:variant>
      <vt:variant>
        <vt:i4>476</vt:i4>
      </vt:variant>
      <vt:variant>
        <vt:i4>0</vt:i4>
      </vt:variant>
      <vt:variant>
        <vt:i4>5</vt:i4>
      </vt:variant>
      <vt:variant>
        <vt:lpwstr/>
      </vt:variant>
      <vt:variant>
        <vt:lpwstr>_Toc111118513</vt:lpwstr>
      </vt:variant>
      <vt:variant>
        <vt:i4>1966132</vt:i4>
      </vt:variant>
      <vt:variant>
        <vt:i4>470</vt:i4>
      </vt:variant>
      <vt:variant>
        <vt:i4>0</vt:i4>
      </vt:variant>
      <vt:variant>
        <vt:i4>5</vt:i4>
      </vt:variant>
      <vt:variant>
        <vt:lpwstr/>
      </vt:variant>
      <vt:variant>
        <vt:lpwstr>_Toc111118512</vt:lpwstr>
      </vt:variant>
      <vt:variant>
        <vt:i4>1966132</vt:i4>
      </vt:variant>
      <vt:variant>
        <vt:i4>464</vt:i4>
      </vt:variant>
      <vt:variant>
        <vt:i4>0</vt:i4>
      </vt:variant>
      <vt:variant>
        <vt:i4>5</vt:i4>
      </vt:variant>
      <vt:variant>
        <vt:lpwstr/>
      </vt:variant>
      <vt:variant>
        <vt:lpwstr>_Toc111118511</vt:lpwstr>
      </vt:variant>
      <vt:variant>
        <vt:i4>1966132</vt:i4>
      </vt:variant>
      <vt:variant>
        <vt:i4>458</vt:i4>
      </vt:variant>
      <vt:variant>
        <vt:i4>0</vt:i4>
      </vt:variant>
      <vt:variant>
        <vt:i4>5</vt:i4>
      </vt:variant>
      <vt:variant>
        <vt:lpwstr/>
      </vt:variant>
      <vt:variant>
        <vt:lpwstr>_Toc111118510</vt:lpwstr>
      </vt:variant>
      <vt:variant>
        <vt:i4>2031668</vt:i4>
      </vt:variant>
      <vt:variant>
        <vt:i4>452</vt:i4>
      </vt:variant>
      <vt:variant>
        <vt:i4>0</vt:i4>
      </vt:variant>
      <vt:variant>
        <vt:i4>5</vt:i4>
      </vt:variant>
      <vt:variant>
        <vt:lpwstr/>
      </vt:variant>
      <vt:variant>
        <vt:lpwstr>_Toc111118509</vt:lpwstr>
      </vt:variant>
      <vt:variant>
        <vt:i4>2031668</vt:i4>
      </vt:variant>
      <vt:variant>
        <vt:i4>446</vt:i4>
      </vt:variant>
      <vt:variant>
        <vt:i4>0</vt:i4>
      </vt:variant>
      <vt:variant>
        <vt:i4>5</vt:i4>
      </vt:variant>
      <vt:variant>
        <vt:lpwstr/>
      </vt:variant>
      <vt:variant>
        <vt:lpwstr>_Toc111118508</vt:lpwstr>
      </vt:variant>
      <vt:variant>
        <vt:i4>2031668</vt:i4>
      </vt:variant>
      <vt:variant>
        <vt:i4>440</vt:i4>
      </vt:variant>
      <vt:variant>
        <vt:i4>0</vt:i4>
      </vt:variant>
      <vt:variant>
        <vt:i4>5</vt:i4>
      </vt:variant>
      <vt:variant>
        <vt:lpwstr/>
      </vt:variant>
      <vt:variant>
        <vt:lpwstr>_Toc111118507</vt:lpwstr>
      </vt:variant>
      <vt:variant>
        <vt:i4>2031668</vt:i4>
      </vt:variant>
      <vt:variant>
        <vt:i4>434</vt:i4>
      </vt:variant>
      <vt:variant>
        <vt:i4>0</vt:i4>
      </vt:variant>
      <vt:variant>
        <vt:i4>5</vt:i4>
      </vt:variant>
      <vt:variant>
        <vt:lpwstr/>
      </vt:variant>
      <vt:variant>
        <vt:lpwstr>_Toc111118506</vt:lpwstr>
      </vt:variant>
      <vt:variant>
        <vt:i4>2031668</vt:i4>
      </vt:variant>
      <vt:variant>
        <vt:i4>428</vt:i4>
      </vt:variant>
      <vt:variant>
        <vt:i4>0</vt:i4>
      </vt:variant>
      <vt:variant>
        <vt:i4>5</vt:i4>
      </vt:variant>
      <vt:variant>
        <vt:lpwstr/>
      </vt:variant>
      <vt:variant>
        <vt:lpwstr>_Toc111118505</vt:lpwstr>
      </vt:variant>
      <vt:variant>
        <vt:i4>2031668</vt:i4>
      </vt:variant>
      <vt:variant>
        <vt:i4>422</vt:i4>
      </vt:variant>
      <vt:variant>
        <vt:i4>0</vt:i4>
      </vt:variant>
      <vt:variant>
        <vt:i4>5</vt:i4>
      </vt:variant>
      <vt:variant>
        <vt:lpwstr/>
      </vt:variant>
      <vt:variant>
        <vt:lpwstr>_Toc111118504</vt:lpwstr>
      </vt:variant>
      <vt:variant>
        <vt:i4>2031668</vt:i4>
      </vt:variant>
      <vt:variant>
        <vt:i4>416</vt:i4>
      </vt:variant>
      <vt:variant>
        <vt:i4>0</vt:i4>
      </vt:variant>
      <vt:variant>
        <vt:i4>5</vt:i4>
      </vt:variant>
      <vt:variant>
        <vt:lpwstr/>
      </vt:variant>
      <vt:variant>
        <vt:lpwstr>_Toc111118503</vt:lpwstr>
      </vt:variant>
      <vt:variant>
        <vt:i4>2031668</vt:i4>
      </vt:variant>
      <vt:variant>
        <vt:i4>410</vt:i4>
      </vt:variant>
      <vt:variant>
        <vt:i4>0</vt:i4>
      </vt:variant>
      <vt:variant>
        <vt:i4>5</vt:i4>
      </vt:variant>
      <vt:variant>
        <vt:lpwstr/>
      </vt:variant>
      <vt:variant>
        <vt:lpwstr>_Toc111118502</vt:lpwstr>
      </vt:variant>
      <vt:variant>
        <vt:i4>2031668</vt:i4>
      </vt:variant>
      <vt:variant>
        <vt:i4>404</vt:i4>
      </vt:variant>
      <vt:variant>
        <vt:i4>0</vt:i4>
      </vt:variant>
      <vt:variant>
        <vt:i4>5</vt:i4>
      </vt:variant>
      <vt:variant>
        <vt:lpwstr/>
      </vt:variant>
      <vt:variant>
        <vt:lpwstr>_Toc111118501</vt:lpwstr>
      </vt:variant>
      <vt:variant>
        <vt:i4>2031668</vt:i4>
      </vt:variant>
      <vt:variant>
        <vt:i4>398</vt:i4>
      </vt:variant>
      <vt:variant>
        <vt:i4>0</vt:i4>
      </vt:variant>
      <vt:variant>
        <vt:i4>5</vt:i4>
      </vt:variant>
      <vt:variant>
        <vt:lpwstr/>
      </vt:variant>
      <vt:variant>
        <vt:lpwstr>_Toc111118500</vt:lpwstr>
      </vt:variant>
      <vt:variant>
        <vt:i4>1441845</vt:i4>
      </vt:variant>
      <vt:variant>
        <vt:i4>392</vt:i4>
      </vt:variant>
      <vt:variant>
        <vt:i4>0</vt:i4>
      </vt:variant>
      <vt:variant>
        <vt:i4>5</vt:i4>
      </vt:variant>
      <vt:variant>
        <vt:lpwstr/>
      </vt:variant>
      <vt:variant>
        <vt:lpwstr>_Toc111118499</vt:lpwstr>
      </vt:variant>
      <vt:variant>
        <vt:i4>1441845</vt:i4>
      </vt:variant>
      <vt:variant>
        <vt:i4>386</vt:i4>
      </vt:variant>
      <vt:variant>
        <vt:i4>0</vt:i4>
      </vt:variant>
      <vt:variant>
        <vt:i4>5</vt:i4>
      </vt:variant>
      <vt:variant>
        <vt:lpwstr/>
      </vt:variant>
      <vt:variant>
        <vt:lpwstr>_Toc111118498</vt:lpwstr>
      </vt:variant>
      <vt:variant>
        <vt:i4>1441845</vt:i4>
      </vt:variant>
      <vt:variant>
        <vt:i4>380</vt:i4>
      </vt:variant>
      <vt:variant>
        <vt:i4>0</vt:i4>
      </vt:variant>
      <vt:variant>
        <vt:i4>5</vt:i4>
      </vt:variant>
      <vt:variant>
        <vt:lpwstr/>
      </vt:variant>
      <vt:variant>
        <vt:lpwstr>_Toc111118497</vt:lpwstr>
      </vt:variant>
      <vt:variant>
        <vt:i4>1441845</vt:i4>
      </vt:variant>
      <vt:variant>
        <vt:i4>374</vt:i4>
      </vt:variant>
      <vt:variant>
        <vt:i4>0</vt:i4>
      </vt:variant>
      <vt:variant>
        <vt:i4>5</vt:i4>
      </vt:variant>
      <vt:variant>
        <vt:lpwstr/>
      </vt:variant>
      <vt:variant>
        <vt:lpwstr>_Toc111118496</vt:lpwstr>
      </vt:variant>
      <vt:variant>
        <vt:i4>1441845</vt:i4>
      </vt:variant>
      <vt:variant>
        <vt:i4>368</vt:i4>
      </vt:variant>
      <vt:variant>
        <vt:i4>0</vt:i4>
      </vt:variant>
      <vt:variant>
        <vt:i4>5</vt:i4>
      </vt:variant>
      <vt:variant>
        <vt:lpwstr/>
      </vt:variant>
      <vt:variant>
        <vt:lpwstr>_Toc111118495</vt:lpwstr>
      </vt:variant>
      <vt:variant>
        <vt:i4>1441845</vt:i4>
      </vt:variant>
      <vt:variant>
        <vt:i4>362</vt:i4>
      </vt:variant>
      <vt:variant>
        <vt:i4>0</vt:i4>
      </vt:variant>
      <vt:variant>
        <vt:i4>5</vt:i4>
      </vt:variant>
      <vt:variant>
        <vt:lpwstr/>
      </vt:variant>
      <vt:variant>
        <vt:lpwstr>_Toc111118494</vt:lpwstr>
      </vt:variant>
      <vt:variant>
        <vt:i4>1441845</vt:i4>
      </vt:variant>
      <vt:variant>
        <vt:i4>356</vt:i4>
      </vt:variant>
      <vt:variant>
        <vt:i4>0</vt:i4>
      </vt:variant>
      <vt:variant>
        <vt:i4>5</vt:i4>
      </vt:variant>
      <vt:variant>
        <vt:lpwstr/>
      </vt:variant>
      <vt:variant>
        <vt:lpwstr>_Toc111118493</vt:lpwstr>
      </vt:variant>
      <vt:variant>
        <vt:i4>1441845</vt:i4>
      </vt:variant>
      <vt:variant>
        <vt:i4>350</vt:i4>
      </vt:variant>
      <vt:variant>
        <vt:i4>0</vt:i4>
      </vt:variant>
      <vt:variant>
        <vt:i4>5</vt:i4>
      </vt:variant>
      <vt:variant>
        <vt:lpwstr/>
      </vt:variant>
      <vt:variant>
        <vt:lpwstr>_Toc111118492</vt:lpwstr>
      </vt:variant>
      <vt:variant>
        <vt:i4>1441845</vt:i4>
      </vt:variant>
      <vt:variant>
        <vt:i4>344</vt:i4>
      </vt:variant>
      <vt:variant>
        <vt:i4>0</vt:i4>
      </vt:variant>
      <vt:variant>
        <vt:i4>5</vt:i4>
      </vt:variant>
      <vt:variant>
        <vt:lpwstr/>
      </vt:variant>
      <vt:variant>
        <vt:lpwstr>_Toc111118491</vt:lpwstr>
      </vt:variant>
      <vt:variant>
        <vt:i4>1441845</vt:i4>
      </vt:variant>
      <vt:variant>
        <vt:i4>338</vt:i4>
      </vt:variant>
      <vt:variant>
        <vt:i4>0</vt:i4>
      </vt:variant>
      <vt:variant>
        <vt:i4>5</vt:i4>
      </vt:variant>
      <vt:variant>
        <vt:lpwstr/>
      </vt:variant>
      <vt:variant>
        <vt:lpwstr>_Toc111118490</vt:lpwstr>
      </vt:variant>
      <vt:variant>
        <vt:i4>1507381</vt:i4>
      </vt:variant>
      <vt:variant>
        <vt:i4>332</vt:i4>
      </vt:variant>
      <vt:variant>
        <vt:i4>0</vt:i4>
      </vt:variant>
      <vt:variant>
        <vt:i4>5</vt:i4>
      </vt:variant>
      <vt:variant>
        <vt:lpwstr/>
      </vt:variant>
      <vt:variant>
        <vt:lpwstr>_Toc111118489</vt:lpwstr>
      </vt:variant>
      <vt:variant>
        <vt:i4>1507381</vt:i4>
      </vt:variant>
      <vt:variant>
        <vt:i4>326</vt:i4>
      </vt:variant>
      <vt:variant>
        <vt:i4>0</vt:i4>
      </vt:variant>
      <vt:variant>
        <vt:i4>5</vt:i4>
      </vt:variant>
      <vt:variant>
        <vt:lpwstr/>
      </vt:variant>
      <vt:variant>
        <vt:lpwstr>_Toc111118488</vt:lpwstr>
      </vt:variant>
      <vt:variant>
        <vt:i4>1507381</vt:i4>
      </vt:variant>
      <vt:variant>
        <vt:i4>320</vt:i4>
      </vt:variant>
      <vt:variant>
        <vt:i4>0</vt:i4>
      </vt:variant>
      <vt:variant>
        <vt:i4>5</vt:i4>
      </vt:variant>
      <vt:variant>
        <vt:lpwstr/>
      </vt:variant>
      <vt:variant>
        <vt:lpwstr>_Toc111118487</vt:lpwstr>
      </vt:variant>
      <vt:variant>
        <vt:i4>1507381</vt:i4>
      </vt:variant>
      <vt:variant>
        <vt:i4>314</vt:i4>
      </vt:variant>
      <vt:variant>
        <vt:i4>0</vt:i4>
      </vt:variant>
      <vt:variant>
        <vt:i4>5</vt:i4>
      </vt:variant>
      <vt:variant>
        <vt:lpwstr/>
      </vt:variant>
      <vt:variant>
        <vt:lpwstr>_Toc111118486</vt:lpwstr>
      </vt:variant>
      <vt:variant>
        <vt:i4>1507381</vt:i4>
      </vt:variant>
      <vt:variant>
        <vt:i4>308</vt:i4>
      </vt:variant>
      <vt:variant>
        <vt:i4>0</vt:i4>
      </vt:variant>
      <vt:variant>
        <vt:i4>5</vt:i4>
      </vt:variant>
      <vt:variant>
        <vt:lpwstr/>
      </vt:variant>
      <vt:variant>
        <vt:lpwstr>_Toc111118485</vt:lpwstr>
      </vt:variant>
      <vt:variant>
        <vt:i4>1507381</vt:i4>
      </vt:variant>
      <vt:variant>
        <vt:i4>302</vt:i4>
      </vt:variant>
      <vt:variant>
        <vt:i4>0</vt:i4>
      </vt:variant>
      <vt:variant>
        <vt:i4>5</vt:i4>
      </vt:variant>
      <vt:variant>
        <vt:lpwstr/>
      </vt:variant>
      <vt:variant>
        <vt:lpwstr>_Toc111118484</vt:lpwstr>
      </vt:variant>
      <vt:variant>
        <vt:i4>1507381</vt:i4>
      </vt:variant>
      <vt:variant>
        <vt:i4>296</vt:i4>
      </vt:variant>
      <vt:variant>
        <vt:i4>0</vt:i4>
      </vt:variant>
      <vt:variant>
        <vt:i4>5</vt:i4>
      </vt:variant>
      <vt:variant>
        <vt:lpwstr/>
      </vt:variant>
      <vt:variant>
        <vt:lpwstr>_Toc111118483</vt:lpwstr>
      </vt:variant>
      <vt:variant>
        <vt:i4>1507381</vt:i4>
      </vt:variant>
      <vt:variant>
        <vt:i4>290</vt:i4>
      </vt:variant>
      <vt:variant>
        <vt:i4>0</vt:i4>
      </vt:variant>
      <vt:variant>
        <vt:i4>5</vt:i4>
      </vt:variant>
      <vt:variant>
        <vt:lpwstr/>
      </vt:variant>
      <vt:variant>
        <vt:lpwstr>_Toc111118482</vt:lpwstr>
      </vt:variant>
      <vt:variant>
        <vt:i4>1507381</vt:i4>
      </vt:variant>
      <vt:variant>
        <vt:i4>284</vt:i4>
      </vt:variant>
      <vt:variant>
        <vt:i4>0</vt:i4>
      </vt:variant>
      <vt:variant>
        <vt:i4>5</vt:i4>
      </vt:variant>
      <vt:variant>
        <vt:lpwstr/>
      </vt:variant>
      <vt:variant>
        <vt:lpwstr>_Toc111118481</vt:lpwstr>
      </vt:variant>
      <vt:variant>
        <vt:i4>1507381</vt:i4>
      </vt:variant>
      <vt:variant>
        <vt:i4>278</vt:i4>
      </vt:variant>
      <vt:variant>
        <vt:i4>0</vt:i4>
      </vt:variant>
      <vt:variant>
        <vt:i4>5</vt:i4>
      </vt:variant>
      <vt:variant>
        <vt:lpwstr/>
      </vt:variant>
      <vt:variant>
        <vt:lpwstr>_Toc111118480</vt:lpwstr>
      </vt:variant>
      <vt:variant>
        <vt:i4>1572917</vt:i4>
      </vt:variant>
      <vt:variant>
        <vt:i4>272</vt:i4>
      </vt:variant>
      <vt:variant>
        <vt:i4>0</vt:i4>
      </vt:variant>
      <vt:variant>
        <vt:i4>5</vt:i4>
      </vt:variant>
      <vt:variant>
        <vt:lpwstr/>
      </vt:variant>
      <vt:variant>
        <vt:lpwstr>_Toc111118479</vt:lpwstr>
      </vt:variant>
      <vt:variant>
        <vt:i4>1572917</vt:i4>
      </vt:variant>
      <vt:variant>
        <vt:i4>266</vt:i4>
      </vt:variant>
      <vt:variant>
        <vt:i4>0</vt:i4>
      </vt:variant>
      <vt:variant>
        <vt:i4>5</vt:i4>
      </vt:variant>
      <vt:variant>
        <vt:lpwstr/>
      </vt:variant>
      <vt:variant>
        <vt:lpwstr>_Toc111118478</vt:lpwstr>
      </vt:variant>
      <vt:variant>
        <vt:i4>1572917</vt:i4>
      </vt:variant>
      <vt:variant>
        <vt:i4>260</vt:i4>
      </vt:variant>
      <vt:variant>
        <vt:i4>0</vt:i4>
      </vt:variant>
      <vt:variant>
        <vt:i4>5</vt:i4>
      </vt:variant>
      <vt:variant>
        <vt:lpwstr/>
      </vt:variant>
      <vt:variant>
        <vt:lpwstr>_Toc111118477</vt:lpwstr>
      </vt:variant>
      <vt:variant>
        <vt:i4>1572917</vt:i4>
      </vt:variant>
      <vt:variant>
        <vt:i4>254</vt:i4>
      </vt:variant>
      <vt:variant>
        <vt:i4>0</vt:i4>
      </vt:variant>
      <vt:variant>
        <vt:i4>5</vt:i4>
      </vt:variant>
      <vt:variant>
        <vt:lpwstr/>
      </vt:variant>
      <vt:variant>
        <vt:lpwstr>_Toc111118476</vt:lpwstr>
      </vt:variant>
      <vt:variant>
        <vt:i4>1572917</vt:i4>
      </vt:variant>
      <vt:variant>
        <vt:i4>248</vt:i4>
      </vt:variant>
      <vt:variant>
        <vt:i4>0</vt:i4>
      </vt:variant>
      <vt:variant>
        <vt:i4>5</vt:i4>
      </vt:variant>
      <vt:variant>
        <vt:lpwstr/>
      </vt:variant>
      <vt:variant>
        <vt:lpwstr>_Toc111118475</vt:lpwstr>
      </vt:variant>
      <vt:variant>
        <vt:i4>1572917</vt:i4>
      </vt:variant>
      <vt:variant>
        <vt:i4>242</vt:i4>
      </vt:variant>
      <vt:variant>
        <vt:i4>0</vt:i4>
      </vt:variant>
      <vt:variant>
        <vt:i4>5</vt:i4>
      </vt:variant>
      <vt:variant>
        <vt:lpwstr/>
      </vt:variant>
      <vt:variant>
        <vt:lpwstr>_Toc111118474</vt:lpwstr>
      </vt:variant>
      <vt:variant>
        <vt:i4>1572917</vt:i4>
      </vt:variant>
      <vt:variant>
        <vt:i4>236</vt:i4>
      </vt:variant>
      <vt:variant>
        <vt:i4>0</vt:i4>
      </vt:variant>
      <vt:variant>
        <vt:i4>5</vt:i4>
      </vt:variant>
      <vt:variant>
        <vt:lpwstr/>
      </vt:variant>
      <vt:variant>
        <vt:lpwstr>_Toc111118473</vt:lpwstr>
      </vt:variant>
      <vt:variant>
        <vt:i4>1572917</vt:i4>
      </vt:variant>
      <vt:variant>
        <vt:i4>230</vt:i4>
      </vt:variant>
      <vt:variant>
        <vt:i4>0</vt:i4>
      </vt:variant>
      <vt:variant>
        <vt:i4>5</vt:i4>
      </vt:variant>
      <vt:variant>
        <vt:lpwstr/>
      </vt:variant>
      <vt:variant>
        <vt:lpwstr>_Toc111118472</vt:lpwstr>
      </vt:variant>
      <vt:variant>
        <vt:i4>1572917</vt:i4>
      </vt:variant>
      <vt:variant>
        <vt:i4>224</vt:i4>
      </vt:variant>
      <vt:variant>
        <vt:i4>0</vt:i4>
      </vt:variant>
      <vt:variant>
        <vt:i4>5</vt:i4>
      </vt:variant>
      <vt:variant>
        <vt:lpwstr/>
      </vt:variant>
      <vt:variant>
        <vt:lpwstr>_Toc111118471</vt:lpwstr>
      </vt:variant>
      <vt:variant>
        <vt:i4>1572917</vt:i4>
      </vt:variant>
      <vt:variant>
        <vt:i4>218</vt:i4>
      </vt:variant>
      <vt:variant>
        <vt:i4>0</vt:i4>
      </vt:variant>
      <vt:variant>
        <vt:i4>5</vt:i4>
      </vt:variant>
      <vt:variant>
        <vt:lpwstr/>
      </vt:variant>
      <vt:variant>
        <vt:lpwstr>_Toc111118470</vt:lpwstr>
      </vt:variant>
      <vt:variant>
        <vt:i4>1638453</vt:i4>
      </vt:variant>
      <vt:variant>
        <vt:i4>212</vt:i4>
      </vt:variant>
      <vt:variant>
        <vt:i4>0</vt:i4>
      </vt:variant>
      <vt:variant>
        <vt:i4>5</vt:i4>
      </vt:variant>
      <vt:variant>
        <vt:lpwstr/>
      </vt:variant>
      <vt:variant>
        <vt:lpwstr>_Toc111118469</vt:lpwstr>
      </vt:variant>
      <vt:variant>
        <vt:i4>1638453</vt:i4>
      </vt:variant>
      <vt:variant>
        <vt:i4>206</vt:i4>
      </vt:variant>
      <vt:variant>
        <vt:i4>0</vt:i4>
      </vt:variant>
      <vt:variant>
        <vt:i4>5</vt:i4>
      </vt:variant>
      <vt:variant>
        <vt:lpwstr/>
      </vt:variant>
      <vt:variant>
        <vt:lpwstr>_Toc111118468</vt:lpwstr>
      </vt:variant>
      <vt:variant>
        <vt:i4>1638453</vt:i4>
      </vt:variant>
      <vt:variant>
        <vt:i4>200</vt:i4>
      </vt:variant>
      <vt:variant>
        <vt:i4>0</vt:i4>
      </vt:variant>
      <vt:variant>
        <vt:i4>5</vt:i4>
      </vt:variant>
      <vt:variant>
        <vt:lpwstr/>
      </vt:variant>
      <vt:variant>
        <vt:lpwstr>_Toc111118467</vt:lpwstr>
      </vt:variant>
      <vt:variant>
        <vt:i4>1638453</vt:i4>
      </vt:variant>
      <vt:variant>
        <vt:i4>194</vt:i4>
      </vt:variant>
      <vt:variant>
        <vt:i4>0</vt:i4>
      </vt:variant>
      <vt:variant>
        <vt:i4>5</vt:i4>
      </vt:variant>
      <vt:variant>
        <vt:lpwstr/>
      </vt:variant>
      <vt:variant>
        <vt:lpwstr>_Toc111118466</vt:lpwstr>
      </vt:variant>
      <vt:variant>
        <vt:i4>1638453</vt:i4>
      </vt:variant>
      <vt:variant>
        <vt:i4>188</vt:i4>
      </vt:variant>
      <vt:variant>
        <vt:i4>0</vt:i4>
      </vt:variant>
      <vt:variant>
        <vt:i4>5</vt:i4>
      </vt:variant>
      <vt:variant>
        <vt:lpwstr/>
      </vt:variant>
      <vt:variant>
        <vt:lpwstr>_Toc111118465</vt:lpwstr>
      </vt:variant>
      <vt:variant>
        <vt:i4>1638453</vt:i4>
      </vt:variant>
      <vt:variant>
        <vt:i4>182</vt:i4>
      </vt:variant>
      <vt:variant>
        <vt:i4>0</vt:i4>
      </vt:variant>
      <vt:variant>
        <vt:i4>5</vt:i4>
      </vt:variant>
      <vt:variant>
        <vt:lpwstr/>
      </vt:variant>
      <vt:variant>
        <vt:lpwstr>_Toc111118464</vt:lpwstr>
      </vt:variant>
      <vt:variant>
        <vt:i4>1638453</vt:i4>
      </vt:variant>
      <vt:variant>
        <vt:i4>176</vt:i4>
      </vt:variant>
      <vt:variant>
        <vt:i4>0</vt:i4>
      </vt:variant>
      <vt:variant>
        <vt:i4>5</vt:i4>
      </vt:variant>
      <vt:variant>
        <vt:lpwstr/>
      </vt:variant>
      <vt:variant>
        <vt:lpwstr>_Toc111118463</vt:lpwstr>
      </vt:variant>
      <vt:variant>
        <vt:i4>1638453</vt:i4>
      </vt:variant>
      <vt:variant>
        <vt:i4>170</vt:i4>
      </vt:variant>
      <vt:variant>
        <vt:i4>0</vt:i4>
      </vt:variant>
      <vt:variant>
        <vt:i4>5</vt:i4>
      </vt:variant>
      <vt:variant>
        <vt:lpwstr/>
      </vt:variant>
      <vt:variant>
        <vt:lpwstr>_Toc111118462</vt:lpwstr>
      </vt:variant>
      <vt:variant>
        <vt:i4>1638453</vt:i4>
      </vt:variant>
      <vt:variant>
        <vt:i4>164</vt:i4>
      </vt:variant>
      <vt:variant>
        <vt:i4>0</vt:i4>
      </vt:variant>
      <vt:variant>
        <vt:i4>5</vt:i4>
      </vt:variant>
      <vt:variant>
        <vt:lpwstr/>
      </vt:variant>
      <vt:variant>
        <vt:lpwstr>_Toc111118461</vt:lpwstr>
      </vt:variant>
      <vt:variant>
        <vt:i4>1638453</vt:i4>
      </vt:variant>
      <vt:variant>
        <vt:i4>158</vt:i4>
      </vt:variant>
      <vt:variant>
        <vt:i4>0</vt:i4>
      </vt:variant>
      <vt:variant>
        <vt:i4>5</vt:i4>
      </vt:variant>
      <vt:variant>
        <vt:lpwstr/>
      </vt:variant>
      <vt:variant>
        <vt:lpwstr>_Toc111118460</vt:lpwstr>
      </vt:variant>
      <vt:variant>
        <vt:i4>1703989</vt:i4>
      </vt:variant>
      <vt:variant>
        <vt:i4>152</vt:i4>
      </vt:variant>
      <vt:variant>
        <vt:i4>0</vt:i4>
      </vt:variant>
      <vt:variant>
        <vt:i4>5</vt:i4>
      </vt:variant>
      <vt:variant>
        <vt:lpwstr/>
      </vt:variant>
      <vt:variant>
        <vt:lpwstr>_Toc111118459</vt:lpwstr>
      </vt:variant>
      <vt:variant>
        <vt:i4>1703989</vt:i4>
      </vt:variant>
      <vt:variant>
        <vt:i4>146</vt:i4>
      </vt:variant>
      <vt:variant>
        <vt:i4>0</vt:i4>
      </vt:variant>
      <vt:variant>
        <vt:i4>5</vt:i4>
      </vt:variant>
      <vt:variant>
        <vt:lpwstr/>
      </vt:variant>
      <vt:variant>
        <vt:lpwstr>_Toc111118458</vt:lpwstr>
      </vt:variant>
      <vt:variant>
        <vt:i4>1703989</vt:i4>
      </vt:variant>
      <vt:variant>
        <vt:i4>140</vt:i4>
      </vt:variant>
      <vt:variant>
        <vt:i4>0</vt:i4>
      </vt:variant>
      <vt:variant>
        <vt:i4>5</vt:i4>
      </vt:variant>
      <vt:variant>
        <vt:lpwstr/>
      </vt:variant>
      <vt:variant>
        <vt:lpwstr>_Toc111118457</vt:lpwstr>
      </vt:variant>
      <vt:variant>
        <vt:i4>1703989</vt:i4>
      </vt:variant>
      <vt:variant>
        <vt:i4>134</vt:i4>
      </vt:variant>
      <vt:variant>
        <vt:i4>0</vt:i4>
      </vt:variant>
      <vt:variant>
        <vt:i4>5</vt:i4>
      </vt:variant>
      <vt:variant>
        <vt:lpwstr/>
      </vt:variant>
      <vt:variant>
        <vt:lpwstr>_Toc111118456</vt:lpwstr>
      </vt:variant>
      <vt:variant>
        <vt:i4>1703989</vt:i4>
      </vt:variant>
      <vt:variant>
        <vt:i4>128</vt:i4>
      </vt:variant>
      <vt:variant>
        <vt:i4>0</vt:i4>
      </vt:variant>
      <vt:variant>
        <vt:i4>5</vt:i4>
      </vt:variant>
      <vt:variant>
        <vt:lpwstr/>
      </vt:variant>
      <vt:variant>
        <vt:lpwstr>_Toc111118455</vt:lpwstr>
      </vt:variant>
      <vt:variant>
        <vt:i4>1703989</vt:i4>
      </vt:variant>
      <vt:variant>
        <vt:i4>122</vt:i4>
      </vt:variant>
      <vt:variant>
        <vt:i4>0</vt:i4>
      </vt:variant>
      <vt:variant>
        <vt:i4>5</vt:i4>
      </vt:variant>
      <vt:variant>
        <vt:lpwstr/>
      </vt:variant>
      <vt:variant>
        <vt:lpwstr>_Toc111118454</vt:lpwstr>
      </vt:variant>
      <vt:variant>
        <vt:i4>1703989</vt:i4>
      </vt:variant>
      <vt:variant>
        <vt:i4>116</vt:i4>
      </vt:variant>
      <vt:variant>
        <vt:i4>0</vt:i4>
      </vt:variant>
      <vt:variant>
        <vt:i4>5</vt:i4>
      </vt:variant>
      <vt:variant>
        <vt:lpwstr/>
      </vt:variant>
      <vt:variant>
        <vt:lpwstr>_Toc111118453</vt:lpwstr>
      </vt:variant>
      <vt:variant>
        <vt:i4>1703989</vt:i4>
      </vt:variant>
      <vt:variant>
        <vt:i4>110</vt:i4>
      </vt:variant>
      <vt:variant>
        <vt:i4>0</vt:i4>
      </vt:variant>
      <vt:variant>
        <vt:i4>5</vt:i4>
      </vt:variant>
      <vt:variant>
        <vt:lpwstr/>
      </vt:variant>
      <vt:variant>
        <vt:lpwstr>_Toc111118452</vt:lpwstr>
      </vt:variant>
      <vt:variant>
        <vt:i4>1703989</vt:i4>
      </vt:variant>
      <vt:variant>
        <vt:i4>104</vt:i4>
      </vt:variant>
      <vt:variant>
        <vt:i4>0</vt:i4>
      </vt:variant>
      <vt:variant>
        <vt:i4>5</vt:i4>
      </vt:variant>
      <vt:variant>
        <vt:lpwstr/>
      </vt:variant>
      <vt:variant>
        <vt:lpwstr>_Toc111118451</vt:lpwstr>
      </vt:variant>
      <vt:variant>
        <vt:i4>1703989</vt:i4>
      </vt:variant>
      <vt:variant>
        <vt:i4>98</vt:i4>
      </vt:variant>
      <vt:variant>
        <vt:i4>0</vt:i4>
      </vt:variant>
      <vt:variant>
        <vt:i4>5</vt:i4>
      </vt:variant>
      <vt:variant>
        <vt:lpwstr/>
      </vt:variant>
      <vt:variant>
        <vt:lpwstr>_Toc111118450</vt:lpwstr>
      </vt:variant>
      <vt:variant>
        <vt:i4>1769525</vt:i4>
      </vt:variant>
      <vt:variant>
        <vt:i4>92</vt:i4>
      </vt:variant>
      <vt:variant>
        <vt:i4>0</vt:i4>
      </vt:variant>
      <vt:variant>
        <vt:i4>5</vt:i4>
      </vt:variant>
      <vt:variant>
        <vt:lpwstr/>
      </vt:variant>
      <vt:variant>
        <vt:lpwstr>_Toc111118449</vt:lpwstr>
      </vt:variant>
      <vt:variant>
        <vt:i4>1769525</vt:i4>
      </vt:variant>
      <vt:variant>
        <vt:i4>86</vt:i4>
      </vt:variant>
      <vt:variant>
        <vt:i4>0</vt:i4>
      </vt:variant>
      <vt:variant>
        <vt:i4>5</vt:i4>
      </vt:variant>
      <vt:variant>
        <vt:lpwstr/>
      </vt:variant>
      <vt:variant>
        <vt:lpwstr>_Toc111118448</vt:lpwstr>
      </vt:variant>
      <vt:variant>
        <vt:i4>1769525</vt:i4>
      </vt:variant>
      <vt:variant>
        <vt:i4>80</vt:i4>
      </vt:variant>
      <vt:variant>
        <vt:i4>0</vt:i4>
      </vt:variant>
      <vt:variant>
        <vt:i4>5</vt:i4>
      </vt:variant>
      <vt:variant>
        <vt:lpwstr/>
      </vt:variant>
      <vt:variant>
        <vt:lpwstr>_Toc111118447</vt:lpwstr>
      </vt:variant>
      <vt:variant>
        <vt:i4>1769525</vt:i4>
      </vt:variant>
      <vt:variant>
        <vt:i4>74</vt:i4>
      </vt:variant>
      <vt:variant>
        <vt:i4>0</vt:i4>
      </vt:variant>
      <vt:variant>
        <vt:i4>5</vt:i4>
      </vt:variant>
      <vt:variant>
        <vt:lpwstr/>
      </vt:variant>
      <vt:variant>
        <vt:lpwstr>_Toc111118446</vt:lpwstr>
      </vt:variant>
      <vt:variant>
        <vt:i4>1769525</vt:i4>
      </vt:variant>
      <vt:variant>
        <vt:i4>68</vt:i4>
      </vt:variant>
      <vt:variant>
        <vt:i4>0</vt:i4>
      </vt:variant>
      <vt:variant>
        <vt:i4>5</vt:i4>
      </vt:variant>
      <vt:variant>
        <vt:lpwstr/>
      </vt:variant>
      <vt:variant>
        <vt:lpwstr>_Toc111118445</vt:lpwstr>
      </vt:variant>
      <vt:variant>
        <vt:i4>1769525</vt:i4>
      </vt:variant>
      <vt:variant>
        <vt:i4>62</vt:i4>
      </vt:variant>
      <vt:variant>
        <vt:i4>0</vt:i4>
      </vt:variant>
      <vt:variant>
        <vt:i4>5</vt:i4>
      </vt:variant>
      <vt:variant>
        <vt:lpwstr/>
      </vt:variant>
      <vt:variant>
        <vt:lpwstr>_Toc111118444</vt:lpwstr>
      </vt:variant>
      <vt:variant>
        <vt:i4>1769525</vt:i4>
      </vt:variant>
      <vt:variant>
        <vt:i4>56</vt:i4>
      </vt:variant>
      <vt:variant>
        <vt:i4>0</vt:i4>
      </vt:variant>
      <vt:variant>
        <vt:i4>5</vt:i4>
      </vt:variant>
      <vt:variant>
        <vt:lpwstr/>
      </vt:variant>
      <vt:variant>
        <vt:lpwstr>_Toc111118443</vt:lpwstr>
      </vt:variant>
      <vt:variant>
        <vt:i4>1769525</vt:i4>
      </vt:variant>
      <vt:variant>
        <vt:i4>50</vt:i4>
      </vt:variant>
      <vt:variant>
        <vt:i4>0</vt:i4>
      </vt:variant>
      <vt:variant>
        <vt:i4>5</vt:i4>
      </vt:variant>
      <vt:variant>
        <vt:lpwstr/>
      </vt:variant>
      <vt:variant>
        <vt:lpwstr>_Toc111118442</vt:lpwstr>
      </vt:variant>
      <vt:variant>
        <vt:i4>1769525</vt:i4>
      </vt:variant>
      <vt:variant>
        <vt:i4>44</vt:i4>
      </vt:variant>
      <vt:variant>
        <vt:i4>0</vt:i4>
      </vt:variant>
      <vt:variant>
        <vt:i4>5</vt:i4>
      </vt:variant>
      <vt:variant>
        <vt:lpwstr/>
      </vt:variant>
      <vt:variant>
        <vt:lpwstr>_Toc111118441</vt:lpwstr>
      </vt:variant>
      <vt:variant>
        <vt:i4>1769525</vt:i4>
      </vt:variant>
      <vt:variant>
        <vt:i4>38</vt:i4>
      </vt:variant>
      <vt:variant>
        <vt:i4>0</vt:i4>
      </vt:variant>
      <vt:variant>
        <vt:i4>5</vt:i4>
      </vt:variant>
      <vt:variant>
        <vt:lpwstr/>
      </vt:variant>
      <vt:variant>
        <vt:lpwstr>_Toc111118440</vt:lpwstr>
      </vt:variant>
      <vt:variant>
        <vt:i4>1835061</vt:i4>
      </vt:variant>
      <vt:variant>
        <vt:i4>32</vt:i4>
      </vt:variant>
      <vt:variant>
        <vt:i4>0</vt:i4>
      </vt:variant>
      <vt:variant>
        <vt:i4>5</vt:i4>
      </vt:variant>
      <vt:variant>
        <vt:lpwstr/>
      </vt:variant>
      <vt:variant>
        <vt:lpwstr>_Toc111118439</vt:lpwstr>
      </vt:variant>
      <vt:variant>
        <vt:i4>1835061</vt:i4>
      </vt:variant>
      <vt:variant>
        <vt:i4>26</vt:i4>
      </vt:variant>
      <vt:variant>
        <vt:i4>0</vt:i4>
      </vt:variant>
      <vt:variant>
        <vt:i4>5</vt:i4>
      </vt:variant>
      <vt:variant>
        <vt:lpwstr/>
      </vt:variant>
      <vt:variant>
        <vt:lpwstr>_Toc111118438</vt:lpwstr>
      </vt:variant>
      <vt:variant>
        <vt:i4>1835061</vt:i4>
      </vt:variant>
      <vt:variant>
        <vt:i4>20</vt:i4>
      </vt:variant>
      <vt:variant>
        <vt:i4>0</vt:i4>
      </vt:variant>
      <vt:variant>
        <vt:i4>5</vt:i4>
      </vt:variant>
      <vt:variant>
        <vt:lpwstr/>
      </vt:variant>
      <vt:variant>
        <vt:lpwstr>_Toc111118437</vt:lpwstr>
      </vt:variant>
      <vt:variant>
        <vt:i4>1835061</vt:i4>
      </vt:variant>
      <vt:variant>
        <vt:i4>14</vt:i4>
      </vt:variant>
      <vt:variant>
        <vt:i4>0</vt:i4>
      </vt:variant>
      <vt:variant>
        <vt:i4>5</vt:i4>
      </vt:variant>
      <vt:variant>
        <vt:lpwstr/>
      </vt:variant>
      <vt:variant>
        <vt:lpwstr>_Toc111118436</vt:lpwstr>
      </vt:variant>
      <vt:variant>
        <vt:i4>1835061</vt:i4>
      </vt:variant>
      <vt:variant>
        <vt:i4>8</vt:i4>
      </vt:variant>
      <vt:variant>
        <vt:i4>0</vt:i4>
      </vt:variant>
      <vt:variant>
        <vt:i4>5</vt:i4>
      </vt:variant>
      <vt:variant>
        <vt:lpwstr/>
      </vt:variant>
      <vt:variant>
        <vt:lpwstr>_Toc111118435</vt:lpwstr>
      </vt:variant>
      <vt:variant>
        <vt:i4>1835061</vt:i4>
      </vt:variant>
      <vt:variant>
        <vt:i4>2</vt:i4>
      </vt:variant>
      <vt:variant>
        <vt:i4>0</vt:i4>
      </vt:variant>
      <vt:variant>
        <vt:i4>5</vt:i4>
      </vt:variant>
      <vt:variant>
        <vt:lpwstr/>
      </vt:variant>
      <vt:variant>
        <vt:lpwstr>_Toc111118434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cp:lastModifiedBy>Autor</cp:lastModifiedBy>
  <cp:revision>2</cp:revision>
  <dcterms:created xsi:type="dcterms:W3CDTF">2022-08-12T10:16:00Z</dcterms:created>
  <dcterms:modified xsi:type="dcterms:W3CDTF">2022-08-12T10:16:00Z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0x0101003A0141F4D9ED2748AB635E4DA1267164</vt:lpwstr>
  </property>
</Properties>
</file>