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D7DAE2" w14:textId="1D919C73" w:rsidR="007926B3" w:rsidRDefault="00111C6F" w:rsidP="00E0033C">
      <w:pPr>
        <w:pStyle w:val="Titel"/>
        <w:widowControl/>
        <w:tabs>
          <w:tab w:val="clear" w:pos="2760"/>
          <w:tab w:val="clear" w:pos="7440"/>
          <w:tab w:val="clear" w:pos="8400"/>
          <w:tab w:val="clear" w:pos="9240"/>
        </w:tabs>
        <w:autoSpaceDE/>
        <w:autoSpaceDN/>
        <w:adjustRightInd/>
        <w:spacing w:line="240" w:lineRule="auto"/>
        <w:jc w:val="right"/>
        <w:rPr>
          <w:rFonts w:ascii="TheSansCorrespondence" w:hAnsi="TheSansCorrespondence"/>
          <w:sz w:val="28"/>
        </w:rPr>
      </w:pPr>
      <w:r>
        <w:rPr>
          <w:rFonts w:ascii="TheSansCorrespondence" w:hAnsi="TheSansCorrespondence"/>
          <w:noProof/>
          <w:sz w:val="28"/>
        </w:rPr>
        <w:drawing>
          <wp:anchor distT="0" distB="0" distL="114300" distR="114300" simplePos="0" relativeHeight="251659264" behindDoc="0" locked="0" layoutInCell="1" allowOverlap="1" wp14:anchorId="16C31262" wp14:editId="6826B32A">
            <wp:simplePos x="0" y="0"/>
            <wp:positionH relativeFrom="column">
              <wp:posOffset>-427512</wp:posOffset>
            </wp:positionH>
            <wp:positionV relativeFrom="paragraph">
              <wp:posOffset>86962</wp:posOffset>
            </wp:positionV>
            <wp:extent cx="2009143" cy="740599"/>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143" cy="740599"/>
                    </a:xfrm>
                    <a:prstGeom prst="rect">
                      <a:avLst/>
                    </a:prstGeom>
                    <a:noFill/>
                  </pic:spPr>
                </pic:pic>
              </a:graphicData>
            </a:graphic>
            <wp14:sizeRelH relativeFrom="page">
              <wp14:pctWidth>0</wp14:pctWidth>
            </wp14:sizeRelH>
            <wp14:sizeRelV relativeFrom="page">
              <wp14:pctHeight>0</wp14:pctHeight>
            </wp14:sizeRelV>
          </wp:anchor>
        </w:drawing>
      </w:r>
    </w:p>
    <w:p w14:paraId="14F4DF14" w14:textId="762B970E" w:rsidR="0063621F" w:rsidRDefault="00D03B98">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r>
        <w:rPr>
          <w:noProof/>
        </w:rPr>
        <w:drawing>
          <wp:anchor distT="0" distB="0" distL="114300" distR="114300" simplePos="0" relativeHeight="251658240" behindDoc="0" locked="0" layoutInCell="1" allowOverlap="1" wp14:anchorId="3B317935" wp14:editId="40A9BBBD">
            <wp:simplePos x="0" y="0"/>
            <wp:positionH relativeFrom="column">
              <wp:posOffset>3868214</wp:posOffset>
            </wp:positionH>
            <wp:positionV relativeFrom="paragraph">
              <wp:posOffset>80645</wp:posOffset>
            </wp:positionV>
            <wp:extent cx="2277110" cy="552450"/>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711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B4071" w14:textId="7E34145A" w:rsidR="00C76A63" w:rsidRDefault="00C76A6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2EFDB0B7" w14:textId="2FB4504A" w:rsidR="00C76A63" w:rsidRDefault="00C76A6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70AE56F2" w14:textId="2024CD58" w:rsidR="00C76A63" w:rsidRDefault="00C76A6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3EE66164" w14:textId="27330A8D" w:rsidR="003D44BB" w:rsidRDefault="003D44BB">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6C28992A" w14:textId="081AB10C" w:rsidR="003D44BB" w:rsidRDefault="003D44BB">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0306BEFA" w14:textId="34D93757" w:rsidR="003D44BB" w:rsidRDefault="003D44BB">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0C2CD921" w14:textId="2F928D46" w:rsidR="003D44BB" w:rsidRDefault="003D44BB">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24427872" w14:textId="251361DE" w:rsidR="003D44BB" w:rsidRDefault="003D44BB">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739E3AD1" w14:textId="18435479" w:rsidR="003D44BB" w:rsidRDefault="003D44BB">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6A0C52D6" w14:textId="75D2D460" w:rsidR="003D44BB" w:rsidRDefault="003D44BB">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342A51A6" w14:textId="568B2100" w:rsidR="003D44BB" w:rsidRDefault="003D44BB">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327DD2B8" w14:textId="77777777" w:rsidR="003D44BB" w:rsidRDefault="003D44BB">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564F2C45" w14:textId="36624230" w:rsidR="003D44BB" w:rsidRDefault="003D44BB">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7D01B4CA" w14:textId="77777777" w:rsidR="00EA7F60" w:rsidRDefault="00EA7F60" w:rsidP="00EA7F60">
      <w:pPr>
        <w:pStyle w:val="Titel"/>
        <w:spacing w:line="360" w:lineRule="auto"/>
        <w:rPr>
          <w:rFonts w:ascii="TheSansCorrespondence" w:hAnsi="TheSansCorrespondence"/>
          <w:sz w:val="36"/>
          <w:szCs w:val="24"/>
        </w:rPr>
      </w:pPr>
      <w:r w:rsidRPr="00EA7F60">
        <w:rPr>
          <w:rFonts w:ascii="TheSansCorrespondence" w:hAnsi="TheSansCorrespondence"/>
          <w:sz w:val="36"/>
          <w:szCs w:val="24"/>
        </w:rPr>
        <w:t xml:space="preserve">Mustersatzung </w:t>
      </w:r>
    </w:p>
    <w:p w14:paraId="17097736" w14:textId="77777777" w:rsidR="00EA7F60" w:rsidRDefault="00EA7F60" w:rsidP="00EA7F60">
      <w:pPr>
        <w:pStyle w:val="Titel"/>
        <w:spacing w:line="360" w:lineRule="auto"/>
        <w:rPr>
          <w:rFonts w:ascii="TheSansCorrespondence" w:hAnsi="TheSansCorrespondence"/>
          <w:sz w:val="36"/>
          <w:szCs w:val="24"/>
        </w:rPr>
      </w:pPr>
      <w:r w:rsidRPr="00EA7F60">
        <w:rPr>
          <w:rFonts w:ascii="TheSansCorrespondence" w:hAnsi="TheSansCorrespondence"/>
          <w:sz w:val="36"/>
          <w:szCs w:val="24"/>
        </w:rPr>
        <w:t>für Anstalten des öffentlichen Rechts (AöR)</w:t>
      </w:r>
      <w:r>
        <w:rPr>
          <w:rFonts w:ascii="TheSansCorrespondence" w:hAnsi="TheSansCorrespondence"/>
          <w:sz w:val="36"/>
          <w:szCs w:val="24"/>
        </w:rPr>
        <w:t xml:space="preserve"> </w:t>
      </w:r>
    </w:p>
    <w:p w14:paraId="31FE1CC5" w14:textId="458193A2" w:rsidR="003D44BB" w:rsidRPr="00582DF8" w:rsidRDefault="00EA7F60" w:rsidP="00EA7F60">
      <w:pPr>
        <w:pStyle w:val="Titel"/>
        <w:spacing w:line="360" w:lineRule="auto"/>
        <w:rPr>
          <w:rFonts w:ascii="TheSansCorrespondence" w:hAnsi="TheSansCorrespondence"/>
          <w:sz w:val="36"/>
          <w:szCs w:val="24"/>
        </w:rPr>
      </w:pPr>
      <w:r w:rsidRPr="00EA7F60">
        <w:rPr>
          <w:rFonts w:ascii="TheSansCorrespondence" w:hAnsi="TheSansCorrespondence"/>
          <w:sz w:val="36"/>
          <w:szCs w:val="24"/>
        </w:rPr>
        <w:t>in Nordrhein-Westfalen</w:t>
      </w:r>
    </w:p>
    <w:p w14:paraId="7291ED39" w14:textId="0146468D" w:rsidR="003D44BB" w:rsidRPr="00AD4BF0" w:rsidRDefault="003D44BB">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i/>
          <w:iCs/>
          <w:sz w:val="28"/>
        </w:rPr>
      </w:pPr>
    </w:p>
    <w:p w14:paraId="111EC6FA" w14:textId="77777777" w:rsidR="007926B3" w:rsidRDefault="007926B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64C42DF3" w14:textId="1F012755" w:rsidR="007926B3" w:rsidRDefault="007926B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8"/>
        </w:rPr>
      </w:pPr>
    </w:p>
    <w:p w14:paraId="5523A7E8" w14:textId="77777777" w:rsidR="007926B3" w:rsidRDefault="007926B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53ED46F2" w14:textId="77777777" w:rsidR="007926B3" w:rsidRDefault="007926B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50C79FAF" w14:textId="77777777" w:rsidR="007926B3" w:rsidRDefault="007926B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4BC2F86D" w14:textId="77777777" w:rsidR="007926B3" w:rsidRDefault="007926B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11C15800" w14:textId="77777777" w:rsidR="007926B3" w:rsidRDefault="007926B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4159A8C7" w14:textId="77777777" w:rsidR="007926B3" w:rsidRDefault="007926B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27ACBDA6" w14:textId="77777777" w:rsidR="007926B3" w:rsidRDefault="007926B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28F45D9A" w14:textId="77777777" w:rsidR="007926B3" w:rsidRDefault="007926B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5BA5CFC7" w14:textId="61143C5D" w:rsidR="003D44BB" w:rsidRDefault="003D44BB">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605CAFFF" w14:textId="5ED8BF46" w:rsidR="00EA7F60" w:rsidRDefault="00EA7F60">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3C2EC103" w14:textId="68AF6F19" w:rsidR="00EA7F60" w:rsidRDefault="00EA7F60">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2D45F836" w14:textId="704FF932" w:rsidR="00EA7F60" w:rsidRDefault="00EA7F60">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4717DB3D" w14:textId="79429889" w:rsidR="00EA7F60" w:rsidRDefault="00EA7F60">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0AE2B6C2" w14:textId="3689F509" w:rsidR="00EA7F60" w:rsidRDefault="00EA7F60">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658A3BD3" w14:textId="0325FA87" w:rsidR="00EA7F60" w:rsidRDefault="00EA7F60">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6308BD98" w14:textId="615E6508" w:rsidR="00EA7F60" w:rsidRDefault="00EA7F60">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7D56DB90" w14:textId="08322697" w:rsidR="00EA7F60" w:rsidRDefault="00EA7F60">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06FF2B54" w14:textId="062DD909" w:rsidR="00EA7F60" w:rsidRDefault="00EA7F60">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05F47D60" w14:textId="77777777" w:rsidR="00EA7F60" w:rsidRDefault="00EA7F60">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226A0701" w14:textId="589B746D" w:rsidR="003D44BB" w:rsidRDefault="003D44BB">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355BE2F5" w14:textId="211EAAD8" w:rsidR="003D44BB" w:rsidRDefault="003D44BB">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614751D1" w14:textId="77777777" w:rsidR="003D44BB" w:rsidRDefault="003D44BB">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3C291A04" w14:textId="77777777" w:rsidR="007926B3" w:rsidRDefault="007926B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rPr>
      </w:pPr>
    </w:p>
    <w:p w14:paraId="0FD7E452" w14:textId="77777777" w:rsidR="007926B3" w:rsidRDefault="007926B3">
      <w:pPr>
        <w:pStyle w:val="Titel"/>
        <w:widowControl/>
        <w:tabs>
          <w:tab w:val="clear" w:pos="2760"/>
          <w:tab w:val="clear" w:pos="7440"/>
          <w:tab w:val="clear" w:pos="8400"/>
          <w:tab w:val="clear" w:pos="9240"/>
        </w:tabs>
        <w:autoSpaceDE/>
        <w:autoSpaceDN/>
        <w:adjustRightInd/>
        <w:spacing w:line="240" w:lineRule="auto"/>
        <w:rPr>
          <w:rFonts w:ascii="TheSansCorrespondence" w:hAnsi="TheSansCorrespondence"/>
          <w:sz w:val="22"/>
        </w:rPr>
      </w:pPr>
    </w:p>
    <w:p w14:paraId="685EE199" w14:textId="7D1453C1" w:rsidR="00707693" w:rsidRDefault="004A57B7" w:rsidP="00707693">
      <w:pPr>
        <w:ind w:right="142"/>
        <w:jc w:val="center"/>
        <w:rPr>
          <w:rFonts w:ascii="TheSansCorrespondence" w:hAnsi="TheSansCorrespondence"/>
          <w:sz w:val="22"/>
          <w:szCs w:val="22"/>
        </w:rPr>
      </w:pPr>
      <w:r w:rsidRPr="009577DE">
        <w:rPr>
          <w:rFonts w:ascii="TheSansCorrespondence" w:hAnsi="TheSansCorrespondence"/>
          <w:sz w:val="22"/>
          <w:szCs w:val="22"/>
        </w:rPr>
        <w:t xml:space="preserve">Stand: </w:t>
      </w:r>
      <w:r w:rsidR="0052271E">
        <w:rPr>
          <w:rFonts w:ascii="TheSansCorrespondence" w:hAnsi="TheSansCorrespondence"/>
          <w:sz w:val="22"/>
          <w:szCs w:val="22"/>
        </w:rPr>
        <w:t>Dezember</w:t>
      </w:r>
      <w:r w:rsidR="00A10DBF">
        <w:rPr>
          <w:rFonts w:ascii="TheSansCorrespondence" w:hAnsi="TheSansCorrespondence"/>
          <w:sz w:val="22"/>
          <w:szCs w:val="22"/>
        </w:rPr>
        <w:t xml:space="preserve"> </w:t>
      </w:r>
      <w:r w:rsidR="00DA6C3E">
        <w:rPr>
          <w:rFonts w:ascii="TheSansCorrespondence" w:hAnsi="TheSansCorrespondence"/>
          <w:sz w:val="22"/>
          <w:szCs w:val="22"/>
        </w:rPr>
        <w:t>2021</w:t>
      </w:r>
    </w:p>
    <w:p w14:paraId="37F5B078" w14:textId="77777777" w:rsidR="00DA6C3E" w:rsidRDefault="007926B3" w:rsidP="006E110D">
      <w:pPr>
        <w:ind w:right="142"/>
        <w:jc w:val="both"/>
        <w:rPr>
          <w:rFonts w:ascii="TheSansCorrespondence" w:hAnsi="TheSansCorrespondence"/>
          <w:sz w:val="22"/>
          <w:szCs w:val="22"/>
        </w:rPr>
      </w:pPr>
      <w:r w:rsidRPr="009577DE">
        <w:rPr>
          <w:rFonts w:ascii="TheSansCorrespondence" w:hAnsi="TheSansCorrespondence"/>
          <w:sz w:val="22"/>
          <w:szCs w:val="22"/>
        </w:rPr>
        <w:br w:type="page"/>
      </w:r>
    </w:p>
    <w:p w14:paraId="74FB3F0A" w14:textId="1EE435A2" w:rsidR="004F3F8F" w:rsidRPr="004F3F8F" w:rsidRDefault="004F3F8F" w:rsidP="004F3F8F">
      <w:pPr>
        <w:ind w:right="140"/>
        <w:jc w:val="both"/>
        <w:rPr>
          <w:rFonts w:ascii="TheSansCorrespondence" w:hAnsi="TheSansCorrespondence"/>
          <w:bCs/>
          <w:sz w:val="22"/>
          <w:szCs w:val="22"/>
        </w:rPr>
      </w:pPr>
      <w:r w:rsidRPr="004F3F8F">
        <w:rPr>
          <w:rFonts w:ascii="TheSansCorrespondence" w:hAnsi="TheSansCorrespondence"/>
          <w:bCs/>
          <w:sz w:val="22"/>
          <w:szCs w:val="22"/>
        </w:rPr>
        <w:lastRenderedPageBreak/>
        <w:t>Satzung</w:t>
      </w:r>
      <w:r w:rsidRPr="004F3F8F">
        <w:rPr>
          <w:rFonts w:ascii="TheSansCorrespondence" w:hAnsi="TheSansCorrespondence"/>
          <w:b/>
          <w:bCs/>
          <w:sz w:val="22"/>
          <w:szCs w:val="22"/>
          <w:vertAlign w:val="superscript"/>
        </w:rPr>
        <w:footnoteReference w:id="1"/>
      </w:r>
      <w:r w:rsidRPr="004F3F8F">
        <w:rPr>
          <w:rFonts w:ascii="TheSansCorrespondence" w:hAnsi="TheSansCorrespondence"/>
          <w:bCs/>
          <w:sz w:val="22"/>
          <w:szCs w:val="22"/>
        </w:rPr>
        <w:t xml:space="preserve"> der Stadt/Gemeinde</w:t>
      </w:r>
      <w:r w:rsidR="00376512">
        <w:rPr>
          <w:rFonts w:ascii="TheSansCorrespondence" w:hAnsi="TheSansCorrespondence"/>
          <w:bCs/>
          <w:sz w:val="22"/>
          <w:szCs w:val="22"/>
        </w:rPr>
        <w:t xml:space="preserve"> …..</w:t>
      </w:r>
      <w:r w:rsidRPr="004F3F8F">
        <w:rPr>
          <w:rFonts w:ascii="TheSansCorrespondence" w:hAnsi="TheSansCorrespondence"/>
          <w:bCs/>
          <w:sz w:val="22"/>
          <w:szCs w:val="22"/>
        </w:rPr>
        <w:t xml:space="preserve"> über die Anstalt des öffentlichen Rechts .......</w:t>
      </w:r>
      <w:r w:rsidRPr="004F3F8F">
        <w:rPr>
          <w:rFonts w:ascii="TheSansCorrespondence" w:hAnsi="TheSansCorrespondence"/>
          <w:b/>
          <w:bCs/>
          <w:sz w:val="22"/>
          <w:szCs w:val="22"/>
          <w:vertAlign w:val="superscript"/>
        </w:rPr>
        <w:footnoteReference w:id="2"/>
      </w:r>
      <w:r w:rsidRPr="004F3F8F">
        <w:rPr>
          <w:rFonts w:ascii="TheSansCorrespondence" w:hAnsi="TheSansCorrespondence"/>
          <w:bCs/>
          <w:sz w:val="22"/>
          <w:szCs w:val="22"/>
        </w:rPr>
        <w:t xml:space="preserve"> vom .................</w:t>
      </w:r>
    </w:p>
    <w:p w14:paraId="65AE6B86" w14:textId="77777777" w:rsidR="004F3F8F" w:rsidRPr="004F3F8F" w:rsidRDefault="004F3F8F" w:rsidP="004F3F8F">
      <w:pPr>
        <w:rPr>
          <w:rFonts w:ascii="TheSansCorrespondence" w:hAnsi="TheSansCorrespondence"/>
          <w:bCs/>
          <w:sz w:val="22"/>
          <w:szCs w:val="22"/>
        </w:rPr>
      </w:pPr>
    </w:p>
    <w:p w14:paraId="6F5FEE7C" w14:textId="77777777" w:rsidR="004F3F8F" w:rsidRPr="004F3F8F" w:rsidRDefault="004F3F8F" w:rsidP="004F3F8F">
      <w:pPr>
        <w:rPr>
          <w:rFonts w:ascii="TheSansCorrespondence" w:hAnsi="TheSansCorrespondence"/>
          <w:bCs/>
          <w:sz w:val="22"/>
          <w:szCs w:val="22"/>
        </w:rPr>
      </w:pPr>
    </w:p>
    <w:p w14:paraId="4E4D0016" w14:textId="77777777" w:rsidR="004F3F8F" w:rsidRPr="004F3F8F" w:rsidRDefault="004F3F8F" w:rsidP="004F3F8F">
      <w:pPr>
        <w:ind w:right="140"/>
        <w:jc w:val="both"/>
        <w:rPr>
          <w:rFonts w:ascii="TheSansCorrespondence" w:hAnsi="TheSansCorrespondence"/>
          <w:bCs/>
          <w:sz w:val="22"/>
          <w:szCs w:val="22"/>
        </w:rPr>
      </w:pPr>
      <w:r w:rsidRPr="004F3F8F">
        <w:rPr>
          <w:rFonts w:ascii="TheSansCorrespondence" w:hAnsi="TheSansCorrespondence"/>
          <w:bCs/>
          <w:sz w:val="22"/>
          <w:szCs w:val="22"/>
        </w:rPr>
        <w:t>Aufgrund von § 7 Abs. 1 Satz 1, § 114 a Abs. 2 Satz 1 der Gemeindeordnung für das Land Nordrhein-Westfalen (GO) in der Fassung der Bekanntmachung vom 14. Juli 1994 (GV NRW, S. 666 ff.), zuletzt geändert durch Gesetz vom .............................. (GV NRW, S. ...........) hat der Rat der Stadt/Gemeinde</w:t>
      </w:r>
      <w:r w:rsidRPr="004F3F8F">
        <w:rPr>
          <w:rFonts w:ascii="TheSansCorrespondence" w:hAnsi="TheSansCorrespondence"/>
          <w:bCs/>
          <w:sz w:val="22"/>
          <w:szCs w:val="22"/>
          <w:vertAlign w:val="superscript"/>
        </w:rPr>
        <w:footnoteReference w:id="3"/>
      </w:r>
      <w:r w:rsidRPr="004F3F8F">
        <w:rPr>
          <w:rFonts w:ascii="TheSansCorrespondence" w:hAnsi="TheSansCorrespondence"/>
          <w:bCs/>
          <w:sz w:val="22"/>
          <w:szCs w:val="22"/>
        </w:rPr>
        <w:t xml:space="preserve"> ................................... in seiner Sitzung am .......................... folgende Satzung beschlossen:</w:t>
      </w:r>
    </w:p>
    <w:p w14:paraId="7B091B57" w14:textId="77777777" w:rsidR="004F3F8F" w:rsidRPr="004F3F8F" w:rsidRDefault="004F3F8F" w:rsidP="004F3F8F">
      <w:pPr>
        <w:rPr>
          <w:rFonts w:ascii="TheSansCorrespondence" w:hAnsi="TheSansCorrespondence"/>
          <w:bCs/>
          <w:sz w:val="22"/>
          <w:szCs w:val="22"/>
        </w:rPr>
      </w:pPr>
    </w:p>
    <w:p w14:paraId="276AC029" w14:textId="77777777" w:rsidR="004F3F8F" w:rsidRPr="004F3F8F" w:rsidRDefault="004F3F8F" w:rsidP="004F3F8F">
      <w:pPr>
        <w:rPr>
          <w:rFonts w:ascii="TheSansCorrespondence" w:hAnsi="TheSansCorrespondence"/>
          <w:bCs/>
          <w:sz w:val="22"/>
          <w:szCs w:val="22"/>
        </w:rPr>
      </w:pPr>
    </w:p>
    <w:p w14:paraId="455A9992" w14:textId="77777777" w:rsidR="004F3F8F" w:rsidRPr="004F3F8F" w:rsidRDefault="004F3F8F" w:rsidP="004F3F8F">
      <w:pPr>
        <w:ind w:right="140"/>
        <w:jc w:val="center"/>
        <w:rPr>
          <w:rFonts w:ascii="TheSansCorrespondence" w:hAnsi="TheSansCorrespondence"/>
          <w:b/>
          <w:bCs/>
          <w:sz w:val="22"/>
          <w:szCs w:val="22"/>
        </w:rPr>
      </w:pPr>
      <w:r w:rsidRPr="004F3F8F">
        <w:rPr>
          <w:rFonts w:ascii="TheSansCorrespondence" w:hAnsi="TheSansCorrespondence"/>
          <w:b/>
          <w:bCs/>
          <w:sz w:val="22"/>
          <w:szCs w:val="22"/>
        </w:rPr>
        <w:t>§ 1</w:t>
      </w:r>
    </w:p>
    <w:p w14:paraId="1ABBF0B8" w14:textId="77777777" w:rsidR="004F3F8F" w:rsidRPr="004F3F8F" w:rsidRDefault="004F3F8F" w:rsidP="004F3F8F">
      <w:pPr>
        <w:ind w:right="140"/>
        <w:jc w:val="center"/>
        <w:rPr>
          <w:rFonts w:ascii="TheSansCorrespondence" w:hAnsi="TheSansCorrespondence"/>
          <w:b/>
          <w:bCs/>
          <w:sz w:val="22"/>
          <w:szCs w:val="22"/>
        </w:rPr>
      </w:pPr>
      <w:r w:rsidRPr="004F3F8F">
        <w:rPr>
          <w:rFonts w:ascii="TheSansCorrespondence" w:hAnsi="TheSansCorrespondence"/>
          <w:b/>
          <w:bCs/>
          <w:sz w:val="22"/>
          <w:szCs w:val="22"/>
        </w:rPr>
        <w:t>Rechtsform, Name, Sitz, Stammkapital</w:t>
      </w:r>
    </w:p>
    <w:p w14:paraId="370E70B3" w14:textId="77777777" w:rsidR="004F3F8F" w:rsidRPr="004F3F8F" w:rsidRDefault="004F3F8F" w:rsidP="004F3F8F">
      <w:pPr>
        <w:rPr>
          <w:rFonts w:ascii="TheSansCorrespondence" w:hAnsi="TheSansCorrespondence"/>
          <w:bCs/>
          <w:sz w:val="22"/>
          <w:szCs w:val="22"/>
        </w:rPr>
      </w:pPr>
    </w:p>
    <w:p w14:paraId="40066329" w14:textId="6C8454E9" w:rsidR="004F3F8F" w:rsidRDefault="004F3F8F" w:rsidP="004861AA">
      <w:pPr>
        <w:pStyle w:val="Listenabsatz"/>
        <w:numPr>
          <w:ilvl w:val="0"/>
          <w:numId w:val="4"/>
        </w:numPr>
        <w:ind w:left="425" w:hanging="425"/>
      </w:pPr>
      <w:r w:rsidRPr="004F3F8F">
        <w:t>Die ..................</w:t>
      </w:r>
      <w:r w:rsidRPr="004F3F8F">
        <w:rPr>
          <w:vertAlign w:val="superscript"/>
        </w:rPr>
        <w:footnoteReference w:id="4"/>
      </w:r>
      <w:r w:rsidRPr="004F3F8F">
        <w:t xml:space="preserve"> ist ein selbständiges Unternehmen/eine selbständige Einrichtung der Stadt/Gemeinde in der Rechtsform einer Anstalt des öffentlichen Rechts (Kommunalunternehmen). Sie wird auf der Grundlage der gesetzlichen Vorschriften und den Bestimmungen dieser Satzung geführt.</w:t>
      </w:r>
    </w:p>
    <w:p w14:paraId="2BBA6003" w14:textId="77777777" w:rsidR="004F3F8F" w:rsidRPr="004F3F8F" w:rsidRDefault="004F3F8F" w:rsidP="004861AA"/>
    <w:p w14:paraId="5016F775" w14:textId="77777777" w:rsidR="004F3F8F" w:rsidRPr="004F3F8F" w:rsidRDefault="004F3F8F" w:rsidP="004861AA">
      <w:pPr>
        <w:pStyle w:val="Listenabsatz"/>
        <w:numPr>
          <w:ilvl w:val="0"/>
          <w:numId w:val="4"/>
        </w:numPr>
        <w:ind w:left="425" w:hanging="425"/>
      </w:pPr>
      <w:r w:rsidRPr="004F3F8F">
        <w:t>Das Kommunalunternehmen führt den Namen „ ............ “ mit dem Zusatz Anstalt des öffentlichen Rechts. Es tritt unter diesem Namen im gesamten Geschäfts- und Rechtsverkehr auf. Die Kurzbezeichnung lautet „...........“.</w:t>
      </w:r>
    </w:p>
    <w:p w14:paraId="1C201BFF" w14:textId="77777777" w:rsidR="004F3F8F" w:rsidRPr="004F3F8F" w:rsidRDefault="004F3F8F" w:rsidP="004F3F8F">
      <w:pPr>
        <w:rPr>
          <w:rFonts w:ascii="TheSansCorrespondence" w:hAnsi="TheSansCorrespondence"/>
          <w:bCs/>
          <w:sz w:val="22"/>
          <w:szCs w:val="22"/>
        </w:rPr>
      </w:pPr>
    </w:p>
    <w:p w14:paraId="16DECCF9" w14:textId="77777777" w:rsidR="004F3F8F" w:rsidRPr="004F3F8F" w:rsidRDefault="004F3F8F" w:rsidP="004861AA">
      <w:pPr>
        <w:pStyle w:val="Listenabsatz"/>
        <w:numPr>
          <w:ilvl w:val="0"/>
          <w:numId w:val="4"/>
        </w:numPr>
        <w:ind w:left="425" w:hanging="425"/>
      </w:pPr>
      <w:r w:rsidRPr="004F3F8F">
        <w:t>Das Kommunalunternehmen hat seinen Sitz in der Stadt/Gemeinde ........................</w:t>
      </w:r>
      <w:r w:rsidRPr="004F3F8F">
        <w:br/>
      </w:r>
    </w:p>
    <w:p w14:paraId="7C6A1CEF" w14:textId="0B38D6E5" w:rsidR="004F3F8F" w:rsidRDefault="004F3F8F" w:rsidP="004861AA">
      <w:pPr>
        <w:pStyle w:val="Listenabsatz"/>
        <w:numPr>
          <w:ilvl w:val="0"/>
          <w:numId w:val="4"/>
        </w:numPr>
        <w:ind w:left="425" w:hanging="425"/>
      </w:pPr>
      <w:r w:rsidRPr="004F3F8F">
        <w:t>Das Stammkapital beträgt .......... Euro.</w:t>
      </w:r>
      <w:r w:rsidR="0053082A">
        <w:t xml:space="preserve"> </w:t>
      </w:r>
    </w:p>
    <w:p w14:paraId="496785D4" w14:textId="77777777" w:rsidR="004F3F8F" w:rsidRPr="004F3F8F" w:rsidRDefault="004F3F8F" w:rsidP="00A218C0">
      <w:pPr>
        <w:ind w:left="360"/>
      </w:pPr>
    </w:p>
    <w:p w14:paraId="0DE4EAAC" w14:textId="77777777" w:rsidR="004F3F8F" w:rsidRPr="004F3F8F" w:rsidRDefault="004F3F8F" w:rsidP="004861AA">
      <w:pPr>
        <w:pStyle w:val="Listenabsatz"/>
        <w:numPr>
          <w:ilvl w:val="0"/>
          <w:numId w:val="4"/>
        </w:numPr>
        <w:ind w:left="425" w:hanging="425"/>
      </w:pPr>
      <w:r w:rsidRPr="004F3F8F">
        <w:t>Das Kommunalunternehmen führt ein Dienstsiegel. ………….. (Beschreibung des Siegels)</w:t>
      </w:r>
      <w:r w:rsidRPr="004F3F8F">
        <w:rPr>
          <w:vertAlign w:val="superscript"/>
        </w:rPr>
        <w:footnoteReference w:id="5"/>
      </w:r>
      <w:r w:rsidRPr="004F3F8F">
        <w:t xml:space="preserve"> </w:t>
      </w:r>
    </w:p>
    <w:p w14:paraId="220B870D" w14:textId="77777777" w:rsidR="004F3F8F" w:rsidRPr="004F3F8F" w:rsidRDefault="004F3F8F" w:rsidP="004F3F8F">
      <w:pPr>
        <w:rPr>
          <w:rFonts w:ascii="TheSansCorrespondence" w:hAnsi="TheSansCorrespondence"/>
          <w:bCs/>
          <w:sz w:val="22"/>
          <w:szCs w:val="22"/>
        </w:rPr>
      </w:pPr>
    </w:p>
    <w:p w14:paraId="2F48CAE6" w14:textId="77777777" w:rsidR="004F3F8F" w:rsidRPr="004F3F8F" w:rsidRDefault="004F3F8F" w:rsidP="004F3F8F">
      <w:pPr>
        <w:rPr>
          <w:rFonts w:ascii="TheSansCorrespondence" w:hAnsi="TheSansCorrespondence"/>
          <w:bCs/>
          <w:sz w:val="22"/>
          <w:szCs w:val="22"/>
        </w:rPr>
      </w:pPr>
    </w:p>
    <w:p w14:paraId="169CB6D8" w14:textId="77777777" w:rsidR="004F3F8F" w:rsidRPr="004F3F8F" w:rsidRDefault="004F3F8F" w:rsidP="00A218C0">
      <w:pPr>
        <w:ind w:right="140"/>
        <w:jc w:val="center"/>
        <w:rPr>
          <w:rFonts w:ascii="TheSansCorrespondence" w:hAnsi="TheSansCorrespondence"/>
          <w:b/>
          <w:bCs/>
          <w:sz w:val="22"/>
          <w:szCs w:val="22"/>
        </w:rPr>
      </w:pPr>
      <w:r w:rsidRPr="004F3F8F">
        <w:rPr>
          <w:rFonts w:ascii="TheSansCorrespondence" w:hAnsi="TheSansCorrespondence"/>
          <w:b/>
          <w:bCs/>
          <w:sz w:val="22"/>
          <w:szCs w:val="22"/>
        </w:rPr>
        <w:t>§ 2</w:t>
      </w:r>
    </w:p>
    <w:p w14:paraId="6950FF25" w14:textId="77777777" w:rsidR="004F3F8F" w:rsidRPr="004F3F8F" w:rsidRDefault="004F3F8F" w:rsidP="00A218C0">
      <w:pPr>
        <w:ind w:right="140"/>
        <w:jc w:val="center"/>
        <w:rPr>
          <w:rFonts w:ascii="TheSansCorrespondence" w:hAnsi="TheSansCorrespondence"/>
          <w:b/>
          <w:bCs/>
          <w:sz w:val="22"/>
          <w:szCs w:val="22"/>
        </w:rPr>
      </w:pPr>
      <w:r w:rsidRPr="004F3F8F">
        <w:rPr>
          <w:rFonts w:ascii="TheSansCorrespondence" w:hAnsi="TheSansCorrespondence"/>
          <w:b/>
          <w:bCs/>
          <w:sz w:val="22"/>
          <w:szCs w:val="22"/>
        </w:rPr>
        <w:t>Gegenstand des Kommunalunternehmens (Anstaltszweck)</w:t>
      </w:r>
    </w:p>
    <w:p w14:paraId="63590DE6" w14:textId="77777777" w:rsidR="004F3F8F" w:rsidRPr="004F3F8F" w:rsidRDefault="004F3F8F" w:rsidP="004F3F8F">
      <w:pPr>
        <w:rPr>
          <w:rFonts w:ascii="TheSansCorrespondence" w:hAnsi="TheSansCorrespondence"/>
          <w:bCs/>
          <w:sz w:val="22"/>
          <w:szCs w:val="22"/>
        </w:rPr>
      </w:pPr>
    </w:p>
    <w:p w14:paraId="6A771A20" w14:textId="286C01E8" w:rsidR="004F3F8F" w:rsidRDefault="004F3F8F" w:rsidP="004861AA">
      <w:pPr>
        <w:pStyle w:val="Listenabsatz"/>
        <w:numPr>
          <w:ilvl w:val="0"/>
          <w:numId w:val="18"/>
        </w:numPr>
        <w:ind w:left="425" w:hanging="425"/>
      </w:pPr>
      <w:r w:rsidRPr="004F3F8F">
        <w:t xml:space="preserve">Das Kommunalunternehmen übernimmt folgende, auf es übertragene Aufgaben, die es im eigenen Namen und in eigener Verantwortung durchführt (§ 114 a Abs. 3 Satz 1 GO): </w:t>
      </w:r>
    </w:p>
    <w:p w14:paraId="421ECA95" w14:textId="77777777" w:rsidR="00A218C0" w:rsidRPr="004F3F8F" w:rsidRDefault="00A218C0" w:rsidP="00A218C0">
      <w:pPr>
        <w:pStyle w:val="Listenabsatz"/>
        <w:ind w:left="425"/>
      </w:pPr>
    </w:p>
    <w:p w14:paraId="76323B34" w14:textId="77777777" w:rsidR="004F3F8F" w:rsidRPr="004F3F8F" w:rsidRDefault="004F3F8F" w:rsidP="00BA459F">
      <w:pPr>
        <w:pStyle w:val="Listenabsatz"/>
        <w:numPr>
          <w:ilvl w:val="0"/>
          <w:numId w:val="2"/>
        </w:numPr>
        <w:tabs>
          <w:tab w:val="clear" w:pos="360"/>
        </w:tabs>
        <w:ind w:left="850" w:hanging="425"/>
      </w:pPr>
      <w:r w:rsidRPr="004F3F8F">
        <w:t>.....................</w:t>
      </w:r>
    </w:p>
    <w:p w14:paraId="00162438" w14:textId="77777777" w:rsidR="004F3F8F" w:rsidRPr="004F3F8F" w:rsidRDefault="004F3F8F" w:rsidP="00BA459F">
      <w:pPr>
        <w:pStyle w:val="Listenabsatz"/>
        <w:numPr>
          <w:ilvl w:val="0"/>
          <w:numId w:val="2"/>
        </w:numPr>
        <w:tabs>
          <w:tab w:val="clear" w:pos="360"/>
        </w:tabs>
        <w:ind w:left="850" w:hanging="425"/>
      </w:pPr>
      <w:r w:rsidRPr="004F3F8F">
        <w:t>.....................</w:t>
      </w:r>
      <w:r w:rsidRPr="004F3F8F">
        <w:rPr>
          <w:vertAlign w:val="superscript"/>
        </w:rPr>
        <w:footnoteReference w:id="6"/>
      </w:r>
    </w:p>
    <w:p w14:paraId="6C78223A" w14:textId="77777777" w:rsidR="004F3F8F" w:rsidRPr="004F3F8F" w:rsidRDefault="004F3F8F" w:rsidP="004F3F8F">
      <w:pPr>
        <w:rPr>
          <w:rFonts w:ascii="TheSansCorrespondence" w:hAnsi="TheSansCorrespondence"/>
          <w:bCs/>
          <w:sz w:val="22"/>
          <w:szCs w:val="22"/>
        </w:rPr>
      </w:pPr>
    </w:p>
    <w:p w14:paraId="57C5F984" w14:textId="026044B9" w:rsidR="004F3F8F" w:rsidRPr="004F3F8F" w:rsidRDefault="004F3F8F" w:rsidP="004861AA">
      <w:pPr>
        <w:pStyle w:val="Listenabsatz"/>
        <w:numPr>
          <w:ilvl w:val="0"/>
          <w:numId w:val="18"/>
        </w:numPr>
        <w:ind w:left="425" w:hanging="425"/>
      </w:pPr>
      <w:r w:rsidRPr="004F3F8F">
        <w:t>Dem Kommunalunternehmen wird zudem die Durchführung folgender Aufgaben, die sie im Auftrag der Stadt/ Gemeinde …. als deren Erfüllungsgehilfe wahrnimmt, übertragen:</w:t>
      </w:r>
    </w:p>
    <w:p w14:paraId="61021A89" w14:textId="77777777" w:rsidR="004F3F8F" w:rsidRPr="004F3F8F" w:rsidRDefault="004F3F8F" w:rsidP="004F3F8F">
      <w:pPr>
        <w:rPr>
          <w:rFonts w:ascii="TheSansCorrespondence" w:hAnsi="TheSansCorrespondence"/>
          <w:bCs/>
          <w:sz w:val="22"/>
          <w:szCs w:val="22"/>
        </w:rPr>
      </w:pPr>
    </w:p>
    <w:p w14:paraId="28C0F4F4" w14:textId="7E272C7A" w:rsidR="004F3F8F" w:rsidRPr="004F3F8F" w:rsidRDefault="004F3F8F" w:rsidP="00BA459F">
      <w:pPr>
        <w:pStyle w:val="Listenabsatz"/>
        <w:numPr>
          <w:ilvl w:val="0"/>
          <w:numId w:val="5"/>
        </w:numPr>
        <w:tabs>
          <w:tab w:val="clear" w:pos="360"/>
        </w:tabs>
        <w:ind w:left="850" w:hanging="425"/>
      </w:pPr>
      <w:r w:rsidRPr="004F3F8F">
        <w:t>………………..</w:t>
      </w:r>
    </w:p>
    <w:p w14:paraId="0D81FFCC" w14:textId="40AB13E6" w:rsidR="004F3F8F" w:rsidRPr="004F3F8F" w:rsidRDefault="004F3F8F" w:rsidP="00BA459F">
      <w:pPr>
        <w:pStyle w:val="Listenabsatz"/>
        <w:numPr>
          <w:ilvl w:val="0"/>
          <w:numId w:val="5"/>
        </w:numPr>
        <w:tabs>
          <w:tab w:val="clear" w:pos="360"/>
        </w:tabs>
        <w:ind w:left="850" w:hanging="425"/>
      </w:pPr>
      <w:r w:rsidRPr="004F3F8F">
        <w:t>………………..</w:t>
      </w:r>
    </w:p>
    <w:p w14:paraId="3C7EA7E1" w14:textId="77777777" w:rsidR="004F3F8F" w:rsidRPr="004F3F8F" w:rsidRDefault="004F3F8F" w:rsidP="004F3F8F">
      <w:pPr>
        <w:rPr>
          <w:rFonts w:ascii="TheSansCorrespondence" w:hAnsi="TheSansCorrespondence"/>
          <w:bCs/>
          <w:sz w:val="22"/>
          <w:szCs w:val="22"/>
        </w:rPr>
      </w:pPr>
    </w:p>
    <w:p w14:paraId="7D10B9CA" w14:textId="05CB2E05" w:rsidR="004F3F8F" w:rsidRPr="00681D69" w:rsidRDefault="004F3F8F" w:rsidP="004F3F8F">
      <w:pPr>
        <w:pStyle w:val="Listenabsatz"/>
        <w:numPr>
          <w:ilvl w:val="0"/>
          <w:numId w:val="18"/>
        </w:numPr>
        <w:ind w:left="425" w:hanging="425"/>
      </w:pPr>
      <w:r w:rsidRPr="004F3F8F">
        <w:t xml:space="preserve">Das Kommunalunternehmen ist </w:t>
      </w:r>
      <w:r w:rsidR="00054976">
        <w:t xml:space="preserve">im Rahmen seines Unternehmensgegenstandes </w:t>
      </w:r>
      <w:r w:rsidRPr="004F3F8F">
        <w:t>zu allen Maßnahmen und Geschäften berechtigt, die de</w:t>
      </w:r>
      <w:r w:rsidR="00054976">
        <w:t>m</w:t>
      </w:r>
      <w:r w:rsidRPr="004F3F8F">
        <w:t xml:space="preserve"> Anstaltszweck </w:t>
      </w:r>
      <w:r w:rsidR="00054976">
        <w:t>dienen</w:t>
      </w:r>
      <w:r w:rsidRPr="004F3F8F">
        <w:t xml:space="preserve">. Es kann sich </w:t>
      </w:r>
      <w:r w:rsidRPr="004F3F8F">
        <w:lastRenderedPageBreak/>
        <w:t>anderer Unternehmen bedienen</w:t>
      </w:r>
      <w:r w:rsidR="00054976">
        <w:t xml:space="preserve"> sowie andere Unternehmen oder Einrichtungen gründen oder sich an solchen beteiligen.</w:t>
      </w:r>
      <w:r w:rsidR="00371929">
        <w:rPr>
          <w:rStyle w:val="Funotenzeichen"/>
        </w:rPr>
        <w:footnoteReference w:id="7"/>
      </w:r>
      <w:r w:rsidR="00054976">
        <w:t xml:space="preserve"> </w:t>
      </w:r>
    </w:p>
    <w:p w14:paraId="774E4421" w14:textId="77777777" w:rsidR="004F3F8F" w:rsidRPr="004F3F8F" w:rsidRDefault="004F3F8F" w:rsidP="004F3F8F">
      <w:pPr>
        <w:rPr>
          <w:rFonts w:ascii="TheSansCorrespondence" w:hAnsi="TheSansCorrespondence"/>
          <w:bCs/>
          <w:sz w:val="22"/>
          <w:szCs w:val="22"/>
        </w:rPr>
      </w:pPr>
    </w:p>
    <w:p w14:paraId="1098AD50" w14:textId="38C83749" w:rsidR="004F3F8F" w:rsidRPr="004F3F8F" w:rsidRDefault="004F3F8F" w:rsidP="004861AA">
      <w:pPr>
        <w:pStyle w:val="Listenabsatz"/>
        <w:numPr>
          <w:ilvl w:val="0"/>
          <w:numId w:val="18"/>
        </w:numPr>
        <w:ind w:left="425" w:hanging="425"/>
      </w:pPr>
      <w:r w:rsidRPr="004F3F8F">
        <w:t>Das Kommunalunternehmen kann die in Abs. 1 bezeichneten Aufgaben unter den jeweils geltenden gesetzlichen Voraussetzungen auch für andere Gemeinden wahrnehmen.</w:t>
      </w:r>
      <w:r w:rsidRPr="004F3F8F">
        <w:rPr>
          <w:vertAlign w:val="superscript"/>
        </w:rPr>
        <w:footnoteReference w:id="8"/>
      </w:r>
    </w:p>
    <w:p w14:paraId="4C3D8B56" w14:textId="77777777" w:rsidR="004F3F8F" w:rsidRPr="004F3F8F" w:rsidRDefault="004F3F8F" w:rsidP="004F3F8F">
      <w:pPr>
        <w:rPr>
          <w:rFonts w:ascii="TheSansCorrespondence" w:hAnsi="TheSansCorrespondence"/>
          <w:bCs/>
          <w:sz w:val="22"/>
          <w:szCs w:val="22"/>
        </w:rPr>
      </w:pPr>
    </w:p>
    <w:p w14:paraId="701741B3" w14:textId="10560533" w:rsidR="004F3F8F" w:rsidRPr="004F3F8F" w:rsidRDefault="004F3F8F" w:rsidP="004861AA">
      <w:pPr>
        <w:pStyle w:val="Listenabsatz"/>
        <w:numPr>
          <w:ilvl w:val="0"/>
          <w:numId w:val="18"/>
        </w:numPr>
        <w:ind w:left="425" w:hanging="425"/>
      </w:pPr>
      <w:r w:rsidRPr="004F3F8F">
        <w:t>Das Kommunalunternehmen ist berechtigt, anstelle der Stadt/Gemeinde</w:t>
      </w:r>
    </w:p>
    <w:p w14:paraId="4740599A" w14:textId="77777777" w:rsidR="004F3F8F" w:rsidRPr="004F3F8F" w:rsidRDefault="004F3F8F" w:rsidP="004F3F8F">
      <w:pPr>
        <w:rPr>
          <w:rFonts w:ascii="TheSansCorrespondence" w:hAnsi="TheSansCorrespondence"/>
          <w:bCs/>
          <w:sz w:val="22"/>
          <w:szCs w:val="22"/>
        </w:rPr>
      </w:pPr>
    </w:p>
    <w:p w14:paraId="0ABA403E" w14:textId="77777777" w:rsidR="004F3F8F" w:rsidRPr="004F3F8F" w:rsidRDefault="004F3F8F" w:rsidP="00BA459F">
      <w:pPr>
        <w:pStyle w:val="Listenabsatz"/>
        <w:numPr>
          <w:ilvl w:val="0"/>
          <w:numId w:val="6"/>
        </w:numPr>
        <w:tabs>
          <w:tab w:val="clear" w:pos="360"/>
        </w:tabs>
        <w:ind w:left="850" w:hanging="425"/>
      </w:pPr>
      <w:r w:rsidRPr="004F3F8F">
        <w:t>Satzungen für das gemäß § 2 Abs. 1 übertragene</w:t>
      </w:r>
      <w:r w:rsidRPr="004F3F8F">
        <w:rPr>
          <w:vertAlign w:val="superscript"/>
        </w:rPr>
        <w:footnoteReference w:id="9"/>
      </w:r>
      <w:r w:rsidRPr="004F3F8F">
        <w:t xml:space="preserve"> Aufgabengebiet zu erlassen,</w:t>
      </w:r>
    </w:p>
    <w:p w14:paraId="263F2F17" w14:textId="77777777" w:rsidR="004F3F8F" w:rsidRPr="004F3F8F" w:rsidRDefault="004F3F8F" w:rsidP="00BA459F">
      <w:pPr>
        <w:pStyle w:val="Listenabsatz"/>
        <w:numPr>
          <w:ilvl w:val="0"/>
          <w:numId w:val="6"/>
        </w:numPr>
        <w:tabs>
          <w:tab w:val="clear" w:pos="360"/>
        </w:tabs>
        <w:ind w:left="850" w:hanging="425"/>
      </w:pPr>
      <w:r w:rsidRPr="004F3F8F">
        <w:t>unter den Voraussetzungen des § 9 GO durch Satzung einen Anschluss- und Benutzungszwang der öffentlichen Einrichtung für den übertragenen Aufgabenkreis anzuordnen.</w:t>
      </w:r>
    </w:p>
    <w:p w14:paraId="0229129B" w14:textId="77777777" w:rsidR="00206586" w:rsidRDefault="00206586" w:rsidP="00206586">
      <w:pPr>
        <w:ind w:left="425"/>
        <w:rPr>
          <w:rFonts w:ascii="TheSansCorrespondence" w:hAnsi="TheSansCorrespondence"/>
          <w:bCs/>
          <w:sz w:val="22"/>
          <w:szCs w:val="22"/>
        </w:rPr>
      </w:pPr>
    </w:p>
    <w:p w14:paraId="60FE5168" w14:textId="33DBCB9D" w:rsidR="004F3F8F" w:rsidRPr="004F3F8F" w:rsidRDefault="004F3F8F" w:rsidP="00206586">
      <w:pPr>
        <w:ind w:left="425"/>
        <w:rPr>
          <w:rFonts w:ascii="TheSansCorrespondence" w:hAnsi="TheSansCorrespondence"/>
          <w:bCs/>
          <w:sz w:val="22"/>
          <w:szCs w:val="22"/>
        </w:rPr>
      </w:pPr>
      <w:r w:rsidRPr="004F3F8F">
        <w:rPr>
          <w:rFonts w:ascii="TheSansCorrespondence" w:hAnsi="TheSansCorrespondence"/>
          <w:bCs/>
          <w:sz w:val="22"/>
          <w:szCs w:val="22"/>
        </w:rPr>
        <w:t>Die Stadt/ Gemeinde .....</w:t>
      </w:r>
      <w:r w:rsidR="00206586">
        <w:rPr>
          <w:rFonts w:ascii="TheSansCorrespondence" w:hAnsi="TheSansCorrespondence"/>
          <w:bCs/>
          <w:sz w:val="22"/>
          <w:szCs w:val="22"/>
        </w:rPr>
        <w:t xml:space="preserve"> </w:t>
      </w:r>
      <w:r w:rsidRPr="004F3F8F">
        <w:rPr>
          <w:rFonts w:ascii="TheSansCorrespondence" w:hAnsi="TheSansCorrespondence"/>
          <w:bCs/>
          <w:sz w:val="22"/>
          <w:szCs w:val="22"/>
        </w:rPr>
        <w:t xml:space="preserve">überträgt insoweit das ihr gemäß §§ 1, 2, 4, 6, 8 und 10 des Kommunalabgabengesetz für das Land Nordrhein-Westfalen (KAG) zustehende Recht, Gebühren, Beiträge und Entgelte im Zusammenhang mit der wahrzunehmenden Aufgabe zu erheben. </w:t>
      </w:r>
      <w:r w:rsidRPr="004F3F8F">
        <w:rPr>
          <w:rFonts w:ascii="TheSansCorrespondence" w:hAnsi="TheSansCorrespondence"/>
          <w:bCs/>
          <w:sz w:val="22"/>
          <w:szCs w:val="22"/>
          <w:vertAlign w:val="superscript"/>
        </w:rPr>
        <w:footnoteReference w:id="10"/>
      </w:r>
    </w:p>
    <w:p w14:paraId="1785EAA2" w14:textId="77777777" w:rsidR="004F3F8F" w:rsidRPr="004F3F8F" w:rsidRDefault="004F3F8F" w:rsidP="00206586">
      <w:pPr>
        <w:ind w:left="425"/>
        <w:rPr>
          <w:rFonts w:ascii="TheSansCorrespondence" w:hAnsi="TheSansCorrespondence"/>
          <w:bCs/>
          <w:sz w:val="22"/>
          <w:szCs w:val="22"/>
        </w:rPr>
      </w:pPr>
    </w:p>
    <w:p w14:paraId="07871941" w14:textId="64761375" w:rsidR="004F3F8F" w:rsidRPr="004F3F8F" w:rsidRDefault="004F3F8F" w:rsidP="00206586">
      <w:pPr>
        <w:ind w:left="425"/>
        <w:rPr>
          <w:rFonts w:ascii="TheSansCorrespondence" w:hAnsi="TheSansCorrespondence"/>
          <w:bCs/>
          <w:sz w:val="22"/>
          <w:szCs w:val="22"/>
        </w:rPr>
      </w:pPr>
      <w:r w:rsidRPr="004F3F8F">
        <w:rPr>
          <w:rFonts w:ascii="TheSansCorrespondence" w:hAnsi="TheSansCorrespondence"/>
          <w:bCs/>
          <w:sz w:val="22"/>
          <w:szCs w:val="22"/>
        </w:rPr>
        <w:t>Das Kommunalunternehmen kann Beamt</w:t>
      </w:r>
      <w:r w:rsidR="007872EF">
        <w:rPr>
          <w:rFonts w:ascii="TheSansCorrespondence" w:hAnsi="TheSansCorrespondence"/>
          <w:bCs/>
          <w:sz w:val="22"/>
          <w:szCs w:val="22"/>
        </w:rPr>
        <w:t>inn</w:t>
      </w:r>
      <w:r w:rsidRPr="004F3F8F">
        <w:rPr>
          <w:rFonts w:ascii="TheSansCorrespondence" w:hAnsi="TheSansCorrespondence"/>
          <w:bCs/>
          <w:sz w:val="22"/>
          <w:szCs w:val="22"/>
        </w:rPr>
        <w:t>e</w:t>
      </w:r>
      <w:r w:rsidR="007872EF">
        <w:rPr>
          <w:rFonts w:ascii="TheSansCorrespondence" w:hAnsi="TheSansCorrespondence"/>
          <w:bCs/>
          <w:sz w:val="22"/>
          <w:szCs w:val="22"/>
        </w:rPr>
        <w:t>n</w:t>
      </w:r>
      <w:r w:rsidRPr="004F3F8F">
        <w:rPr>
          <w:rFonts w:ascii="TheSansCorrespondence" w:hAnsi="TheSansCorrespondence"/>
          <w:bCs/>
          <w:sz w:val="22"/>
          <w:szCs w:val="22"/>
        </w:rPr>
        <w:t xml:space="preserve"> und Beamte ernennen, versetzen, abordnen, befördern und entlassen, soweit </w:t>
      </w:r>
      <w:r w:rsidR="008E0B24">
        <w:rPr>
          <w:rFonts w:ascii="TheSansCorrespondence" w:hAnsi="TheSansCorrespondence"/>
          <w:bCs/>
          <w:sz w:val="22"/>
          <w:szCs w:val="22"/>
        </w:rPr>
        <w:t>es</w:t>
      </w:r>
      <w:r w:rsidRPr="004F3F8F">
        <w:rPr>
          <w:rFonts w:ascii="TheSansCorrespondence" w:hAnsi="TheSansCorrespondence"/>
          <w:bCs/>
          <w:sz w:val="22"/>
          <w:szCs w:val="22"/>
        </w:rPr>
        <w:t xml:space="preserve"> hoheitliche Befugnisse ausübt. Dies gilt sinngemäß, allerdings ohne die zuvor genannte Einschränkung, auch für Arbeitnehmerinnen </w:t>
      </w:r>
      <w:r w:rsidR="007872EF">
        <w:rPr>
          <w:rFonts w:ascii="TheSansCorrespondence" w:hAnsi="TheSansCorrespondence"/>
          <w:bCs/>
          <w:sz w:val="22"/>
          <w:szCs w:val="22"/>
        </w:rPr>
        <w:t>und Arbeitnehmer</w:t>
      </w:r>
      <w:r w:rsidRPr="004F3F8F">
        <w:rPr>
          <w:rFonts w:ascii="TheSansCorrespondence" w:hAnsi="TheSansCorrespondence"/>
          <w:bCs/>
          <w:sz w:val="22"/>
          <w:szCs w:val="22"/>
        </w:rPr>
        <w:t xml:space="preserve">. Die Regelungen des Landesgleichstellungsgesetzes </w:t>
      </w:r>
      <w:r w:rsidR="00C87906">
        <w:rPr>
          <w:rFonts w:ascii="TheSansCorrespondence" w:hAnsi="TheSansCorrespondence"/>
          <w:bCs/>
          <w:sz w:val="22"/>
          <w:szCs w:val="22"/>
        </w:rPr>
        <w:t>sind zu beachten.</w:t>
      </w:r>
    </w:p>
    <w:p w14:paraId="64E08244" w14:textId="77777777" w:rsidR="004F3F8F" w:rsidRPr="004F3F8F" w:rsidRDefault="004F3F8F" w:rsidP="00206586">
      <w:pPr>
        <w:ind w:left="425"/>
        <w:rPr>
          <w:rFonts w:ascii="TheSansCorrespondence" w:hAnsi="TheSansCorrespondence"/>
          <w:bCs/>
          <w:sz w:val="22"/>
          <w:szCs w:val="22"/>
        </w:rPr>
      </w:pPr>
    </w:p>
    <w:p w14:paraId="13F258A0" w14:textId="12430F81" w:rsidR="004F3F8F" w:rsidRPr="004F3F8F" w:rsidRDefault="004F3F8F" w:rsidP="004861AA">
      <w:pPr>
        <w:pStyle w:val="Listenabsatz"/>
        <w:numPr>
          <w:ilvl w:val="0"/>
          <w:numId w:val="18"/>
        </w:numPr>
        <w:ind w:left="425" w:hanging="425"/>
      </w:pPr>
      <w:r w:rsidRPr="004F3F8F">
        <w:t>Leistungsbeziehungen zwischen der Stadt/Gemeinde ….. und dem Kommunalunternehmen werden in Verträgen geregelt, die der Schriftform bedürfen.</w:t>
      </w:r>
    </w:p>
    <w:p w14:paraId="533EB782" w14:textId="77777777" w:rsidR="004F3F8F" w:rsidRPr="004F3F8F" w:rsidRDefault="004F3F8F" w:rsidP="004F3F8F">
      <w:pPr>
        <w:rPr>
          <w:rFonts w:ascii="TheSansCorrespondence" w:hAnsi="TheSansCorrespondence"/>
          <w:bCs/>
          <w:sz w:val="22"/>
          <w:szCs w:val="22"/>
        </w:rPr>
      </w:pPr>
    </w:p>
    <w:p w14:paraId="2812D7B6" w14:textId="77777777" w:rsidR="004F3F8F" w:rsidRPr="004F3F8F" w:rsidRDefault="004F3F8F" w:rsidP="004F3F8F">
      <w:pPr>
        <w:rPr>
          <w:rFonts w:ascii="TheSansCorrespondence" w:hAnsi="TheSansCorrespondence"/>
          <w:bCs/>
          <w:sz w:val="22"/>
          <w:szCs w:val="22"/>
        </w:rPr>
      </w:pPr>
    </w:p>
    <w:p w14:paraId="75EA20A7" w14:textId="77777777" w:rsidR="004F3F8F" w:rsidRPr="004F3F8F" w:rsidRDefault="004F3F8F" w:rsidP="00E55B44">
      <w:pPr>
        <w:ind w:right="140"/>
        <w:jc w:val="center"/>
        <w:rPr>
          <w:rFonts w:ascii="TheSansCorrespondence" w:hAnsi="TheSansCorrespondence"/>
          <w:b/>
          <w:bCs/>
          <w:sz w:val="22"/>
          <w:szCs w:val="22"/>
        </w:rPr>
      </w:pPr>
      <w:r w:rsidRPr="004F3F8F">
        <w:rPr>
          <w:rFonts w:ascii="TheSansCorrespondence" w:hAnsi="TheSansCorrespondence"/>
          <w:b/>
          <w:bCs/>
          <w:sz w:val="22"/>
          <w:szCs w:val="22"/>
        </w:rPr>
        <w:t>§ 3</w:t>
      </w:r>
    </w:p>
    <w:p w14:paraId="6B8388B0" w14:textId="77777777" w:rsidR="004F3F8F" w:rsidRPr="004F3F8F" w:rsidRDefault="004F3F8F" w:rsidP="00E55B44">
      <w:pPr>
        <w:ind w:right="140"/>
        <w:jc w:val="center"/>
        <w:rPr>
          <w:rFonts w:ascii="TheSansCorrespondence" w:hAnsi="TheSansCorrespondence"/>
          <w:b/>
          <w:bCs/>
          <w:sz w:val="22"/>
          <w:szCs w:val="22"/>
        </w:rPr>
      </w:pPr>
      <w:r w:rsidRPr="004F3F8F">
        <w:rPr>
          <w:rFonts w:ascii="TheSansCorrespondence" w:hAnsi="TheSansCorrespondence"/>
          <w:b/>
          <w:bCs/>
          <w:sz w:val="22"/>
          <w:szCs w:val="22"/>
        </w:rPr>
        <w:t>Organe</w:t>
      </w:r>
    </w:p>
    <w:p w14:paraId="301FB316" w14:textId="77777777" w:rsidR="004F3F8F" w:rsidRPr="004F3F8F" w:rsidRDefault="004F3F8F" w:rsidP="004F3F8F">
      <w:pPr>
        <w:rPr>
          <w:rFonts w:ascii="TheSansCorrespondence" w:hAnsi="TheSansCorrespondence"/>
          <w:bCs/>
          <w:sz w:val="22"/>
          <w:szCs w:val="22"/>
        </w:rPr>
      </w:pPr>
    </w:p>
    <w:p w14:paraId="4B26233D" w14:textId="77777777" w:rsidR="004F3F8F" w:rsidRPr="004F3F8F" w:rsidRDefault="004F3F8F" w:rsidP="00BA459F">
      <w:pPr>
        <w:pStyle w:val="Listenabsatz"/>
        <w:numPr>
          <w:ilvl w:val="0"/>
          <w:numId w:val="7"/>
        </w:numPr>
        <w:ind w:left="425" w:hanging="425"/>
      </w:pPr>
      <w:r w:rsidRPr="004F3F8F">
        <w:t>Organe des Kommunalunternehmens sind</w:t>
      </w:r>
    </w:p>
    <w:p w14:paraId="1122C99C" w14:textId="77777777" w:rsidR="004F3F8F" w:rsidRPr="004F3F8F" w:rsidRDefault="004F3F8F" w:rsidP="004F3F8F">
      <w:pPr>
        <w:rPr>
          <w:rFonts w:ascii="TheSansCorrespondence" w:hAnsi="TheSansCorrespondence"/>
          <w:bCs/>
          <w:sz w:val="22"/>
          <w:szCs w:val="22"/>
        </w:rPr>
      </w:pPr>
    </w:p>
    <w:p w14:paraId="7E9D0F1B" w14:textId="62D2242B" w:rsidR="004F3F8F" w:rsidRPr="004F3F8F" w:rsidRDefault="008E0B24" w:rsidP="00E55B44">
      <w:pPr>
        <w:ind w:left="425"/>
        <w:rPr>
          <w:rFonts w:ascii="TheSansCorrespondence" w:hAnsi="TheSansCorrespondence"/>
          <w:bCs/>
          <w:sz w:val="22"/>
          <w:szCs w:val="22"/>
        </w:rPr>
      </w:pPr>
      <w:r>
        <w:rPr>
          <w:rFonts w:ascii="TheSansCorrespondence" w:hAnsi="TheSansCorrespondence"/>
          <w:bCs/>
          <w:sz w:val="22"/>
          <w:szCs w:val="22"/>
        </w:rPr>
        <w:t>1.</w:t>
      </w:r>
      <w:r w:rsidR="004F3F8F" w:rsidRPr="004F3F8F">
        <w:rPr>
          <w:rFonts w:ascii="TheSansCorrespondence" w:hAnsi="TheSansCorrespondence"/>
          <w:bCs/>
          <w:sz w:val="22"/>
          <w:szCs w:val="22"/>
        </w:rPr>
        <w:t xml:space="preserve"> der Vorstand (§ 4)</w:t>
      </w:r>
    </w:p>
    <w:p w14:paraId="6A5969CE" w14:textId="1F4C3475" w:rsidR="004F3F8F" w:rsidRDefault="008E0B24" w:rsidP="00E55B44">
      <w:pPr>
        <w:ind w:left="425"/>
        <w:rPr>
          <w:rFonts w:ascii="TheSansCorrespondence" w:hAnsi="TheSansCorrespondence"/>
          <w:bCs/>
          <w:sz w:val="22"/>
          <w:szCs w:val="22"/>
        </w:rPr>
      </w:pPr>
      <w:r>
        <w:rPr>
          <w:rFonts w:ascii="TheSansCorrespondence" w:hAnsi="TheSansCorrespondence"/>
          <w:bCs/>
          <w:sz w:val="22"/>
          <w:szCs w:val="22"/>
        </w:rPr>
        <w:t>2.</w:t>
      </w:r>
      <w:r w:rsidR="004F3F8F" w:rsidRPr="004F3F8F">
        <w:rPr>
          <w:rFonts w:ascii="TheSansCorrespondence" w:hAnsi="TheSansCorrespondence"/>
          <w:bCs/>
          <w:sz w:val="22"/>
          <w:szCs w:val="22"/>
        </w:rPr>
        <w:t xml:space="preserve"> der Verwaltungsrat (§ 5).</w:t>
      </w:r>
    </w:p>
    <w:p w14:paraId="5857B747" w14:textId="77777777" w:rsidR="00E55B44" w:rsidRPr="004F3F8F" w:rsidRDefault="00E55B44" w:rsidP="004F3F8F">
      <w:pPr>
        <w:rPr>
          <w:rFonts w:ascii="TheSansCorrespondence" w:hAnsi="TheSansCorrespondence"/>
          <w:bCs/>
          <w:sz w:val="22"/>
          <w:szCs w:val="22"/>
        </w:rPr>
      </w:pPr>
    </w:p>
    <w:p w14:paraId="033CEC5D" w14:textId="77777777" w:rsidR="004F3F8F" w:rsidRPr="004F3F8F" w:rsidRDefault="004F3F8F" w:rsidP="00BA459F">
      <w:pPr>
        <w:pStyle w:val="Listenabsatz"/>
        <w:numPr>
          <w:ilvl w:val="0"/>
          <w:numId w:val="7"/>
        </w:numPr>
        <w:ind w:left="425" w:hanging="425"/>
      </w:pPr>
      <w:r w:rsidRPr="004F3F8F">
        <w:t>Die Mitglieder aller Organe des Kommunalunternehmens sind zur Verschwiegenheit über alle vertraulichen Angelegenheiten sowie über Geschäfts- und Betriebsgeheimnisse des Unternehmens verpflichtet. Die Pflicht besteht für die Mitglieder auch nach ihrem Ausscheiden aus dem Kommunalunternehmen fort. Sie gilt nicht gegenüber den Organen der Stadt/Gemeinde.</w:t>
      </w:r>
      <w:r w:rsidRPr="004F3F8F">
        <w:br/>
      </w:r>
    </w:p>
    <w:p w14:paraId="53446E2C" w14:textId="77777777" w:rsidR="004F3F8F" w:rsidRPr="004F3F8F" w:rsidRDefault="004F3F8F" w:rsidP="00BA459F">
      <w:pPr>
        <w:pStyle w:val="Listenabsatz"/>
        <w:numPr>
          <w:ilvl w:val="0"/>
          <w:numId w:val="7"/>
        </w:numPr>
        <w:ind w:left="425" w:hanging="425"/>
      </w:pPr>
      <w:r w:rsidRPr="004F3F8F">
        <w:t>Die Befangenheitsvorschriften des § 31 GO gelten entsprechend.</w:t>
      </w:r>
    </w:p>
    <w:p w14:paraId="03436548" w14:textId="77777777" w:rsidR="004F3F8F" w:rsidRPr="004F3F8F" w:rsidRDefault="004F3F8F" w:rsidP="004F3F8F">
      <w:pPr>
        <w:rPr>
          <w:rFonts w:ascii="TheSansCorrespondence" w:hAnsi="TheSansCorrespondence"/>
          <w:bCs/>
          <w:sz w:val="22"/>
          <w:szCs w:val="22"/>
        </w:rPr>
      </w:pPr>
    </w:p>
    <w:p w14:paraId="4B9136B9" w14:textId="77777777" w:rsidR="004F3F8F" w:rsidRPr="004F3F8F" w:rsidRDefault="004F3F8F" w:rsidP="004F3F8F">
      <w:pPr>
        <w:rPr>
          <w:rFonts w:ascii="TheSansCorrespondence" w:hAnsi="TheSansCorrespondence"/>
          <w:bCs/>
          <w:sz w:val="22"/>
          <w:szCs w:val="22"/>
        </w:rPr>
      </w:pPr>
    </w:p>
    <w:p w14:paraId="54D28743" w14:textId="65BD7DF5" w:rsidR="004F3F8F" w:rsidRPr="004F3F8F" w:rsidRDefault="004F3F8F" w:rsidP="00E55B44">
      <w:pPr>
        <w:ind w:right="140"/>
        <w:jc w:val="center"/>
        <w:rPr>
          <w:rFonts w:ascii="TheSansCorrespondence" w:hAnsi="TheSansCorrespondence"/>
          <w:b/>
          <w:bCs/>
          <w:sz w:val="22"/>
          <w:szCs w:val="22"/>
        </w:rPr>
      </w:pPr>
      <w:r w:rsidRPr="004F3F8F">
        <w:rPr>
          <w:rFonts w:ascii="TheSansCorrespondence" w:hAnsi="TheSansCorrespondence"/>
          <w:b/>
          <w:bCs/>
          <w:sz w:val="22"/>
          <w:szCs w:val="22"/>
        </w:rPr>
        <w:t>§ 4</w:t>
      </w:r>
    </w:p>
    <w:p w14:paraId="2B9C02F6" w14:textId="77777777" w:rsidR="004F3F8F" w:rsidRPr="004F3F8F" w:rsidRDefault="004F3F8F" w:rsidP="00E55B44">
      <w:pPr>
        <w:ind w:right="140"/>
        <w:jc w:val="center"/>
        <w:rPr>
          <w:rFonts w:ascii="TheSansCorrespondence" w:hAnsi="TheSansCorrespondence"/>
          <w:b/>
          <w:bCs/>
          <w:sz w:val="22"/>
          <w:szCs w:val="22"/>
        </w:rPr>
      </w:pPr>
      <w:r w:rsidRPr="004F3F8F">
        <w:rPr>
          <w:rFonts w:ascii="TheSansCorrespondence" w:hAnsi="TheSansCorrespondence"/>
          <w:b/>
          <w:bCs/>
          <w:sz w:val="22"/>
          <w:szCs w:val="22"/>
        </w:rPr>
        <w:t>Der Vorstand</w:t>
      </w:r>
    </w:p>
    <w:p w14:paraId="1B2A673E" w14:textId="77777777" w:rsidR="004F3F8F" w:rsidRPr="004F3F8F" w:rsidRDefault="004F3F8F" w:rsidP="004F3F8F">
      <w:pPr>
        <w:rPr>
          <w:rFonts w:ascii="TheSansCorrespondence" w:hAnsi="TheSansCorrespondence"/>
          <w:bCs/>
          <w:sz w:val="22"/>
          <w:szCs w:val="22"/>
        </w:rPr>
      </w:pPr>
    </w:p>
    <w:p w14:paraId="44C78120" w14:textId="77777777" w:rsidR="004F3F8F" w:rsidRPr="004F3F8F" w:rsidRDefault="004F3F8F" w:rsidP="00BA459F">
      <w:pPr>
        <w:pStyle w:val="Listenabsatz"/>
        <w:numPr>
          <w:ilvl w:val="0"/>
          <w:numId w:val="8"/>
        </w:numPr>
      </w:pPr>
      <w:r w:rsidRPr="004F3F8F">
        <w:t>Der Vorstand besteht aus .............. Mitglied/Mitgliedern.</w:t>
      </w:r>
      <w:r w:rsidRPr="004F3F8F">
        <w:rPr>
          <w:vertAlign w:val="superscript"/>
        </w:rPr>
        <w:footnoteReference w:id="11"/>
      </w:r>
      <w:r w:rsidRPr="004F3F8F">
        <w:t xml:space="preserve"> </w:t>
      </w:r>
    </w:p>
    <w:p w14:paraId="34B18D08" w14:textId="77777777" w:rsidR="004F3F8F" w:rsidRPr="004F3F8F" w:rsidRDefault="004F3F8F" w:rsidP="004F3F8F">
      <w:pPr>
        <w:rPr>
          <w:rFonts w:ascii="TheSansCorrespondence" w:hAnsi="TheSansCorrespondence"/>
          <w:bCs/>
          <w:sz w:val="22"/>
          <w:szCs w:val="22"/>
        </w:rPr>
      </w:pPr>
    </w:p>
    <w:p w14:paraId="1A7C2EAC" w14:textId="77777777" w:rsidR="004F3F8F" w:rsidRPr="004F3F8F" w:rsidRDefault="004F3F8F" w:rsidP="00BA459F">
      <w:pPr>
        <w:pStyle w:val="Listenabsatz"/>
        <w:numPr>
          <w:ilvl w:val="0"/>
          <w:numId w:val="8"/>
        </w:numPr>
        <w:ind w:left="425" w:hanging="425"/>
      </w:pPr>
      <w:r w:rsidRPr="004F3F8F">
        <w:t>Der Vorstand wird vom Verwaltungsrat auf die Dauer von höchstens fünf Jahren bestellt; eine erneute Bestellung ist zulässig.</w:t>
      </w:r>
    </w:p>
    <w:p w14:paraId="291729E5" w14:textId="77777777" w:rsidR="004F3F8F" w:rsidRPr="004F3F8F" w:rsidRDefault="004F3F8F" w:rsidP="004F3F8F">
      <w:pPr>
        <w:rPr>
          <w:rFonts w:ascii="TheSansCorrespondence" w:hAnsi="TheSansCorrespondence"/>
          <w:bCs/>
          <w:sz w:val="22"/>
          <w:szCs w:val="22"/>
        </w:rPr>
      </w:pPr>
    </w:p>
    <w:p w14:paraId="78AEEC83" w14:textId="77777777" w:rsidR="004F3F8F" w:rsidRPr="004F3F8F" w:rsidRDefault="004F3F8F" w:rsidP="00BA459F">
      <w:pPr>
        <w:pStyle w:val="Listenabsatz"/>
        <w:numPr>
          <w:ilvl w:val="0"/>
          <w:numId w:val="8"/>
        </w:numPr>
        <w:ind w:left="425" w:hanging="425"/>
      </w:pPr>
      <w:r w:rsidRPr="004F3F8F">
        <w:t>Der Vorstand leitet das Kommunalunternehmen eigenverantwortlich, soweit nicht gesetzlich</w:t>
      </w:r>
      <w:r w:rsidRPr="004F3F8F">
        <w:rPr>
          <w:vertAlign w:val="superscript"/>
        </w:rPr>
        <w:footnoteReference w:id="12"/>
      </w:r>
      <w:r w:rsidRPr="004F3F8F">
        <w:t xml:space="preserve"> oder durch diese Satzung</w:t>
      </w:r>
      <w:r w:rsidRPr="004F3F8F">
        <w:rPr>
          <w:vertAlign w:val="superscript"/>
        </w:rPr>
        <w:footnoteReference w:id="13"/>
      </w:r>
      <w:r w:rsidRPr="004F3F8F">
        <w:t xml:space="preserve"> etwas anderes bestimmt ist.</w:t>
      </w:r>
    </w:p>
    <w:p w14:paraId="69B451E0" w14:textId="77777777" w:rsidR="004F3F8F" w:rsidRPr="004F3F8F" w:rsidRDefault="004F3F8F" w:rsidP="004F3F8F">
      <w:pPr>
        <w:rPr>
          <w:rFonts w:ascii="TheSansCorrespondence" w:hAnsi="TheSansCorrespondence"/>
          <w:bCs/>
          <w:sz w:val="22"/>
          <w:szCs w:val="22"/>
        </w:rPr>
      </w:pPr>
    </w:p>
    <w:p w14:paraId="45B5FAFB" w14:textId="77777777" w:rsidR="004F3F8F" w:rsidRPr="004F3F8F" w:rsidRDefault="004F3F8F" w:rsidP="00BA459F">
      <w:pPr>
        <w:pStyle w:val="Listenabsatz"/>
        <w:numPr>
          <w:ilvl w:val="0"/>
          <w:numId w:val="8"/>
        </w:numPr>
        <w:ind w:left="425" w:hanging="425"/>
      </w:pPr>
      <w:r w:rsidRPr="004F3F8F">
        <w:t>Der Vorstand vertritt das Kommunalunternehmen gerichtlich und außergerichtlich.</w:t>
      </w:r>
      <w:r w:rsidRPr="004F3F8F">
        <w:rPr>
          <w:vertAlign w:val="superscript"/>
        </w:rPr>
        <w:footnoteReference w:id="14"/>
      </w:r>
      <w:r w:rsidRPr="004F3F8F">
        <w:t xml:space="preserve"> Der Vorstand wird im Falle seiner Verhinderung von Bevollmächtigten vertreten.</w:t>
      </w:r>
    </w:p>
    <w:p w14:paraId="716A4BA4" w14:textId="77777777" w:rsidR="004F3F8F" w:rsidRPr="004F3F8F" w:rsidRDefault="004F3F8F" w:rsidP="004F3F8F">
      <w:pPr>
        <w:rPr>
          <w:rFonts w:ascii="TheSansCorrespondence" w:hAnsi="TheSansCorrespondence"/>
          <w:bCs/>
          <w:sz w:val="22"/>
          <w:szCs w:val="22"/>
        </w:rPr>
      </w:pPr>
    </w:p>
    <w:p w14:paraId="15E4D854" w14:textId="77777777" w:rsidR="004F3F8F" w:rsidRPr="004F3F8F" w:rsidRDefault="004F3F8F" w:rsidP="00BA459F">
      <w:pPr>
        <w:pStyle w:val="Listenabsatz"/>
        <w:numPr>
          <w:ilvl w:val="0"/>
          <w:numId w:val="8"/>
        </w:numPr>
        <w:ind w:left="425" w:hanging="425"/>
      </w:pPr>
      <w:r w:rsidRPr="004F3F8F">
        <w:t>Der Vorstand hat den Verwaltungsrat über alle wichtigen Vorgänge rechtzeitig zu unterrichten und auf Anforderung den Verwaltungsrat über alle Angelegenheiten des Kommunalunternehmens Auskunft zu geben.</w:t>
      </w:r>
    </w:p>
    <w:p w14:paraId="074BCAD6" w14:textId="77777777" w:rsidR="004F3F8F" w:rsidRPr="004F3F8F" w:rsidRDefault="004F3F8F" w:rsidP="004F3F8F">
      <w:pPr>
        <w:rPr>
          <w:rFonts w:ascii="TheSansCorrespondence" w:hAnsi="TheSansCorrespondence"/>
          <w:bCs/>
          <w:sz w:val="22"/>
          <w:szCs w:val="22"/>
        </w:rPr>
      </w:pPr>
    </w:p>
    <w:p w14:paraId="01B12FB0" w14:textId="77777777" w:rsidR="004F3F8F" w:rsidRPr="004F3F8F" w:rsidRDefault="004F3F8F" w:rsidP="00BA459F">
      <w:pPr>
        <w:pStyle w:val="Listenabsatz"/>
        <w:numPr>
          <w:ilvl w:val="0"/>
          <w:numId w:val="8"/>
        </w:numPr>
        <w:ind w:left="425" w:hanging="425"/>
      </w:pPr>
      <w:r w:rsidRPr="004F3F8F">
        <w:t xml:space="preserve">Der Vorstand hat dem Verwaltungsrat ........ </w:t>
      </w:r>
      <w:r w:rsidRPr="004F3F8F">
        <w:rPr>
          <w:vertAlign w:val="superscript"/>
        </w:rPr>
        <w:footnoteReference w:id="15"/>
      </w:r>
      <w:r w:rsidRPr="004F3F8F">
        <w:t xml:space="preserve"> Zwischenberichte über die Abwicklung des Vermögens- und Erfolgsplanes schriftlich vorzulegen. Des Weiteren hat der Vorstand den Verwaltungsrat zu unterrichten, wenn bei der Ausführung des Erfolgsplanes erfolgsgefährdende Mindererträge oder Mehraufwendungen zu erwarten sind. Sind darüber hinaus Verluste zu erwarten, die Auswirkungen auf den Haushalt der Stadt/Gemeinde haben können, ist sie und der Verwaltungsrat hierüber unverzüglich zu unterrichten.</w:t>
      </w:r>
    </w:p>
    <w:p w14:paraId="057F3268" w14:textId="77777777" w:rsidR="004F3F8F" w:rsidRPr="004F3F8F" w:rsidRDefault="004F3F8F" w:rsidP="004F3F8F">
      <w:pPr>
        <w:rPr>
          <w:rFonts w:ascii="TheSansCorrespondence" w:hAnsi="TheSansCorrespondence"/>
          <w:bCs/>
          <w:sz w:val="22"/>
          <w:szCs w:val="22"/>
        </w:rPr>
      </w:pPr>
    </w:p>
    <w:p w14:paraId="7BBD6D7D" w14:textId="28D199B9" w:rsidR="004F3F8F" w:rsidRPr="004F3F8F" w:rsidRDefault="004F3F8F" w:rsidP="00BA459F">
      <w:pPr>
        <w:pStyle w:val="Listenabsatz"/>
        <w:numPr>
          <w:ilvl w:val="0"/>
          <w:numId w:val="8"/>
        </w:numPr>
        <w:ind w:left="425" w:hanging="425"/>
      </w:pPr>
      <w:r w:rsidRPr="004F3F8F">
        <w:t>Der Vorstand</w:t>
      </w:r>
      <w:r w:rsidRPr="004F3F8F">
        <w:rPr>
          <w:vertAlign w:val="superscript"/>
        </w:rPr>
        <w:footnoteReference w:id="16"/>
      </w:r>
      <w:r w:rsidRPr="004F3F8F">
        <w:t xml:space="preserve"> ist auch zuständig für sämtliche beamtenrechtliche Entscheidungen (z.B. Ernennung, Einstellung, Beförderung, Höhergruppierung, Abordnung, Versetzung, Ruhestandsversetzung, Änderungskündigung, Entlassung) sowie sämtliche arbeitsrechtlichen Entscheidungen gegenüber den Angestellten und Arbeitern einschließlich deren Einstellung nach Maßgabe des vom Verwaltungsrat genehmigten Wirtschaftsplans und dem diesen beigefügten Stellenplan. </w:t>
      </w:r>
    </w:p>
    <w:p w14:paraId="2D1E3D9A" w14:textId="77777777" w:rsidR="004F3F8F" w:rsidRPr="004F3F8F" w:rsidRDefault="004F3F8F" w:rsidP="004F3F8F">
      <w:pPr>
        <w:rPr>
          <w:rFonts w:ascii="TheSansCorrespondence" w:hAnsi="TheSansCorrespondence"/>
          <w:bCs/>
          <w:sz w:val="22"/>
          <w:szCs w:val="22"/>
        </w:rPr>
      </w:pPr>
    </w:p>
    <w:p w14:paraId="7C2E088B" w14:textId="77777777" w:rsidR="004F3F8F" w:rsidRPr="004F3F8F" w:rsidRDefault="004F3F8F" w:rsidP="004F3F8F">
      <w:pPr>
        <w:rPr>
          <w:rFonts w:ascii="TheSansCorrespondence" w:hAnsi="TheSansCorrespondence"/>
          <w:bCs/>
          <w:sz w:val="22"/>
          <w:szCs w:val="22"/>
        </w:rPr>
      </w:pPr>
    </w:p>
    <w:p w14:paraId="718B3E76" w14:textId="7278390E" w:rsidR="004F3F8F" w:rsidRPr="004F3F8F" w:rsidRDefault="004F3F8F" w:rsidP="00E55B44">
      <w:pPr>
        <w:ind w:right="140"/>
        <w:jc w:val="center"/>
        <w:rPr>
          <w:rFonts w:ascii="TheSansCorrespondence" w:hAnsi="TheSansCorrespondence"/>
          <w:b/>
          <w:bCs/>
          <w:sz w:val="22"/>
          <w:szCs w:val="22"/>
        </w:rPr>
      </w:pPr>
      <w:r w:rsidRPr="004F3F8F">
        <w:rPr>
          <w:rFonts w:ascii="TheSansCorrespondence" w:hAnsi="TheSansCorrespondence"/>
          <w:b/>
          <w:bCs/>
          <w:sz w:val="22"/>
          <w:szCs w:val="22"/>
        </w:rPr>
        <w:t>§ 5</w:t>
      </w:r>
    </w:p>
    <w:p w14:paraId="05E82F01" w14:textId="77777777" w:rsidR="004F3F8F" w:rsidRPr="004F3F8F" w:rsidRDefault="004F3F8F" w:rsidP="00E55B44">
      <w:pPr>
        <w:ind w:right="140"/>
        <w:jc w:val="center"/>
        <w:rPr>
          <w:rFonts w:ascii="TheSansCorrespondence" w:hAnsi="TheSansCorrespondence"/>
          <w:b/>
          <w:bCs/>
          <w:sz w:val="22"/>
          <w:szCs w:val="22"/>
        </w:rPr>
      </w:pPr>
      <w:r w:rsidRPr="004F3F8F">
        <w:rPr>
          <w:rFonts w:ascii="TheSansCorrespondence" w:hAnsi="TheSansCorrespondence"/>
          <w:b/>
          <w:bCs/>
          <w:sz w:val="22"/>
          <w:szCs w:val="22"/>
        </w:rPr>
        <w:t>Der Verwaltungsrat</w:t>
      </w:r>
    </w:p>
    <w:p w14:paraId="375FEFD6" w14:textId="77777777" w:rsidR="004F3F8F" w:rsidRPr="004F3F8F" w:rsidRDefault="004F3F8F" w:rsidP="004F3F8F">
      <w:pPr>
        <w:rPr>
          <w:rFonts w:ascii="TheSansCorrespondence" w:hAnsi="TheSansCorrespondence"/>
          <w:bCs/>
          <w:sz w:val="22"/>
          <w:szCs w:val="22"/>
        </w:rPr>
      </w:pPr>
    </w:p>
    <w:p w14:paraId="7680C09A" w14:textId="33C1CFED" w:rsidR="004F3F8F" w:rsidRPr="004F3F8F" w:rsidRDefault="004F3F8F" w:rsidP="00BA459F">
      <w:pPr>
        <w:pStyle w:val="Listenabsatz"/>
        <w:numPr>
          <w:ilvl w:val="0"/>
          <w:numId w:val="9"/>
        </w:numPr>
      </w:pPr>
      <w:r w:rsidRPr="004F3F8F">
        <w:t xml:space="preserve">Der Verwaltungsrat besteht aus dem </w:t>
      </w:r>
      <w:r w:rsidR="00C87906">
        <w:t xml:space="preserve">oder der </w:t>
      </w:r>
      <w:r w:rsidRPr="004F3F8F">
        <w:t>Vorsitzenden und ............. weiteren stimmberechtigten Mitgliedern</w:t>
      </w:r>
      <w:r w:rsidRPr="004F3F8F">
        <w:rPr>
          <w:vertAlign w:val="superscript"/>
        </w:rPr>
        <w:footnoteReference w:id="17"/>
      </w:r>
      <w:r w:rsidRPr="004F3F8F">
        <w:t>. Für sämtliche Mitglieder werden Vertreter bestellt.</w:t>
      </w:r>
      <w:r w:rsidRPr="004F3F8F">
        <w:rPr>
          <w:vertAlign w:val="superscript"/>
        </w:rPr>
        <w:footnoteReference w:id="18"/>
      </w:r>
      <w:r w:rsidRPr="004F3F8F">
        <w:t xml:space="preserve"> </w:t>
      </w:r>
    </w:p>
    <w:p w14:paraId="4469C84F" w14:textId="77777777" w:rsidR="004F3F8F" w:rsidRPr="004F3F8F" w:rsidRDefault="004F3F8F" w:rsidP="004F3F8F">
      <w:pPr>
        <w:rPr>
          <w:rFonts w:ascii="TheSansCorrespondence" w:hAnsi="TheSansCorrespondence"/>
          <w:bCs/>
          <w:sz w:val="22"/>
          <w:szCs w:val="22"/>
        </w:rPr>
      </w:pPr>
    </w:p>
    <w:p w14:paraId="2573B1DC" w14:textId="567A3FDF" w:rsidR="004F3F8F" w:rsidRDefault="004F3F8F" w:rsidP="004F3F8F">
      <w:pPr>
        <w:pStyle w:val="Listenabsatz"/>
        <w:numPr>
          <w:ilvl w:val="0"/>
          <w:numId w:val="9"/>
        </w:numPr>
        <w:ind w:left="425" w:hanging="425"/>
      </w:pPr>
      <w:r w:rsidRPr="004F3F8F">
        <w:lastRenderedPageBreak/>
        <w:t>Vorsitzender</w:t>
      </w:r>
      <w:r w:rsidR="00C87906">
        <w:t xml:space="preserve"> oder Vorsitzende</w:t>
      </w:r>
      <w:r w:rsidRPr="004F3F8F">
        <w:t xml:space="preserve"> des Verwaltungsrats ist der Bürgermeister oder die Bürgermeisterin</w:t>
      </w:r>
      <w:r w:rsidRPr="004F3F8F">
        <w:rPr>
          <w:vertAlign w:val="superscript"/>
        </w:rPr>
        <w:footnoteReference w:id="19"/>
      </w:r>
      <w:r w:rsidRPr="004F3F8F">
        <w:t xml:space="preserve">. </w:t>
      </w:r>
      <w:r w:rsidR="008536FA">
        <w:t>Er oder sie wird von dem</w:t>
      </w:r>
      <w:r w:rsidRPr="004F3F8F">
        <w:t xml:space="preserve"> </w:t>
      </w:r>
      <w:r w:rsidR="008536FA">
        <w:t>allgemeinen Vertreter oder der allgemeinen Vertreterin</w:t>
      </w:r>
      <w:r w:rsidRPr="004F3F8F">
        <w:t xml:space="preserve"> </w:t>
      </w:r>
      <w:r w:rsidR="008536FA">
        <w:t>vertreten</w:t>
      </w:r>
      <w:r w:rsidRPr="004F3F8F">
        <w:t xml:space="preserve">. </w:t>
      </w:r>
    </w:p>
    <w:p w14:paraId="18393AF0" w14:textId="77777777" w:rsidR="008536FA" w:rsidRPr="008536FA" w:rsidRDefault="008536FA" w:rsidP="008536FA">
      <w:pPr>
        <w:pStyle w:val="Listenabsatz"/>
        <w:ind w:left="425"/>
      </w:pPr>
    </w:p>
    <w:p w14:paraId="627AFA32" w14:textId="77777777" w:rsidR="004F3F8F" w:rsidRPr="004F3F8F" w:rsidRDefault="004F3F8F" w:rsidP="00BA459F">
      <w:pPr>
        <w:pStyle w:val="Listenabsatz"/>
        <w:numPr>
          <w:ilvl w:val="0"/>
          <w:numId w:val="9"/>
        </w:numPr>
        <w:ind w:left="425" w:hanging="425"/>
      </w:pPr>
      <w:r w:rsidRPr="004F3F8F">
        <w:t>Die übrigen Mitglieder des Verwaltungsrats werden vom Rat für die Dauer der Wahlperiode gewählt; für die Wahl gilt § 50 Abs. 4 GO sinngemäß.</w:t>
      </w:r>
    </w:p>
    <w:p w14:paraId="22DD2FA0" w14:textId="77777777" w:rsidR="004F3F8F" w:rsidRPr="004F3F8F" w:rsidRDefault="004F3F8F" w:rsidP="004F3F8F">
      <w:pPr>
        <w:rPr>
          <w:rFonts w:ascii="TheSansCorrespondence" w:hAnsi="TheSansCorrespondence"/>
          <w:bCs/>
          <w:sz w:val="22"/>
          <w:szCs w:val="22"/>
        </w:rPr>
      </w:pPr>
    </w:p>
    <w:p w14:paraId="1A78D057" w14:textId="77777777" w:rsidR="004F3F8F" w:rsidRPr="004F3F8F" w:rsidRDefault="004F3F8F" w:rsidP="00BA459F">
      <w:pPr>
        <w:pStyle w:val="Listenabsatz"/>
        <w:numPr>
          <w:ilvl w:val="0"/>
          <w:numId w:val="9"/>
        </w:numPr>
        <w:ind w:left="425" w:hanging="425"/>
      </w:pPr>
      <w:r w:rsidRPr="004F3F8F">
        <w:t>Die Amtszeit von Mitgliedern des Verwaltungsrats endet mit dem Ende der Wahlzeit oder für die Mitglieder des Verwaltungsrats, die dem Rat angehören, mit dem vorzeitigen Ausscheiden aus dem Rat. Die Mitglieder des Verwaltungsrats üben ihr Amt bis zum Amtsantritt</w:t>
      </w:r>
      <w:r w:rsidRPr="004F3F8F">
        <w:rPr>
          <w:vertAlign w:val="superscript"/>
        </w:rPr>
        <w:footnoteReference w:id="20"/>
      </w:r>
      <w:r w:rsidRPr="004F3F8F">
        <w:t xml:space="preserve"> der neuen Mitglieder weiter aus.</w:t>
      </w:r>
    </w:p>
    <w:p w14:paraId="27DD4A76" w14:textId="77777777" w:rsidR="004F3F8F" w:rsidRPr="004F3F8F" w:rsidRDefault="004F3F8F" w:rsidP="004F3F8F">
      <w:pPr>
        <w:rPr>
          <w:rFonts w:ascii="TheSansCorrespondence" w:hAnsi="TheSansCorrespondence"/>
          <w:bCs/>
          <w:sz w:val="22"/>
          <w:szCs w:val="22"/>
        </w:rPr>
      </w:pPr>
    </w:p>
    <w:p w14:paraId="6F7E54D3" w14:textId="445A06CD" w:rsidR="004F3F8F" w:rsidRDefault="004F3F8F" w:rsidP="00BA459F">
      <w:pPr>
        <w:pStyle w:val="Listenabsatz"/>
        <w:numPr>
          <w:ilvl w:val="0"/>
          <w:numId w:val="9"/>
        </w:numPr>
        <w:ind w:left="425" w:hanging="425"/>
      </w:pPr>
      <w:r w:rsidRPr="004F3F8F">
        <w:t>Der Verwaltungsrat hat der Stadt/Gemeinde auf Verlangen Auskunft über alle wichtigen Angelegenheiten des Kommunalunternehmens zu geben.</w:t>
      </w:r>
    </w:p>
    <w:p w14:paraId="4CC3ADE1" w14:textId="77777777" w:rsidR="00E55B44" w:rsidRPr="004F3F8F" w:rsidRDefault="00E55B44" w:rsidP="00E55B44">
      <w:pPr>
        <w:pStyle w:val="Listenabsatz"/>
        <w:ind w:left="425"/>
      </w:pPr>
    </w:p>
    <w:p w14:paraId="5C891930" w14:textId="77777777" w:rsidR="004F3F8F" w:rsidRPr="004F3F8F" w:rsidRDefault="004F3F8F" w:rsidP="00BA459F">
      <w:pPr>
        <w:pStyle w:val="Listenabsatz"/>
        <w:numPr>
          <w:ilvl w:val="0"/>
          <w:numId w:val="9"/>
        </w:numPr>
        <w:ind w:left="425" w:hanging="425"/>
      </w:pPr>
      <w:r w:rsidRPr="004F3F8F">
        <w:t>Die Mitglieder des Verwaltungsrats erhalten eine Entschädigung für die Teilnahme an dessen Sitzungen entsprechend den für Sitzungsgeld geltenden Bestimmungen der Entschädigungsverordnung in der jeweils geltenden Fassung.</w:t>
      </w:r>
    </w:p>
    <w:p w14:paraId="12982E11" w14:textId="77777777" w:rsidR="004F3F8F" w:rsidRPr="004F3F8F" w:rsidRDefault="004F3F8F" w:rsidP="004F3F8F">
      <w:pPr>
        <w:rPr>
          <w:rFonts w:ascii="TheSansCorrespondence" w:hAnsi="TheSansCorrespondence"/>
          <w:bCs/>
          <w:sz w:val="22"/>
          <w:szCs w:val="22"/>
        </w:rPr>
      </w:pPr>
    </w:p>
    <w:p w14:paraId="732BFDAB" w14:textId="77777777" w:rsidR="004F3F8F" w:rsidRPr="004F3F8F" w:rsidRDefault="004F3F8F" w:rsidP="00BA459F">
      <w:pPr>
        <w:pStyle w:val="Listenabsatz"/>
        <w:numPr>
          <w:ilvl w:val="0"/>
          <w:numId w:val="9"/>
        </w:numPr>
        <w:ind w:left="425" w:hanging="425"/>
      </w:pPr>
      <w:r w:rsidRPr="004F3F8F">
        <w:t>Der Verwaltungsrat gibt sich eine Geschäftsordnung.</w:t>
      </w:r>
    </w:p>
    <w:p w14:paraId="79AF6B80" w14:textId="77777777" w:rsidR="004F3F8F" w:rsidRPr="004F3F8F" w:rsidRDefault="004F3F8F" w:rsidP="004F3F8F">
      <w:pPr>
        <w:rPr>
          <w:rFonts w:ascii="TheSansCorrespondence" w:hAnsi="TheSansCorrespondence"/>
          <w:bCs/>
          <w:sz w:val="22"/>
          <w:szCs w:val="22"/>
        </w:rPr>
      </w:pPr>
    </w:p>
    <w:p w14:paraId="59BBFA5F" w14:textId="77777777" w:rsidR="004F3F8F" w:rsidRPr="004F3F8F" w:rsidRDefault="004F3F8F" w:rsidP="004F3F8F">
      <w:pPr>
        <w:rPr>
          <w:rFonts w:ascii="TheSansCorrespondence" w:hAnsi="TheSansCorrespondence"/>
          <w:bCs/>
          <w:sz w:val="22"/>
          <w:szCs w:val="22"/>
        </w:rPr>
      </w:pPr>
    </w:p>
    <w:p w14:paraId="3AF15B48" w14:textId="12C8DA1B" w:rsidR="004F3F8F" w:rsidRPr="004F3F8F" w:rsidRDefault="004F3F8F" w:rsidP="00E55B44">
      <w:pPr>
        <w:ind w:right="140"/>
        <w:jc w:val="center"/>
        <w:rPr>
          <w:rFonts w:ascii="TheSansCorrespondence" w:hAnsi="TheSansCorrespondence"/>
          <w:b/>
          <w:bCs/>
          <w:sz w:val="22"/>
          <w:szCs w:val="22"/>
        </w:rPr>
      </w:pPr>
      <w:r w:rsidRPr="004F3F8F">
        <w:rPr>
          <w:rFonts w:ascii="TheSansCorrespondence" w:hAnsi="TheSansCorrespondence"/>
          <w:b/>
          <w:bCs/>
          <w:sz w:val="22"/>
          <w:szCs w:val="22"/>
        </w:rPr>
        <w:t>§ 6</w:t>
      </w:r>
    </w:p>
    <w:p w14:paraId="5847B5B1" w14:textId="77777777" w:rsidR="004F3F8F" w:rsidRPr="004F3F8F" w:rsidRDefault="004F3F8F" w:rsidP="00E55B44">
      <w:pPr>
        <w:ind w:right="140"/>
        <w:jc w:val="center"/>
        <w:rPr>
          <w:rFonts w:ascii="TheSansCorrespondence" w:hAnsi="TheSansCorrespondence"/>
          <w:b/>
          <w:bCs/>
          <w:sz w:val="22"/>
          <w:szCs w:val="22"/>
        </w:rPr>
      </w:pPr>
      <w:r w:rsidRPr="004F3F8F">
        <w:rPr>
          <w:rFonts w:ascii="TheSansCorrespondence" w:hAnsi="TheSansCorrespondence"/>
          <w:b/>
          <w:bCs/>
          <w:sz w:val="22"/>
          <w:szCs w:val="22"/>
        </w:rPr>
        <w:t>Zuständigkeit des Verwaltungsrats</w:t>
      </w:r>
    </w:p>
    <w:p w14:paraId="52122DA7" w14:textId="77777777" w:rsidR="004F3F8F" w:rsidRPr="004F3F8F" w:rsidRDefault="004F3F8F" w:rsidP="004F3F8F">
      <w:pPr>
        <w:rPr>
          <w:rFonts w:ascii="TheSansCorrespondence" w:hAnsi="TheSansCorrespondence"/>
          <w:bCs/>
          <w:sz w:val="22"/>
          <w:szCs w:val="22"/>
        </w:rPr>
      </w:pPr>
    </w:p>
    <w:p w14:paraId="1E6E3E28" w14:textId="77777777" w:rsidR="004F3F8F" w:rsidRPr="004F3F8F" w:rsidRDefault="004F3F8F" w:rsidP="00BA459F">
      <w:pPr>
        <w:pStyle w:val="Listenabsatz"/>
        <w:numPr>
          <w:ilvl w:val="0"/>
          <w:numId w:val="10"/>
        </w:numPr>
      </w:pPr>
      <w:r w:rsidRPr="004F3F8F">
        <w:t>Der Verwaltungsrat überwacht die Geschäftsführung des Vorstandes.</w:t>
      </w:r>
    </w:p>
    <w:p w14:paraId="065339E2" w14:textId="77777777" w:rsidR="004F3F8F" w:rsidRPr="004F3F8F" w:rsidRDefault="004F3F8F" w:rsidP="004F3F8F">
      <w:pPr>
        <w:rPr>
          <w:rFonts w:ascii="TheSansCorrespondence" w:hAnsi="TheSansCorrespondence"/>
          <w:bCs/>
          <w:sz w:val="22"/>
          <w:szCs w:val="22"/>
        </w:rPr>
      </w:pPr>
    </w:p>
    <w:p w14:paraId="41E0532A" w14:textId="77777777" w:rsidR="004F3F8F" w:rsidRPr="004F3F8F" w:rsidRDefault="004F3F8F" w:rsidP="00BA459F">
      <w:pPr>
        <w:pStyle w:val="Listenabsatz"/>
        <w:numPr>
          <w:ilvl w:val="0"/>
          <w:numId w:val="10"/>
        </w:numPr>
        <w:ind w:left="425" w:hanging="425"/>
      </w:pPr>
      <w:r w:rsidRPr="004F3F8F">
        <w:t>Der Verwaltungsrat kann jederzeit vom Vorstand über alle Angelegenheiten des Kommunalunternehmens Berichterstattung verlangen.</w:t>
      </w:r>
    </w:p>
    <w:p w14:paraId="55E357B6" w14:textId="77777777" w:rsidR="004F3F8F" w:rsidRPr="004F3F8F" w:rsidRDefault="004F3F8F" w:rsidP="004F3F8F">
      <w:pPr>
        <w:rPr>
          <w:rFonts w:ascii="TheSansCorrespondence" w:hAnsi="TheSansCorrespondence"/>
          <w:bCs/>
          <w:sz w:val="22"/>
          <w:szCs w:val="22"/>
        </w:rPr>
      </w:pPr>
    </w:p>
    <w:p w14:paraId="0DA8B8B6" w14:textId="77777777" w:rsidR="004F3F8F" w:rsidRPr="004F3F8F" w:rsidRDefault="004F3F8F" w:rsidP="00BA459F">
      <w:pPr>
        <w:pStyle w:val="Listenabsatz"/>
        <w:numPr>
          <w:ilvl w:val="0"/>
          <w:numId w:val="10"/>
        </w:numPr>
        <w:ind w:left="425" w:hanging="425"/>
      </w:pPr>
      <w:r w:rsidRPr="004F3F8F">
        <w:t>Der Verwaltungsrat entscheidet über</w:t>
      </w:r>
      <w:r w:rsidRPr="004F3F8F">
        <w:rPr>
          <w:vertAlign w:val="superscript"/>
        </w:rPr>
        <w:footnoteReference w:id="21"/>
      </w:r>
      <w:r w:rsidRPr="004F3F8F">
        <w:t>:</w:t>
      </w:r>
    </w:p>
    <w:p w14:paraId="1CC2DE8F" w14:textId="77777777" w:rsidR="004F3F8F" w:rsidRPr="004F3F8F" w:rsidRDefault="004F3F8F" w:rsidP="004F3F8F">
      <w:pPr>
        <w:rPr>
          <w:rFonts w:ascii="TheSansCorrespondence" w:hAnsi="TheSansCorrespondence"/>
          <w:bCs/>
          <w:sz w:val="22"/>
          <w:szCs w:val="22"/>
        </w:rPr>
      </w:pPr>
    </w:p>
    <w:p w14:paraId="7AE0CF84" w14:textId="77777777" w:rsidR="004F3F8F" w:rsidRPr="004F3F8F" w:rsidRDefault="004F3F8F" w:rsidP="00BA459F">
      <w:pPr>
        <w:pStyle w:val="Listenabsatz"/>
        <w:numPr>
          <w:ilvl w:val="0"/>
          <w:numId w:val="11"/>
        </w:numPr>
        <w:tabs>
          <w:tab w:val="clear" w:pos="360"/>
        </w:tabs>
        <w:ind w:left="850" w:hanging="425"/>
      </w:pPr>
      <w:r w:rsidRPr="004F3F8F">
        <w:t>den Erlass von Satzungen im Rahmen des durch diese Satzung übertragenen Aufgabenbereichs (§ 2 Abs. 5)</w:t>
      </w:r>
    </w:p>
    <w:p w14:paraId="1D85E44E" w14:textId="77777777" w:rsidR="004F3F8F" w:rsidRPr="004F3F8F" w:rsidRDefault="004F3F8F" w:rsidP="00BA459F">
      <w:pPr>
        <w:pStyle w:val="Listenabsatz"/>
        <w:numPr>
          <w:ilvl w:val="0"/>
          <w:numId w:val="11"/>
        </w:numPr>
        <w:tabs>
          <w:tab w:val="clear" w:pos="360"/>
        </w:tabs>
        <w:ind w:left="850" w:hanging="425"/>
      </w:pPr>
      <w:r w:rsidRPr="004F3F8F">
        <w:t>die Beteiligung des Kommunalunternehmens an anderen Unternehmen sowie deren Gründung</w:t>
      </w:r>
      <w:r w:rsidRPr="004F3F8F">
        <w:rPr>
          <w:vertAlign w:val="superscript"/>
        </w:rPr>
        <w:footnoteReference w:id="22"/>
      </w:r>
    </w:p>
    <w:p w14:paraId="349446CC" w14:textId="77777777" w:rsidR="004F3F8F" w:rsidRPr="004F3F8F" w:rsidRDefault="004F3F8F" w:rsidP="00BA459F">
      <w:pPr>
        <w:pStyle w:val="Listenabsatz"/>
        <w:numPr>
          <w:ilvl w:val="0"/>
          <w:numId w:val="11"/>
        </w:numPr>
        <w:tabs>
          <w:tab w:val="clear" w:pos="360"/>
        </w:tabs>
        <w:ind w:left="850" w:hanging="425"/>
      </w:pPr>
      <w:r w:rsidRPr="004F3F8F">
        <w:t>die Bestellung und Abberufung des Vorstands sowie Regelungen des Dienstverhältnisses des Vorstandes</w:t>
      </w:r>
    </w:p>
    <w:p w14:paraId="376CDE5F" w14:textId="77777777" w:rsidR="004F3F8F" w:rsidRPr="004F3F8F" w:rsidRDefault="004F3F8F" w:rsidP="00BA459F">
      <w:pPr>
        <w:pStyle w:val="Listenabsatz"/>
        <w:numPr>
          <w:ilvl w:val="0"/>
          <w:numId w:val="11"/>
        </w:numPr>
        <w:tabs>
          <w:tab w:val="clear" w:pos="360"/>
        </w:tabs>
        <w:ind w:left="850" w:hanging="425"/>
      </w:pPr>
      <w:r w:rsidRPr="004F3F8F">
        <w:t>die Feststellung und Änderung des Wirtschaftsplans</w:t>
      </w:r>
    </w:p>
    <w:p w14:paraId="669BA951" w14:textId="77777777" w:rsidR="004F3F8F" w:rsidRPr="004F3F8F" w:rsidRDefault="004F3F8F" w:rsidP="00BA459F">
      <w:pPr>
        <w:pStyle w:val="Listenabsatz"/>
        <w:numPr>
          <w:ilvl w:val="0"/>
          <w:numId w:val="11"/>
        </w:numPr>
        <w:tabs>
          <w:tab w:val="clear" w:pos="360"/>
        </w:tabs>
        <w:ind w:left="850" w:hanging="425"/>
      </w:pPr>
      <w:r w:rsidRPr="004F3F8F">
        <w:lastRenderedPageBreak/>
        <w:t>die Festsetzung allgemein geltender Tarife und Entgelte für die Leistungsnehmer des Kommunalunternehmens</w:t>
      </w:r>
    </w:p>
    <w:p w14:paraId="7CBB7B36" w14:textId="77777777" w:rsidR="004F3F8F" w:rsidRPr="004F3F8F" w:rsidRDefault="004F3F8F" w:rsidP="00BA459F">
      <w:pPr>
        <w:pStyle w:val="Listenabsatz"/>
        <w:numPr>
          <w:ilvl w:val="0"/>
          <w:numId w:val="11"/>
        </w:numPr>
        <w:tabs>
          <w:tab w:val="clear" w:pos="360"/>
        </w:tabs>
        <w:ind w:left="850" w:hanging="425"/>
      </w:pPr>
      <w:r w:rsidRPr="004F3F8F">
        <w:t>die Bestellung des Abschlussprüfers</w:t>
      </w:r>
    </w:p>
    <w:p w14:paraId="3F72D14F" w14:textId="77777777" w:rsidR="004F3F8F" w:rsidRPr="004F3F8F" w:rsidRDefault="004F3F8F" w:rsidP="00BA459F">
      <w:pPr>
        <w:pStyle w:val="Listenabsatz"/>
        <w:numPr>
          <w:ilvl w:val="0"/>
          <w:numId w:val="11"/>
        </w:numPr>
        <w:tabs>
          <w:tab w:val="clear" w:pos="360"/>
        </w:tabs>
        <w:ind w:left="850" w:hanging="425"/>
      </w:pPr>
      <w:r w:rsidRPr="004F3F8F">
        <w:t>die Rechtsgeschäfte des Kommunalunternehmens im Sinne des § 111</w:t>
      </w:r>
    </w:p>
    <w:p w14:paraId="32D4A5EE" w14:textId="77777777" w:rsidR="004F3F8F" w:rsidRPr="004F3F8F" w:rsidRDefault="004F3F8F" w:rsidP="00BA459F">
      <w:pPr>
        <w:pStyle w:val="Listenabsatz"/>
        <w:numPr>
          <w:ilvl w:val="0"/>
          <w:numId w:val="11"/>
        </w:numPr>
        <w:tabs>
          <w:tab w:val="clear" w:pos="360"/>
        </w:tabs>
        <w:ind w:left="850" w:hanging="425"/>
      </w:pPr>
      <w:r w:rsidRPr="004F3F8F">
        <w:t xml:space="preserve"> die Feststellung des Jahresabschlusses</w:t>
      </w:r>
    </w:p>
    <w:p w14:paraId="22EE7A52" w14:textId="77777777" w:rsidR="004F3F8F" w:rsidRPr="004F3F8F" w:rsidRDefault="004F3F8F" w:rsidP="00BA459F">
      <w:pPr>
        <w:pStyle w:val="Listenabsatz"/>
        <w:numPr>
          <w:ilvl w:val="0"/>
          <w:numId w:val="11"/>
        </w:numPr>
        <w:tabs>
          <w:tab w:val="clear" w:pos="360"/>
        </w:tabs>
        <w:ind w:left="850" w:hanging="425"/>
      </w:pPr>
      <w:r w:rsidRPr="004F3F8F">
        <w:t>die Ergebnisverwendung</w:t>
      </w:r>
    </w:p>
    <w:p w14:paraId="31D773FB" w14:textId="7AECF0F1" w:rsidR="004F3F8F" w:rsidRPr="004F3F8F" w:rsidRDefault="004F3F8F" w:rsidP="00BA459F">
      <w:pPr>
        <w:pStyle w:val="Listenabsatz"/>
        <w:numPr>
          <w:ilvl w:val="0"/>
          <w:numId w:val="11"/>
        </w:numPr>
        <w:tabs>
          <w:tab w:val="clear" w:pos="360"/>
        </w:tabs>
        <w:ind w:left="850" w:hanging="425"/>
      </w:pPr>
      <w:r w:rsidRPr="004F3F8F">
        <w:t>die Entlastung des Vorstandes</w:t>
      </w:r>
    </w:p>
    <w:p w14:paraId="31893602" w14:textId="77777777" w:rsidR="004F3F8F" w:rsidRPr="004F3F8F" w:rsidRDefault="004F3F8F" w:rsidP="004F3F8F">
      <w:pPr>
        <w:rPr>
          <w:rFonts w:ascii="TheSansCorrespondence" w:hAnsi="TheSansCorrespondence"/>
          <w:bCs/>
          <w:sz w:val="22"/>
          <w:szCs w:val="22"/>
        </w:rPr>
      </w:pPr>
    </w:p>
    <w:p w14:paraId="77E9ABB0" w14:textId="5116DD20" w:rsidR="004F3F8F" w:rsidRDefault="004F3F8F" w:rsidP="00E55B44">
      <w:pPr>
        <w:ind w:left="425"/>
        <w:rPr>
          <w:rFonts w:ascii="TheSansCorrespondence" w:hAnsi="TheSansCorrespondence"/>
          <w:bCs/>
          <w:sz w:val="22"/>
          <w:szCs w:val="22"/>
        </w:rPr>
      </w:pPr>
      <w:r w:rsidRPr="004F3F8F">
        <w:rPr>
          <w:rFonts w:ascii="TheSansCorrespondence" w:hAnsi="TheSansCorrespondence"/>
          <w:bCs/>
          <w:sz w:val="22"/>
          <w:szCs w:val="22"/>
        </w:rPr>
        <w:t>Im Fall der Nummer 1 unterliegt der Verwaltungsrat den Weisungen des Rates, in den Fällen der Nr. 2. und 7. bedarf es der vorherigen Entscheidung des Rates.</w:t>
      </w:r>
      <w:r w:rsidRPr="004F3F8F">
        <w:rPr>
          <w:rFonts w:ascii="TheSansCorrespondence" w:hAnsi="TheSansCorrespondence"/>
          <w:bCs/>
          <w:sz w:val="22"/>
          <w:szCs w:val="22"/>
          <w:vertAlign w:val="superscript"/>
        </w:rPr>
        <w:footnoteReference w:id="23"/>
      </w:r>
      <w:r w:rsidRPr="004F3F8F">
        <w:rPr>
          <w:rFonts w:ascii="TheSansCorrespondence" w:hAnsi="TheSansCorrespondence"/>
          <w:bCs/>
          <w:sz w:val="22"/>
          <w:szCs w:val="22"/>
        </w:rPr>
        <w:t>.</w:t>
      </w:r>
    </w:p>
    <w:p w14:paraId="752DE937" w14:textId="77777777" w:rsidR="00E55B44" w:rsidRPr="004F3F8F" w:rsidRDefault="00E55B44" w:rsidP="004F3F8F">
      <w:pPr>
        <w:rPr>
          <w:rFonts w:ascii="TheSansCorrespondence" w:hAnsi="TheSansCorrespondence"/>
          <w:bCs/>
          <w:sz w:val="22"/>
          <w:szCs w:val="22"/>
        </w:rPr>
      </w:pPr>
    </w:p>
    <w:p w14:paraId="5A6C6B48" w14:textId="0B95C374" w:rsidR="004F3F8F" w:rsidRPr="004F3F8F" w:rsidRDefault="004F3F8F" w:rsidP="00BA459F">
      <w:pPr>
        <w:pStyle w:val="Listenabsatz"/>
        <w:numPr>
          <w:ilvl w:val="0"/>
          <w:numId w:val="10"/>
        </w:numPr>
        <w:ind w:left="425" w:hanging="425"/>
      </w:pPr>
      <w:r w:rsidRPr="004F3F8F">
        <w:t>Dem Vorstand gegenüber vertritt der Vorsitzende des Verwaltungsrats das Kommunalunternehmen gerichtlich und außergerichtlich.</w:t>
      </w:r>
    </w:p>
    <w:p w14:paraId="0C5C9C2D" w14:textId="77777777" w:rsidR="004F3F8F" w:rsidRPr="004F3F8F" w:rsidRDefault="004F3F8F" w:rsidP="004F3F8F">
      <w:pPr>
        <w:rPr>
          <w:rFonts w:ascii="TheSansCorrespondence" w:hAnsi="TheSansCorrespondence"/>
          <w:bCs/>
          <w:sz w:val="22"/>
          <w:szCs w:val="22"/>
        </w:rPr>
      </w:pPr>
    </w:p>
    <w:p w14:paraId="57E016DB" w14:textId="77777777" w:rsidR="004F3F8F" w:rsidRPr="004F3F8F" w:rsidRDefault="004F3F8F" w:rsidP="004F3F8F">
      <w:pPr>
        <w:rPr>
          <w:rFonts w:ascii="TheSansCorrespondence" w:hAnsi="TheSansCorrespondence"/>
          <w:bCs/>
          <w:sz w:val="22"/>
          <w:szCs w:val="22"/>
        </w:rPr>
      </w:pPr>
    </w:p>
    <w:p w14:paraId="1AA946B6" w14:textId="1298BFDD" w:rsidR="004F3F8F" w:rsidRPr="004F3F8F" w:rsidRDefault="004F3F8F" w:rsidP="00E55B44">
      <w:pPr>
        <w:ind w:right="140"/>
        <w:jc w:val="center"/>
        <w:rPr>
          <w:rFonts w:ascii="TheSansCorrespondence" w:hAnsi="TheSansCorrespondence"/>
          <w:b/>
          <w:bCs/>
          <w:sz w:val="22"/>
          <w:szCs w:val="22"/>
        </w:rPr>
      </w:pPr>
      <w:r w:rsidRPr="004F3F8F">
        <w:rPr>
          <w:rFonts w:ascii="TheSansCorrespondence" w:hAnsi="TheSansCorrespondence"/>
          <w:b/>
          <w:bCs/>
          <w:sz w:val="22"/>
          <w:szCs w:val="22"/>
        </w:rPr>
        <w:t>§ 7</w:t>
      </w:r>
    </w:p>
    <w:p w14:paraId="6B0A85DD" w14:textId="77777777" w:rsidR="004F3F8F" w:rsidRPr="004F3F8F" w:rsidRDefault="004F3F8F" w:rsidP="00E55B44">
      <w:pPr>
        <w:ind w:right="140"/>
        <w:jc w:val="center"/>
        <w:rPr>
          <w:rFonts w:ascii="TheSansCorrespondence" w:hAnsi="TheSansCorrespondence"/>
          <w:b/>
          <w:bCs/>
          <w:sz w:val="22"/>
          <w:szCs w:val="22"/>
        </w:rPr>
      </w:pPr>
      <w:r w:rsidRPr="004F3F8F">
        <w:rPr>
          <w:rFonts w:ascii="TheSansCorrespondence" w:hAnsi="TheSansCorrespondence"/>
          <w:b/>
          <w:bCs/>
          <w:sz w:val="22"/>
          <w:szCs w:val="22"/>
        </w:rPr>
        <w:t>Einberufung und Beschlüsse des Verwaltungsrats</w:t>
      </w:r>
    </w:p>
    <w:p w14:paraId="0DBE4FA5" w14:textId="77777777" w:rsidR="004F3F8F" w:rsidRPr="004F3F8F" w:rsidRDefault="004F3F8F" w:rsidP="004F3F8F">
      <w:pPr>
        <w:rPr>
          <w:rFonts w:ascii="TheSansCorrespondence" w:hAnsi="TheSansCorrespondence"/>
          <w:bCs/>
          <w:sz w:val="22"/>
          <w:szCs w:val="22"/>
        </w:rPr>
      </w:pPr>
    </w:p>
    <w:p w14:paraId="59023732" w14:textId="2BA97529" w:rsidR="004F3F8F" w:rsidRPr="004F3F8F" w:rsidRDefault="004F3F8F" w:rsidP="00BA459F">
      <w:pPr>
        <w:pStyle w:val="Listenabsatz"/>
        <w:numPr>
          <w:ilvl w:val="0"/>
          <w:numId w:val="12"/>
        </w:numPr>
        <w:ind w:left="425" w:hanging="425"/>
      </w:pPr>
      <w:r w:rsidRPr="004F3F8F">
        <w:t xml:space="preserve">Der Verwaltungsrat tritt auf schriftliche Einladung des Vorsitzenden des Verwaltungsrats zusammen. Die Einladung muss Tagungszeit und </w:t>
      </w:r>
      <w:r w:rsidR="00D7338A">
        <w:t>-</w:t>
      </w:r>
      <w:r w:rsidRPr="004F3F8F">
        <w:t xml:space="preserve">ort und die Tagesordnung angeben. Sie muss den Mitgliedern des Verwaltungsrats spätestens am </w:t>
      </w:r>
      <w:r w:rsidR="000A6E27">
        <w:t xml:space="preserve">…….. (z.B. </w:t>
      </w:r>
      <w:r w:rsidRPr="004F3F8F">
        <w:t>siebten</w:t>
      </w:r>
      <w:r w:rsidR="000A6E27">
        <w:t>)</w:t>
      </w:r>
      <w:r w:rsidRPr="004F3F8F">
        <w:t xml:space="preserve"> Tag vor der Sitzung zugehen. In dringenden Fällen kann die Frist bis auf 24 Stunden verkürzt werden.</w:t>
      </w:r>
    </w:p>
    <w:p w14:paraId="450C533A" w14:textId="77777777" w:rsidR="004F3F8F" w:rsidRPr="004F3F8F" w:rsidRDefault="004F3F8F" w:rsidP="004F3F8F">
      <w:pPr>
        <w:rPr>
          <w:rFonts w:ascii="TheSansCorrespondence" w:hAnsi="TheSansCorrespondence"/>
          <w:bCs/>
          <w:sz w:val="22"/>
          <w:szCs w:val="22"/>
        </w:rPr>
      </w:pPr>
    </w:p>
    <w:p w14:paraId="04E1BEA7" w14:textId="77777777" w:rsidR="004F3F8F" w:rsidRPr="004F3F8F" w:rsidRDefault="004F3F8F" w:rsidP="00BA459F">
      <w:pPr>
        <w:pStyle w:val="Listenabsatz"/>
        <w:numPr>
          <w:ilvl w:val="0"/>
          <w:numId w:val="12"/>
        </w:numPr>
        <w:ind w:left="425" w:hanging="425"/>
      </w:pPr>
      <w:r w:rsidRPr="004F3F8F">
        <w:t>Der Verwaltungsrat ist jährlich mindestens ............. (Anzahl der Häufigkeit, z.B. zweimal) einzuberufen. Er muss außerdem einberufen werden, wenn dies ein .............. (Quorum, z.B. ein Drittel) der Mitglieder des Verwaltungsrats unter Angabe des Beratungsgegenstandes beantragt.</w:t>
      </w:r>
    </w:p>
    <w:p w14:paraId="635BB354" w14:textId="77777777" w:rsidR="004F3F8F" w:rsidRPr="004F3F8F" w:rsidRDefault="004F3F8F" w:rsidP="004F3F8F">
      <w:pPr>
        <w:rPr>
          <w:rFonts w:ascii="TheSansCorrespondence" w:hAnsi="TheSansCorrespondence"/>
          <w:bCs/>
          <w:sz w:val="22"/>
          <w:szCs w:val="22"/>
        </w:rPr>
      </w:pPr>
    </w:p>
    <w:p w14:paraId="7FBB1190" w14:textId="1A6D300A" w:rsidR="008536FA" w:rsidRDefault="004F3F8F" w:rsidP="00BA459F">
      <w:pPr>
        <w:pStyle w:val="Listenabsatz"/>
        <w:numPr>
          <w:ilvl w:val="0"/>
          <w:numId w:val="12"/>
        </w:numPr>
        <w:ind w:left="425" w:hanging="425"/>
      </w:pPr>
      <w:r w:rsidRPr="004F3F8F">
        <w:t xml:space="preserve">Die Sitzungen des Verwaltungsrats werden vom Vorsitzenden des Verwaltungsrats geleitet. </w:t>
      </w:r>
    </w:p>
    <w:p w14:paraId="69D8B949" w14:textId="77777777" w:rsidR="00EA26A1" w:rsidRDefault="00EA26A1" w:rsidP="00EA26A1">
      <w:pPr>
        <w:pStyle w:val="Listenabsatz"/>
        <w:ind w:left="425"/>
      </w:pPr>
    </w:p>
    <w:p w14:paraId="54F5AA49" w14:textId="245B6DAA" w:rsidR="00EA26A1" w:rsidRDefault="00EA26A1" w:rsidP="00EA26A1">
      <w:pPr>
        <w:pStyle w:val="Listenabsatz"/>
        <w:ind w:left="425"/>
      </w:pPr>
      <w:r>
        <w:t xml:space="preserve">Die Sitzungen des Verwaltungsrats sind öffentlich. </w:t>
      </w:r>
      <w:r w:rsidRPr="004F3F8F">
        <w:t xml:space="preserve">Zeit und Ort der Sitzung sowie die Tagesordnung </w:t>
      </w:r>
      <w:r>
        <w:t xml:space="preserve">sind </w:t>
      </w:r>
      <w:r w:rsidRPr="004F3F8F">
        <w:t xml:space="preserve">in entsprechender Anwendung von § 48 </w:t>
      </w:r>
      <w:r>
        <w:t xml:space="preserve">Abs. 1 Satz 4 </w:t>
      </w:r>
      <w:r w:rsidRPr="004F3F8F">
        <w:t>GO öffentlich bekannt zu machen.</w:t>
      </w:r>
      <w:r>
        <w:t xml:space="preserve"> Für den Ausschluss der Öffentlichkeit gelten die Regelungen des § 48 Abs. 2 GO entsprechend.</w:t>
      </w:r>
    </w:p>
    <w:p w14:paraId="628AC99B" w14:textId="016517A7" w:rsidR="00EA26A1" w:rsidRDefault="00EA26A1" w:rsidP="00EA26A1">
      <w:pPr>
        <w:pStyle w:val="Listenabsatz"/>
        <w:ind w:left="425"/>
      </w:pPr>
    </w:p>
    <w:p w14:paraId="45B2909D" w14:textId="049284B9" w:rsidR="00EA26A1" w:rsidRDefault="00EA26A1" w:rsidP="00EA26A1">
      <w:pPr>
        <w:pStyle w:val="Listenabsatz"/>
        <w:ind w:left="425"/>
      </w:pPr>
      <w:r>
        <w:rPr>
          <w:b/>
          <w:bCs w:val="0"/>
        </w:rPr>
        <w:t>Alternativ:</w:t>
      </w:r>
    </w:p>
    <w:p w14:paraId="2D57D3CD" w14:textId="77777777" w:rsidR="008536FA" w:rsidRDefault="008536FA" w:rsidP="00EA26A1"/>
    <w:p w14:paraId="4FFB933A" w14:textId="3991614E" w:rsidR="004F3F8F" w:rsidRPr="004F3F8F" w:rsidRDefault="004F3F8F" w:rsidP="00EA26A1">
      <w:pPr>
        <w:pStyle w:val="Listenabsatz"/>
        <w:ind w:left="425"/>
      </w:pPr>
      <w:r w:rsidRPr="004F3F8F">
        <w:t xml:space="preserve">Die Sitzungen </w:t>
      </w:r>
      <w:r w:rsidR="00EA26A1">
        <w:t xml:space="preserve">des Verwaltungsrats </w:t>
      </w:r>
      <w:r w:rsidRPr="004F3F8F">
        <w:t>sind nicht öffentlich. Über den Erlass von Satzungen ist in öffentlicher Sitzung zu entscheiden.</w:t>
      </w:r>
      <w:r w:rsidRPr="004F3F8F">
        <w:rPr>
          <w:vertAlign w:val="superscript"/>
        </w:rPr>
        <w:footnoteReference w:id="24"/>
      </w:r>
      <w:r w:rsidRPr="004F3F8F">
        <w:t xml:space="preserve"> Im Einzelfall kann der Verwaltungsrat die Öffentlichkeit der Sitzung zulassen. Soweit die Sitzungen des Verwaltungsrates öffentlich sind, sind Zeit und Ort der Sitzung sowie die Tagesordnung in entsprechender Anwendung von § 48 </w:t>
      </w:r>
      <w:r w:rsidR="00EA26A1">
        <w:t xml:space="preserve">Abs. 1 Satz 4 </w:t>
      </w:r>
      <w:r w:rsidRPr="004F3F8F">
        <w:t>GO öffentlich bekannt zu machen.</w:t>
      </w:r>
    </w:p>
    <w:p w14:paraId="014BFFA0" w14:textId="77777777" w:rsidR="004F3F8F" w:rsidRPr="004F3F8F" w:rsidRDefault="004F3F8F" w:rsidP="004F3F8F">
      <w:pPr>
        <w:rPr>
          <w:rFonts w:ascii="TheSansCorrespondence" w:hAnsi="TheSansCorrespondence"/>
          <w:bCs/>
          <w:sz w:val="22"/>
          <w:szCs w:val="22"/>
        </w:rPr>
      </w:pPr>
    </w:p>
    <w:p w14:paraId="5B9A51A6" w14:textId="77777777" w:rsidR="004F3F8F" w:rsidRPr="004F3F8F" w:rsidRDefault="004F3F8F" w:rsidP="00BA459F">
      <w:pPr>
        <w:pStyle w:val="Listenabsatz"/>
        <w:numPr>
          <w:ilvl w:val="0"/>
          <w:numId w:val="12"/>
        </w:numPr>
        <w:ind w:left="425" w:hanging="425"/>
      </w:pPr>
      <w:r w:rsidRPr="004F3F8F">
        <w:t xml:space="preserve">Der Verwaltungsrat entscheidet in der Regel durch Beschlüsse in Sitzungen. Er ist beschlussfähig, wenn sämtliche Mitglieder ordnungsgemäß geladen sind und die Mehrheit der stimmberechtigten Mitglieder bzw. deren Stellvertreter anwesend ist. Er gilt als beschlussfähig, solange seine Beschlussunfähigkeit nicht festgestellt ist. </w:t>
      </w:r>
    </w:p>
    <w:p w14:paraId="4A3B33CF" w14:textId="77777777" w:rsidR="004F3F8F" w:rsidRPr="004F3F8F" w:rsidRDefault="004F3F8F" w:rsidP="00E55B44">
      <w:pPr>
        <w:ind w:left="425"/>
        <w:rPr>
          <w:rFonts w:ascii="TheSansCorrespondence" w:hAnsi="TheSansCorrespondence"/>
          <w:bCs/>
          <w:sz w:val="22"/>
          <w:szCs w:val="22"/>
        </w:rPr>
      </w:pPr>
      <w:r w:rsidRPr="004F3F8F">
        <w:rPr>
          <w:rFonts w:ascii="TheSansCorrespondence" w:hAnsi="TheSansCorrespondence"/>
          <w:bCs/>
          <w:sz w:val="22"/>
          <w:szCs w:val="22"/>
        </w:rPr>
        <w:t>Über andere als in der Einladung angegebene Beratungsgegenstände darf nur dann ein Beschluss gefasst werden, wenn</w:t>
      </w:r>
    </w:p>
    <w:p w14:paraId="5C3F5DB8" w14:textId="77777777" w:rsidR="004F3F8F" w:rsidRPr="004F3F8F" w:rsidRDefault="004F3F8F" w:rsidP="004F3F8F">
      <w:pPr>
        <w:rPr>
          <w:rFonts w:ascii="TheSansCorrespondence" w:hAnsi="TheSansCorrespondence"/>
          <w:bCs/>
          <w:sz w:val="22"/>
          <w:szCs w:val="22"/>
        </w:rPr>
      </w:pPr>
    </w:p>
    <w:p w14:paraId="05FB4DAA" w14:textId="77777777" w:rsidR="004F3F8F" w:rsidRPr="004F3F8F" w:rsidRDefault="004F3F8F" w:rsidP="00BA459F">
      <w:pPr>
        <w:pStyle w:val="Listenabsatz"/>
        <w:numPr>
          <w:ilvl w:val="0"/>
          <w:numId w:val="13"/>
        </w:numPr>
        <w:tabs>
          <w:tab w:val="clear" w:pos="360"/>
        </w:tabs>
        <w:ind w:left="850" w:hanging="425"/>
      </w:pPr>
      <w:r w:rsidRPr="004F3F8F">
        <w:t>die Angelegenheit dringlich ist und der Verwaltungsrat der Verhandlung mehrheitlich zustimmt oder</w:t>
      </w:r>
    </w:p>
    <w:p w14:paraId="14DF22DD" w14:textId="77777777" w:rsidR="004F3F8F" w:rsidRPr="004F3F8F" w:rsidRDefault="004F3F8F" w:rsidP="00BA459F">
      <w:pPr>
        <w:pStyle w:val="Listenabsatz"/>
        <w:numPr>
          <w:ilvl w:val="0"/>
          <w:numId w:val="13"/>
        </w:numPr>
        <w:tabs>
          <w:tab w:val="clear" w:pos="360"/>
        </w:tabs>
        <w:ind w:left="850" w:hanging="425"/>
      </w:pPr>
      <w:r w:rsidRPr="004F3F8F">
        <w:t>sämtliche Mitglieder des Verwaltungsrats (bzw. deren Stellvertreter) anwesend sind und kein Mitglied der Behandlung widerspricht.</w:t>
      </w:r>
    </w:p>
    <w:p w14:paraId="4F49434A" w14:textId="77777777" w:rsidR="004F3F8F" w:rsidRPr="004F3F8F" w:rsidRDefault="004F3F8F" w:rsidP="004F3F8F">
      <w:pPr>
        <w:rPr>
          <w:rFonts w:ascii="TheSansCorrespondence" w:hAnsi="TheSansCorrespondence"/>
          <w:bCs/>
          <w:sz w:val="22"/>
          <w:szCs w:val="22"/>
        </w:rPr>
      </w:pPr>
    </w:p>
    <w:p w14:paraId="48A740E7" w14:textId="66464EEE" w:rsidR="004F3F8F" w:rsidRDefault="004F3F8F" w:rsidP="00BA459F">
      <w:pPr>
        <w:pStyle w:val="Listenabsatz"/>
        <w:numPr>
          <w:ilvl w:val="0"/>
          <w:numId w:val="12"/>
        </w:numPr>
        <w:ind w:left="425" w:hanging="425"/>
      </w:pPr>
      <w:r w:rsidRPr="004F3F8F">
        <w:lastRenderedPageBreak/>
        <w:t>Wird der Verwaltungsrat zum zweiten Mal zur Verhandlung über denselben Gegenstand zusammengerufen, so ist er ohne Rücksicht auf die Zahl der Erschienenen beschlussfähig. Bei der zweiten Ladung muss auf diese Folge ausdrücklich hingewiesen werden.</w:t>
      </w:r>
    </w:p>
    <w:p w14:paraId="324EFE31" w14:textId="77777777" w:rsidR="00E55B44" w:rsidRPr="004F3F8F" w:rsidRDefault="00E55B44" w:rsidP="00E55B44">
      <w:pPr>
        <w:pStyle w:val="Listenabsatz"/>
        <w:ind w:left="425"/>
      </w:pPr>
    </w:p>
    <w:p w14:paraId="5371C1A6" w14:textId="67FC9061" w:rsidR="004F3F8F" w:rsidRDefault="004F3F8F" w:rsidP="00BA459F">
      <w:pPr>
        <w:pStyle w:val="Listenabsatz"/>
        <w:numPr>
          <w:ilvl w:val="0"/>
          <w:numId w:val="12"/>
        </w:numPr>
        <w:ind w:left="425" w:hanging="425"/>
      </w:pPr>
      <w:r w:rsidRPr="004F3F8F">
        <w:t>Der Verwaltungsrat kann auch unter Verzicht auf die Förmlichkeiten der Einberufung zu einer Sitzung zusammentreten, sofern alle Mitglieder hiermit einverstanden sind und es sich um Angelegenheiten handelt, die nicht in öffentlicher Sitzung zu beraten wären. In öffentlich zu beratenden Angelegenheiten ist eine solche Einberufung nicht möglich.</w:t>
      </w:r>
    </w:p>
    <w:p w14:paraId="5F3BBE3D" w14:textId="77777777" w:rsidR="00E55B44" w:rsidRPr="004F3F8F" w:rsidRDefault="00E55B44" w:rsidP="00E55B44">
      <w:pPr>
        <w:pStyle w:val="Listenabsatz"/>
        <w:ind w:left="425"/>
      </w:pPr>
    </w:p>
    <w:p w14:paraId="4E1ECE14" w14:textId="77777777" w:rsidR="004F3F8F" w:rsidRPr="004F3F8F" w:rsidRDefault="004F3F8F" w:rsidP="00BA459F">
      <w:pPr>
        <w:pStyle w:val="Listenabsatz"/>
        <w:numPr>
          <w:ilvl w:val="0"/>
          <w:numId w:val="12"/>
        </w:numPr>
        <w:ind w:left="425" w:hanging="425"/>
      </w:pPr>
      <w:r w:rsidRPr="004F3F8F">
        <w:t>Sofern kein Verwaltungsratsmitglied unverzüglich widerspricht, können nach Ermessen des Vorsitzenden, sofern es sich um Angelegenheiten handelt, die im Rahmen einer nichtöffentlichen Sitzung zu beschließen wären, Beschlüsse in eiligen oder einfachen Angelegenheiten auch durch Einholen der Erklärungen in schriftlicher Form gefasst werden. In diesem Fall ist eine vom Vorsitzenden zu bestimmende Frist für den Eingang der Stimmen festzulegen. Die schriftliche Beschlussfassung kann nur erfolgen, wenn innerhalb der festgesetzten Frist alle Stimmen eingegangen sind. In öffentlich zu beratenden Angelegenheiten ist eine solche Vorgehensweise nicht möglich.</w:t>
      </w:r>
      <w:r w:rsidRPr="004F3F8F">
        <w:rPr>
          <w:vertAlign w:val="superscript"/>
        </w:rPr>
        <w:footnoteReference w:id="25"/>
      </w:r>
      <w:r w:rsidRPr="004F3F8F">
        <w:t xml:space="preserve"> </w:t>
      </w:r>
    </w:p>
    <w:p w14:paraId="0ED4A7C4" w14:textId="77777777" w:rsidR="004F3F8F" w:rsidRPr="004F3F8F" w:rsidRDefault="004F3F8F" w:rsidP="004F3F8F">
      <w:pPr>
        <w:rPr>
          <w:rFonts w:ascii="TheSansCorrespondence" w:hAnsi="TheSansCorrespondence"/>
          <w:bCs/>
          <w:sz w:val="22"/>
          <w:szCs w:val="22"/>
        </w:rPr>
      </w:pPr>
    </w:p>
    <w:p w14:paraId="0F34BD28" w14:textId="090F1621" w:rsidR="004F3F8F" w:rsidRDefault="004F3F8F" w:rsidP="00BA459F">
      <w:pPr>
        <w:pStyle w:val="Listenabsatz"/>
        <w:numPr>
          <w:ilvl w:val="0"/>
          <w:numId w:val="12"/>
        </w:numPr>
        <w:ind w:left="425" w:hanging="425"/>
        <w:rPr>
          <w:bCs w:val="0"/>
        </w:rPr>
      </w:pPr>
      <w:r w:rsidRPr="004F3F8F">
        <w:t>Die Beschlüsse des Verwaltungsrats werden mit einfacher Mehrheit der abgegebenen Stimmen gefasst. Stimmenthaltungen sind zulässig. § 50 Abs. 5 GO gilt entsprechend.</w:t>
      </w:r>
    </w:p>
    <w:p w14:paraId="56FFB61D" w14:textId="77777777" w:rsidR="00E55B44" w:rsidRPr="004F3F8F" w:rsidRDefault="00E55B44" w:rsidP="00E55B44">
      <w:pPr>
        <w:ind w:left="360"/>
        <w:rPr>
          <w:rFonts w:ascii="TheSansCorrespondence" w:hAnsi="TheSansCorrespondence"/>
          <w:bCs/>
          <w:sz w:val="22"/>
          <w:szCs w:val="22"/>
        </w:rPr>
      </w:pPr>
    </w:p>
    <w:p w14:paraId="75496EC9" w14:textId="541F9C13" w:rsidR="004F3F8F" w:rsidRPr="004F3F8F" w:rsidRDefault="004F3F8F" w:rsidP="00BA459F">
      <w:pPr>
        <w:pStyle w:val="Listenabsatz"/>
        <w:numPr>
          <w:ilvl w:val="0"/>
          <w:numId w:val="12"/>
        </w:numPr>
        <w:ind w:left="425" w:hanging="425"/>
      </w:pPr>
      <w:r w:rsidRPr="004F3F8F">
        <w:t>In dringenden Einzelfällen kann der oder die Vorsitzende des Verwaltungsrates zusa</w:t>
      </w:r>
      <w:r w:rsidR="00D7338A">
        <w:t>m</w:t>
      </w:r>
      <w:r w:rsidRPr="004F3F8F">
        <w:t>men mit einem weiteren Mitglied des Verwaltungsrates entscheiden. Diese Entscheidungen sind dem Verwaltungsrat in der nächsten Sitzung zur Genehmigung vorzulegen. § 60 Absatz 1 Satz 4 GO gilt entsprechend.</w:t>
      </w:r>
    </w:p>
    <w:p w14:paraId="1D2C0B42" w14:textId="77777777" w:rsidR="004F3F8F" w:rsidRPr="004F3F8F" w:rsidRDefault="004F3F8F" w:rsidP="004F3F8F">
      <w:pPr>
        <w:rPr>
          <w:rFonts w:ascii="TheSansCorrespondence" w:hAnsi="TheSansCorrespondence"/>
          <w:bCs/>
          <w:sz w:val="22"/>
          <w:szCs w:val="22"/>
        </w:rPr>
      </w:pPr>
    </w:p>
    <w:p w14:paraId="3DB8AEBB" w14:textId="77777777" w:rsidR="004F3F8F" w:rsidRPr="004F3F8F" w:rsidRDefault="004F3F8F" w:rsidP="00BA459F">
      <w:pPr>
        <w:pStyle w:val="Listenabsatz"/>
        <w:numPr>
          <w:ilvl w:val="0"/>
          <w:numId w:val="12"/>
        </w:numPr>
        <w:ind w:left="425" w:hanging="425"/>
      </w:pPr>
      <w:r w:rsidRPr="004F3F8F">
        <w:t>Über die vom Verwaltungsrat gefassten Beschlüsse ist eine Niederschrift zu fertigen. Diese wird vom Vorsitzenden unterzeichnet und dem Verwaltungsrat in der nächsten Sitzung zur Genehmigung vorgelegt.</w:t>
      </w:r>
    </w:p>
    <w:p w14:paraId="711407E9" w14:textId="77777777" w:rsidR="004F3F8F" w:rsidRPr="004F3F8F" w:rsidRDefault="004F3F8F" w:rsidP="004F3F8F">
      <w:pPr>
        <w:rPr>
          <w:rFonts w:ascii="TheSansCorrespondence" w:hAnsi="TheSansCorrespondence"/>
          <w:bCs/>
          <w:sz w:val="22"/>
          <w:szCs w:val="22"/>
        </w:rPr>
      </w:pPr>
    </w:p>
    <w:p w14:paraId="28805687" w14:textId="77777777" w:rsidR="004F3F8F" w:rsidRPr="004F3F8F" w:rsidRDefault="004F3F8F" w:rsidP="004F3F8F">
      <w:pPr>
        <w:rPr>
          <w:rFonts w:ascii="TheSansCorrespondence" w:hAnsi="TheSansCorrespondence"/>
          <w:bCs/>
          <w:sz w:val="22"/>
          <w:szCs w:val="22"/>
        </w:rPr>
      </w:pPr>
    </w:p>
    <w:p w14:paraId="14A342D4" w14:textId="7BDAE42F" w:rsidR="004F3F8F" w:rsidRPr="004F3F8F" w:rsidRDefault="004F3F8F" w:rsidP="00E55B44">
      <w:pPr>
        <w:ind w:right="140"/>
        <w:jc w:val="center"/>
        <w:rPr>
          <w:rFonts w:ascii="TheSansCorrespondence" w:hAnsi="TheSansCorrespondence"/>
          <w:b/>
          <w:bCs/>
          <w:sz w:val="22"/>
          <w:szCs w:val="22"/>
        </w:rPr>
      </w:pPr>
      <w:r w:rsidRPr="004F3F8F">
        <w:rPr>
          <w:rFonts w:ascii="TheSansCorrespondence" w:hAnsi="TheSansCorrespondence"/>
          <w:b/>
          <w:bCs/>
          <w:sz w:val="22"/>
          <w:szCs w:val="22"/>
        </w:rPr>
        <w:t>§ 8</w:t>
      </w:r>
    </w:p>
    <w:p w14:paraId="564785F9" w14:textId="77777777" w:rsidR="004F3F8F" w:rsidRPr="004F3F8F" w:rsidRDefault="004F3F8F" w:rsidP="00E55B44">
      <w:pPr>
        <w:ind w:right="140"/>
        <w:jc w:val="center"/>
        <w:rPr>
          <w:rFonts w:ascii="TheSansCorrespondence" w:hAnsi="TheSansCorrespondence"/>
          <w:b/>
          <w:bCs/>
          <w:sz w:val="22"/>
          <w:szCs w:val="22"/>
        </w:rPr>
      </w:pPr>
      <w:r w:rsidRPr="004F3F8F">
        <w:rPr>
          <w:rFonts w:ascii="TheSansCorrespondence" w:hAnsi="TheSansCorrespondence"/>
          <w:b/>
          <w:bCs/>
          <w:sz w:val="22"/>
          <w:szCs w:val="22"/>
        </w:rPr>
        <w:t>Rat der Stadt/Gemeinde</w:t>
      </w:r>
    </w:p>
    <w:p w14:paraId="10EB7BD3" w14:textId="77777777" w:rsidR="004F3F8F" w:rsidRPr="004F3F8F" w:rsidRDefault="004F3F8F" w:rsidP="004F3F8F">
      <w:pPr>
        <w:rPr>
          <w:rFonts w:ascii="TheSansCorrespondence" w:hAnsi="TheSansCorrespondence"/>
          <w:b/>
          <w:bCs/>
          <w:sz w:val="22"/>
          <w:szCs w:val="22"/>
        </w:rPr>
      </w:pPr>
    </w:p>
    <w:p w14:paraId="34FA0360" w14:textId="77777777" w:rsidR="004F3F8F" w:rsidRPr="004F3F8F" w:rsidRDefault="004F3F8F" w:rsidP="004F3F8F">
      <w:pPr>
        <w:rPr>
          <w:rFonts w:ascii="TheSansCorrespondence" w:hAnsi="TheSansCorrespondence"/>
          <w:bCs/>
          <w:sz w:val="22"/>
          <w:szCs w:val="22"/>
        </w:rPr>
      </w:pPr>
      <w:r w:rsidRPr="004F3F8F">
        <w:rPr>
          <w:rFonts w:ascii="TheSansCorrespondence" w:hAnsi="TheSansCorrespondence"/>
          <w:bCs/>
          <w:sz w:val="22"/>
          <w:szCs w:val="22"/>
        </w:rPr>
        <w:t>Bei Entscheidungen der Organe des Kommunalunternehmens von grundsätzlicher Bedeutung ist die Zustimmung des Rates der Stadt/Gemeinde erforderlich</w:t>
      </w:r>
      <w:r w:rsidRPr="004F3F8F">
        <w:rPr>
          <w:rFonts w:ascii="TheSansCorrespondence" w:hAnsi="TheSansCorrespondence"/>
          <w:bCs/>
          <w:sz w:val="22"/>
          <w:szCs w:val="22"/>
          <w:vertAlign w:val="superscript"/>
        </w:rPr>
        <w:footnoteReference w:id="26"/>
      </w:r>
      <w:r w:rsidRPr="004F3F8F">
        <w:rPr>
          <w:rFonts w:ascii="TheSansCorrespondence" w:hAnsi="TheSansCorrespondence"/>
          <w:bCs/>
          <w:sz w:val="22"/>
          <w:szCs w:val="22"/>
        </w:rPr>
        <w:t>. Dazu gehören:</w:t>
      </w:r>
    </w:p>
    <w:p w14:paraId="76605CC7" w14:textId="77777777" w:rsidR="004F3F8F" w:rsidRPr="004F3F8F" w:rsidRDefault="004F3F8F" w:rsidP="004F3F8F">
      <w:pPr>
        <w:rPr>
          <w:rFonts w:ascii="TheSansCorrespondence" w:hAnsi="TheSansCorrespondence"/>
          <w:bCs/>
          <w:sz w:val="22"/>
          <w:szCs w:val="22"/>
        </w:rPr>
      </w:pPr>
    </w:p>
    <w:p w14:paraId="69D43580" w14:textId="77777777" w:rsidR="004F3F8F" w:rsidRPr="004F3F8F" w:rsidRDefault="004F3F8F" w:rsidP="00BA459F">
      <w:pPr>
        <w:pStyle w:val="Listenabsatz"/>
        <w:numPr>
          <w:ilvl w:val="0"/>
          <w:numId w:val="14"/>
        </w:numPr>
        <w:ind w:left="425" w:hanging="425"/>
      </w:pPr>
      <w:r w:rsidRPr="004F3F8F">
        <w:t>.....</w:t>
      </w:r>
      <w:r w:rsidRPr="004F3F8F">
        <w:rPr>
          <w:vertAlign w:val="superscript"/>
        </w:rPr>
        <w:footnoteReference w:id="27"/>
      </w:r>
    </w:p>
    <w:p w14:paraId="0D156F68" w14:textId="77777777" w:rsidR="004F3F8F" w:rsidRPr="004F3F8F" w:rsidRDefault="004F3F8F" w:rsidP="00BA459F">
      <w:pPr>
        <w:pStyle w:val="Listenabsatz"/>
        <w:numPr>
          <w:ilvl w:val="0"/>
          <w:numId w:val="14"/>
        </w:numPr>
        <w:ind w:left="425" w:hanging="425"/>
      </w:pPr>
      <w:r w:rsidRPr="004F3F8F">
        <w:t>.....</w:t>
      </w:r>
    </w:p>
    <w:p w14:paraId="0A5F9E95" w14:textId="77777777" w:rsidR="004F3F8F" w:rsidRPr="004F3F8F" w:rsidRDefault="004F3F8F" w:rsidP="004F3F8F">
      <w:pPr>
        <w:rPr>
          <w:rFonts w:ascii="TheSansCorrespondence" w:hAnsi="TheSansCorrespondence"/>
          <w:bCs/>
          <w:sz w:val="22"/>
          <w:szCs w:val="22"/>
        </w:rPr>
      </w:pPr>
    </w:p>
    <w:p w14:paraId="11537DA4" w14:textId="77777777" w:rsidR="004F3F8F" w:rsidRPr="004F3F8F" w:rsidRDefault="004F3F8F" w:rsidP="004F3F8F">
      <w:pPr>
        <w:rPr>
          <w:rFonts w:ascii="TheSansCorrespondence" w:hAnsi="TheSansCorrespondence"/>
          <w:bCs/>
          <w:sz w:val="22"/>
          <w:szCs w:val="22"/>
        </w:rPr>
      </w:pPr>
    </w:p>
    <w:p w14:paraId="04C28F2E" w14:textId="06FF5693" w:rsidR="004F3F8F" w:rsidRPr="004F3F8F" w:rsidRDefault="004F3F8F" w:rsidP="00BA459F">
      <w:pPr>
        <w:ind w:right="140"/>
        <w:jc w:val="center"/>
        <w:rPr>
          <w:rFonts w:ascii="TheSansCorrespondence" w:hAnsi="TheSansCorrespondence"/>
          <w:b/>
          <w:bCs/>
          <w:sz w:val="22"/>
          <w:szCs w:val="22"/>
        </w:rPr>
      </w:pPr>
      <w:r w:rsidRPr="004F3F8F">
        <w:rPr>
          <w:rFonts w:ascii="TheSansCorrespondence" w:hAnsi="TheSansCorrespondence"/>
          <w:b/>
          <w:bCs/>
          <w:sz w:val="22"/>
          <w:szCs w:val="22"/>
        </w:rPr>
        <w:t>§ 9</w:t>
      </w:r>
    </w:p>
    <w:p w14:paraId="36FB8305" w14:textId="77777777" w:rsidR="004F3F8F" w:rsidRPr="004F3F8F" w:rsidRDefault="004F3F8F" w:rsidP="00BA459F">
      <w:pPr>
        <w:ind w:right="140"/>
        <w:jc w:val="center"/>
        <w:rPr>
          <w:rFonts w:ascii="TheSansCorrespondence" w:hAnsi="TheSansCorrespondence"/>
          <w:b/>
          <w:bCs/>
          <w:sz w:val="22"/>
          <w:szCs w:val="22"/>
        </w:rPr>
      </w:pPr>
      <w:r w:rsidRPr="004F3F8F">
        <w:rPr>
          <w:rFonts w:ascii="TheSansCorrespondence" w:hAnsi="TheSansCorrespondence"/>
          <w:b/>
          <w:bCs/>
          <w:sz w:val="22"/>
          <w:szCs w:val="22"/>
        </w:rPr>
        <w:t>Verpflichtungserklärung</w:t>
      </w:r>
    </w:p>
    <w:p w14:paraId="69DE3034" w14:textId="77777777" w:rsidR="004F3F8F" w:rsidRPr="004F3F8F" w:rsidRDefault="004F3F8F" w:rsidP="004F3F8F">
      <w:pPr>
        <w:rPr>
          <w:rFonts w:ascii="TheSansCorrespondence" w:hAnsi="TheSansCorrespondence"/>
          <w:bCs/>
          <w:sz w:val="22"/>
          <w:szCs w:val="22"/>
        </w:rPr>
      </w:pPr>
    </w:p>
    <w:p w14:paraId="0BEC2F7C" w14:textId="77777777" w:rsidR="004F3F8F" w:rsidRPr="004F3F8F" w:rsidRDefault="004F3F8F" w:rsidP="00BA459F">
      <w:pPr>
        <w:pStyle w:val="Listenabsatz"/>
        <w:numPr>
          <w:ilvl w:val="0"/>
          <w:numId w:val="15"/>
        </w:numPr>
        <w:ind w:left="425" w:hanging="425"/>
      </w:pPr>
      <w:r w:rsidRPr="004F3F8F">
        <w:t>Verpflichtungserklärungen bedürfen der Schriftform; die Unterzeichnung erfolgt unter dem Namen .......................</w:t>
      </w:r>
      <w:r w:rsidRPr="004F3F8F">
        <w:rPr>
          <w:vertAlign w:val="superscript"/>
        </w:rPr>
        <w:footnoteReference w:id="28"/>
      </w:r>
      <w:r w:rsidRPr="004F3F8F">
        <w:t xml:space="preserve"> durch den Vorstand, im Übrigen durch jeweils Vertretungsberechtigte.</w:t>
      </w:r>
    </w:p>
    <w:p w14:paraId="7EE64D6F" w14:textId="77777777" w:rsidR="004F3F8F" w:rsidRPr="004F3F8F" w:rsidRDefault="004F3F8F" w:rsidP="004F3F8F">
      <w:pPr>
        <w:rPr>
          <w:rFonts w:ascii="TheSansCorrespondence" w:hAnsi="TheSansCorrespondence"/>
          <w:bCs/>
          <w:sz w:val="22"/>
          <w:szCs w:val="22"/>
        </w:rPr>
      </w:pPr>
    </w:p>
    <w:p w14:paraId="64358DAA" w14:textId="77777777" w:rsidR="004F3F8F" w:rsidRPr="004F3F8F" w:rsidRDefault="004F3F8F" w:rsidP="00BA459F">
      <w:pPr>
        <w:pStyle w:val="Listenabsatz"/>
        <w:numPr>
          <w:ilvl w:val="0"/>
          <w:numId w:val="15"/>
        </w:numPr>
        <w:ind w:left="425" w:hanging="425"/>
      </w:pPr>
      <w:r w:rsidRPr="004F3F8F">
        <w:t>Der Vorstand unterzeichnet ohne Beifügung eines Vertretungszusatzes, seine Stellvertreter mit dem Zusatz „In Vertretung“, andere Vertretungsberechtigte mit dem Zusatz „Im Auftrag“.</w:t>
      </w:r>
    </w:p>
    <w:p w14:paraId="758893C9" w14:textId="77777777" w:rsidR="004F3F8F" w:rsidRPr="004F3F8F" w:rsidRDefault="004F3F8F" w:rsidP="004F3F8F">
      <w:pPr>
        <w:rPr>
          <w:rFonts w:ascii="TheSansCorrespondence" w:hAnsi="TheSansCorrespondence"/>
          <w:bCs/>
          <w:sz w:val="22"/>
          <w:szCs w:val="22"/>
        </w:rPr>
      </w:pPr>
    </w:p>
    <w:p w14:paraId="139A8ED7" w14:textId="77777777" w:rsidR="004F3F8F" w:rsidRPr="004F3F8F" w:rsidRDefault="004F3F8F" w:rsidP="004F3F8F">
      <w:pPr>
        <w:rPr>
          <w:rFonts w:ascii="TheSansCorrespondence" w:hAnsi="TheSansCorrespondence"/>
          <w:bCs/>
          <w:sz w:val="22"/>
          <w:szCs w:val="22"/>
        </w:rPr>
      </w:pPr>
    </w:p>
    <w:p w14:paraId="1A6E55CC" w14:textId="707E8EF9" w:rsidR="004F3F8F" w:rsidRPr="004F3F8F" w:rsidRDefault="004F3F8F" w:rsidP="00BA459F">
      <w:pPr>
        <w:ind w:right="140"/>
        <w:jc w:val="center"/>
        <w:rPr>
          <w:rFonts w:ascii="TheSansCorrespondence" w:hAnsi="TheSansCorrespondence"/>
          <w:b/>
          <w:bCs/>
          <w:sz w:val="22"/>
          <w:szCs w:val="22"/>
        </w:rPr>
      </w:pPr>
      <w:r w:rsidRPr="004F3F8F">
        <w:rPr>
          <w:rFonts w:ascii="TheSansCorrespondence" w:hAnsi="TheSansCorrespondence"/>
          <w:b/>
          <w:bCs/>
          <w:sz w:val="22"/>
          <w:szCs w:val="22"/>
        </w:rPr>
        <w:t>§ 10</w:t>
      </w:r>
    </w:p>
    <w:p w14:paraId="15DE3DD1" w14:textId="77777777" w:rsidR="004F3F8F" w:rsidRPr="004F3F8F" w:rsidRDefault="004F3F8F" w:rsidP="00BA459F">
      <w:pPr>
        <w:ind w:right="140"/>
        <w:jc w:val="center"/>
        <w:rPr>
          <w:rFonts w:ascii="TheSansCorrespondence" w:hAnsi="TheSansCorrespondence"/>
          <w:b/>
          <w:bCs/>
          <w:sz w:val="22"/>
          <w:szCs w:val="22"/>
        </w:rPr>
      </w:pPr>
      <w:r w:rsidRPr="004F3F8F">
        <w:rPr>
          <w:rFonts w:ascii="TheSansCorrespondence" w:hAnsi="TheSansCorrespondence"/>
          <w:b/>
          <w:bCs/>
          <w:sz w:val="22"/>
          <w:szCs w:val="22"/>
        </w:rPr>
        <w:t>Wirtschaftsführung und Rechnungswesen</w:t>
      </w:r>
    </w:p>
    <w:p w14:paraId="09F63214" w14:textId="77777777" w:rsidR="004F3F8F" w:rsidRPr="004F3F8F" w:rsidRDefault="004F3F8F" w:rsidP="004F3F8F">
      <w:pPr>
        <w:rPr>
          <w:rFonts w:ascii="TheSansCorrespondence" w:hAnsi="TheSansCorrespondence"/>
          <w:bCs/>
          <w:sz w:val="22"/>
          <w:szCs w:val="22"/>
        </w:rPr>
      </w:pPr>
    </w:p>
    <w:p w14:paraId="44EBD0C1" w14:textId="77777777" w:rsidR="004F3F8F" w:rsidRPr="004F3F8F" w:rsidRDefault="004F3F8F" w:rsidP="00BA459F">
      <w:pPr>
        <w:pStyle w:val="Listenabsatz"/>
        <w:numPr>
          <w:ilvl w:val="0"/>
          <w:numId w:val="16"/>
        </w:numPr>
        <w:ind w:left="425" w:hanging="425"/>
      </w:pPr>
      <w:r w:rsidRPr="004F3F8F">
        <w:t>Das Kommunalunternehmen ist sparsam und wirtschaftlich unter Beachtung des öffentlichen Zwecks zu führen. Im Übrigen gelten die Vorschriften des § 75 GO entsprechend.</w:t>
      </w:r>
    </w:p>
    <w:p w14:paraId="25B44B64" w14:textId="77777777" w:rsidR="004F3F8F" w:rsidRPr="004F3F8F" w:rsidRDefault="004F3F8F" w:rsidP="004F3F8F">
      <w:pPr>
        <w:rPr>
          <w:rFonts w:ascii="TheSansCorrespondence" w:hAnsi="TheSansCorrespondence"/>
          <w:bCs/>
          <w:sz w:val="22"/>
          <w:szCs w:val="22"/>
        </w:rPr>
      </w:pPr>
    </w:p>
    <w:p w14:paraId="10BCF58D" w14:textId="77777777" w:rsidR="004F3F8F" w:rsidRPr="004F3F8F" w:rsidRDefault="004F3F8F" w:rsidP="00BA459F">
      <w:pPr>
        <w:pStyle w:val="Listenabsatz"/>
        <w:numPr>
          <w:ilvl w:val="0"/>
          <w:numId w:val="16"/>
        </w:numPr>
        <w:ind w:left="425" w:hanging="425"/>
      </w:pPr>
      <w:r w:rsidRPr="004F3F8F">
        <w:t>Die Anordnung und Ausführung finanzwirksamer Vorgänge sind personell und organisatorisch zu trennen. Die mit diesen Aufgaben Betrauten dürfen nicht durch ein Angehörigenverhältnis im Sinne des § 20 Abs. 5 des Verwaltungsverfahrensgesetzes für das Land Nordrhein-Westfalen verbunden sein.</w:t>
      </w:r>
    </w:p>
    <w:p w14:paraId="3C24DADE" w14:textId="77777777" w:rsidR="004F3F8F" w:rsidRPr="004F3F8F" w:rsidRDefault="004F3F8F" w:rsidP="004F3F8F">
      <w:pPr>
        <w:rPr>
          <w:rFonts w:ascii="TheSansCorrespondence" w:hAnsi="TheSansCorrespondence"/>
          <w:bCs/>
          <w:sz w:val="22"/>
          <w:szCs w:val="22"/>
        </w:rPr>
      </w:pPr>
    </w:p>
    <w:p w14:paraId="6CED5CC6" w14:textId="77777777" w:rsidR="004F3F8F" w:rsidRPr="004F3F8F" w:rsidRDefault="004F3F8F" w:rsidP="00BA459F">
      <w:pPr>
        <w:pStyle w:val="Listenabsatz"/>
        <w:numPr>
          <w:ilvl w:val="0"/>
          <w:numId w:val="16"/>
        </w:numPr>
        <w:ind w:left="425" w:hanging="425"/>
      </w:pPr>
      <w:r w:rsidRPr="004F3F8F">
        <w:t>Der Vorstand hat den Jahresabschluss, den Lagebericht und die Erfolgsübersicht innerhalb von 3 Monaten nach Ende des Wirtschaftsjahres aufzustellen und nach Durchführung der Abschlussprüfung dem Verwaltungsrat zur Feststellung vorzulegen. Der Jahresabschluss und der Lagebericht sind vom Vorstand unter Angabe des Datums zu unterzeichnen. Der Jahresabschluss, der Lagebericht, die Erfolgsberichte und der Bericht über die Abschlussprüfung sind der Stadt/Gemeinde zuzuleiten. Im Übrigen ist § 27 Abs. 2 der Kommunalunternehmensverordnung zu beachten.</w:t>
      </w:r>
    </w:p>
    <w:p w14:paraId="690D07DF" w14:textId="77777777" w:rsidR="004F3F8F" w:rsidRPr="004F3F8F" w:rsidRDefault="004F3F8F" w:rsidP="004F3F8F">
      <w:pPr>
        <w:rPr>
          <w:rFonts w:ascii="TheSansCorrespondence" w:hAnsi="TheSansCorrespondence"/>
          <w:bCs/>
          <w:sz w:val="22"/>
          <w:szCs w:val="22"/>
        </w:rPr>
      </w:pPr>
    </w:p>
    <w:p w14:paraId="2DA1970A" w14:textId="1D4564DC" w:rsidR="004F3F8F" w:rsidRPr="008B2187" w:rsidRDefault="004F3F8F" w:rsidP="00371929">
      <w:pPr>
        <w:pStyle w:val="Listenabsatz"/>
        <w:numPr>
          <w:ilvl w:val="0"/>
          <w:numId w:val="16"/>
        </w:numPr>
        <w:ind w:left="425" w:hanging="425"/>
        <w:rPr>
          <w:bCs w:val="0"/>
        </w:rPr>
      </w:pPr>
      <w:r w:rsidRPr="004F3F8F">
        <w:t>Für die Prüfung des Jahresabschlusses und des Lageberichts gilt § 1</w:t>
      </w:r>
      <w:r w:rsidR="00977F0C">
        <w:t>14 a Abs. 10</w:t>
      </w:r>
      <w:r w:rsidRPr="004F3F8F">
        <w:t xml:space="preserve"> GO</w:t>
      </w:r>
      <w:r w:rsidR="00977F0C">
        <w:t>.</w:t>
      </w:r>
      <w:r w:rsidRPr="004F3F8F">
        <w:t xml:space="preserve"> D</w:t>
      </w:r>
      <w:r w:rsidR="00977F0C">
        <w:t xml:space="preserve">aneben ist bei der Beauftragung der Jahresabschlussprüfung dafür Sorge zu tragen, dass die Prüfung auch die in §§ 53 Abs. 1 Haushaltsgrundsätzegesetz (HGrG) </w:t>
      </w:r>
      <w:r w:rsidR="00977F0C" w:rsidRPr="00593961">
        <w:t>genannten Sachverhalte umfasst.</w:t>
      </w:r>
      <w:r w:rsidR="00371929">
        <w:rPr>
          <w:rStyle w:val="Funotenzeichen"/>
        </w:rPr>
        <w:footnoteReference w:id="29"/>
      </w:r>
      <w:r w:rsidR="00977F0C" w:rsidRPr="00593961">
        <w:t xml:space="preserve"> </w:t>
      </w:r>
    </w:p>
    <w:p w14:paraId="0A3AFFC7" w14:textId="0631FE0F" w:rsidR="008B2187" w:rsidRDefault="008B2187" w:rsidP="008B2187">
      <w:pPr>
        <w:pStyle w:val="Listenabsatz"/>
        <w:ind w:left="425"/>
      </w:pPr>
    </w:p>
    <w:p w14:paraId="563CC1CA" w14:textId="77777777" w:rsidR="004F3F8F" w:rsidRPr="004F3F8F" w:rsidRDefault="004F3F8F" w:rsidP="004F3F8F">
      <w:pPr>
        <w:rPr>
          <w:rFonts w:ascii="TheSansCorrespondence" w:hAnsi="TheSansCorrespondence"/>
          <w:bCs/>
          <w:sz w:val="22"/>
          <w:szCs w:val="22"/>
        </w:rPr>
      </w:pPr>
    </w:p>
    <w:p w14:paraId="73E33C85" w14:textId="77777777" w:rsidR="004F3F8F" w:rsidRPr="004F3F8F" w:rsidRDefault="004F3F8F" w:rsidP="00BA459F">
      <w:pPr>
        <w:ind w:right="140"/>
        <w:jc w:val="center"/>
        <w:rPr>
          <w:rFonts w:ascii="TheSansCorrespondence" w:hAnsi="TheSansCorrespondence"/>
          <w:b/>
          <w:bCs/>
          <w:sz w:val="22"/>
          <w:szCs w:val="22"/>
        </w:rPr>
      </w:pPr>
      <w:r w:rsidRPr="004F3F8F">
        <w:rPr>
          <w:rFonts w:ascii="TheSansCorrespondence" w:hAnsi="TheSansCorrespondence"/>
          <w:b/>
          <w:bCs/>
          <w:sz w:val="22"/>
          <w:szCs w:val="22"/>
        </w:rPr>
        <w:t>§ 11</w:t>
      </w:r>
    </w:p>
    <w:p w14:paraId="5B559257" w14:textId="77777777" w:rsidR="004F3F8F" w:rsidRPr="004F3F8F" w:rsidRDefault="004F3F8F" w:rsidP="00BA459F">
      <w:pPr>
        <w:ind w:right="140"/>
        <w:jc w:val="center"/>
        <w:rPr>
          <w:rFonts w:ascii="TheSansCorrespondence" w:hAnsi="TheSansCorrespondence"/>
          <w:b/>
          <w:bCs/>
          <w:sz w:val="22"/>
          <w:szCs w:val="22"/>
        </w:rPr>
      </w:pPr>
      <w:r w:rsidRPr="004F3F8F">
        <w:rPr>
          <w:rFonts w:ascii="TheSansCorrespondence" w:hAnsi="TheSansCorrespondence"/>
          <w:b/>
          <w:bCs/>
          <w:sz w:val="22"/>
          <w:szCs w:val="22"/>
        </w:rPr>
        <w:t>Wirtschaftsjahr</w:t>
      </w:r>
    </w:p>
    <w:p w14:paraId="7CDBF156" w14:textId="77777777" w:rsidR="004F3F8F" w:rsidRPr="004F3F8F" w:rsidRDefault="004F3F8F" w:rsidP="004F3F8F">
      <w:pPr>
        <w:rPr>
          <w:rFonts w:ascii="TheSansCorrespondence" w:hAnsi="TheSansCorrespondence"/>
          <w:bCs/>
          <w:sz w:val="22"/>
          <w:szCs w:val="22"/>
        </w:rPr>
      </w:pPr>
    </w:p>
    <w:p w14:paraId="1CC6795D" w14:textId="77777777" w:rsidR="004F3F8F" w:rsidRPr="004F3F8F" w:rsidRDefault="004F3F8F" w:rsidP="004F3F8F">
      <w:pPr>
        <w:rPr>
          <w:rFonts w:ascii="TheSansCorrespondence" w:hAnsi="TheSansCorrespondence"/>
          <w:bCs/>
          <w:sz w:val="22"/>
          <w:szCs w:val="22"/>
        </w:rPr>
      </w:pPr>
      <w:r w:rsidRPr="004F3F8F">
        <w:rPr>
          <w:rFonts w:ascii="TheSansCorrespondence" w:hAnsi="TheSansCorrespondence"/>
          <w:bCs/>
          <w:sz w:val="22"/>
          <w:szCs w:val="22"/>
        </w:rPr>
        <w:t>Das Wirtschaftsjahr des Kommunalunternehmens ist das Kalenderjahr.</w:t>
      </w:r>
    </w:p>
    <w:p w14:paraId="052AA7DA" w14:textId="74F90F75" w:rsidR="004F3F8F" w:rsidRDefault="004F3F8F" w:rsidP="004F3F8F">
      <w:pPr>
        <w:rPr>
          <w:rFonts w:ascii="TheSansCorrespondence" w:hAnsi="TheSansCorrespondence"/>
          <w:bCs/>
          <w:sz w:val="22"/>
          <w:szCs w:val="22"/>
        </w:rPr>
      </w:pPr>
    </w:p>
    <w:p w14:paraId="11D2FDCF" w14:textId="77777777" w:rsidR="00BA459F" w:rsidRPr="004F3F8F" w:rsidRDefault="00BA459F" w:rsidP="004F3F8F">
      <w:pPr>
        <w:rPr>
          <w:rFonts w:ascii="TheSansCorrespondence" w:hAnsi="TheSansCorrespondence"/>
          <w:bCs/>
          <w:sz w:val="22"/>
          <w:szCs w:val="22"/>
        </w:rPr>
      </w:pPr>
    </w:p>
    <w:p w14:paraId="5075F91C" w14:textId="77777777" w:rsidR="004F3F8F" w:rsidRPr="004F3F8F" w:rsidRDefault="004F3F8F" w:rsidP="00BA459F">
      <w:pPr>
        <w:ind w:right="140"/>
        <w:jc w:val="center"/>
        <w:rPr>
          <w:rFonts w:ascii="TheSansCorrespondence" w:hAnsi="TheSansCorrespondence"/>
          <w:b/>
          <w:bCs/>
          <w:sz w:val="22"/>
          <w:szCs w:val="22"/>
        </w:rPr>
      </w:pPr>
      <w:r w:rsidRPr="004F3F8F">
        <w:rPr>
          <w:rFonts w:ascii="TheSansCorrespondence" w:hAnsi="TheSansCorrespondence"/>
          <w:b/>
          <w:bCs/>
          <w:sz w:val="22"/>
          <w:szCs w:val="22"/>
        </w:rPr>
        <w:t>§ 12</w:t>
      </w:r>
    </w:p>
    <w:p w14:paraId="0830B716" w14:textId="77777777" w:rsidR="004F3F8F" w:rsidRPr="004F3F8F" w:rsidRDefault="004F3F8F" w:rsidP="00BA459F">
      <w:pPr>
        <w:ind w:right="140"/>
        <w:jc w:val="center"/>
        <w:rPr>
          <w:rFonts w:ascii="TheSansCorrespondence" w:hAnsi="TheSansCorrespondence"/>
          <w:b/>
          <w:bCs/>
          <w:sz w:val="22"/>
          <w:szCs w:val="22"/>
        </w:rPr>
      </w:pPr>
      <w:r w:rsidRPr="004F3F8F">
        <w:rPr>
          <w:rFonts w:ascii="TheSansCorrespondence" w:hAnsi="TheSansCorrespondence"/>
          <w:b/>
          <w:bCs/>
          <w:sz w:val="22"/>
          <w:szCs w:val="22"/>
        </w:rPr>
        <w:t>Bekanntmachungen</w:t>
      </w:r>
    </w:p>
    <w:p w14:paraId="4FEC8F26" w14:textId="77777777" w:rsidR="004F3F8F" w:rsidRPr="004F3F8F" w:rsidRDefault="004F3F8F" w:rsidP="004F3F8F">
      <w:pPr>
        <w:rPr>
          <w:rFonts w:ascii="TheSansCorrespondence" w:hAnsi="TheSansCorrespondence"/>
          <w:b/>
          <w:bCs/>
          <w:sz w:val="22"/>
          <w:szCs w:val="22"/>
        </w:rPr>
      </w:pPr>
    </w:p>
    <w:p w14:paraId="413C7B92" w14:textId="661BB959" w:rsidR="004F3F8F" w:rsidRPr="004F3F8F" w:rsidRDefault="004F3F8F" w:rsidP="004F3F8F">
      <w:pPr>
        <w:rPr>
          <w:rFonts w:ascii="TheSansCorrespondence" w:hAnsi="TheSansCorrespondence"/>
          <w:bCs/>
          <w:sz w:val="22"/>
          <w:szCs w:val="22"/>
        </w:rPr>
      </w:pPr>
      <w:r w:rsidRPr="004F3F8F">
        <w:rPr>
          <w:rFonts w:ascii="TheSansCorrespondence" w:hAnsi="TheSansCorrespondence"/>
          <w:bCs/>
          <w:sz w:val="22"/>
          <w:szCs w:val="22"/>
        </w:rPr>
        <w:t xml:space="preserve">Die Vorschriften zur öffentlichen Bekanntmachung des Kommunalunternehmens richten sich, wenn </w:t>
      </w:r>
      <w:r w:rsidR="00593961">
        <w:rPr>
          <w:rFonts w:ascii="TheSansCorrespondence" w:hAnsi="TheSansCorrespondence"/>
          <w:bCs/>
          <w:sz w:val="22"/>
          <w:szCs w:val="22"/>
        </w:rPr>
        <w:t>rechtliche</w:t>
      </w:r>
      <w:r w:rsidRPr="004F3F8F">
        <w:rPr>
          <w:rFonts w:ascii="TheSansCorrespondence" w:hAnsi="TheSansCorrespondence"/>
          <w:bCs/>
          <w:sz w:val="22"/>
          <w:szCs w:val="22"/>
        </w:rPr>
        <w:t xml:space="preserve"> Bestimmungen nichts Gegenteiliges regeln, nach den entsprechenden Vorschriften der Hauptsatzung der Stadt/Gemeinde in der jeweils geltenden Fassung.</w:t>
      </w:r>
    </w:p>
    <w:p w14:paraId="485D76EA" w14:textId="77777777" w:rsidR="004F3F8F" w:rsidRPr="004F3F8F" w:rsidRDefault="004F3F8F" w:rsidP="004F3F8F">
      <w:pPr>
        <w:rPr>
          <w:rFonts w:ascii="TheSansCorrespondence" w:hAnsi="TheSansCorrespondence"/>
          <w:bCs/>
          <w:sz w:val="22"/>
          <w:szCs w:val="22"/>
        </w:rPr>
      </w:pPr>
    </w:p>
    <w:p w14:paraId="0668A2BE" w14:textId="77777777" w:rsidR="004F3F8F" w:rsidRPr="004F3F8F" w:rsidRDefault="004F3F8F" w:rsidP="004F3F8F">
      <w:pPr>
        <w:rPr>
          <w:rFonts w:ascii="TheSansCorrespondence" w:hAnsi="TheSansCorrespondence"/>
          <w:bCs/>
          <w:sz w:val="22"/>
          <w:szCs w:val="22"/>
        </w:rPr>
      </w:pPr>
    </w:p>
    <w:p w14:paraId="7737FDBB" w14:textId="0C062647" w:rsidR="004F3F8F" w:rsidRPr="004F3F8F" w:rsidRDefault="004F3F8F" w:rsidP="00BA459F">
      <w:pPr>
        <w:ind w:right="140"/>
        <w:jc w:val="center"/>
        <w:rPr>
          <w:rFonts w:ascii="TheSansCorrespondence" w:hAnsi="TheSansCorrespondence"/>
          <w:b/>
          <w:bCs/>
          <w:sz w:val="22"/>
          <w:szCs w:val="22"/>
        </w:rPr>
      </w:pPr>
      <w:r w:rsidRPr="004F3F8F">
        <w:rPr>
          <w:rFonts w:ascii="TheSansCorrespondence" w:hAnsi="TheSansCorrespondence"/>
          <w:b/>
          <w:bCs/>
          <w:sz w:val="22"/>
          <w:szCs w:val="22"/>
        </w:rPr>
        <w:t>§ 1</w:t>
      </w:r>
      <w:r w:rsidR="000D12E1">
        <w:rPr>
          <w:rFonts w:ascii="TheSansCorrespondence" w:hAnsi="TheSansCorrespondence"/>
          <w:b/>
          <w:bCs/>
          <w:sz w:val="22"/>
          <w:szCs w:val="22"/>
        </w:rPr>
        <w:t>3</w:t>
      </w:r>
    </w:p>
    <w:p w14:paraId="40EFC23E" w14:textId="77777777" w:rsidR="004F3F8F" w:rsidRPr="004F3F8F" w:rsidRDefault="004F3F8F" w:rsidP="00BA459F">
      <w:pPr>
        <w:ind w:right="140"/>
        <w:jc w:val="center"/>
        <w:rPr>
          <w:rFonts w:ascii="TheSansCorrespondence" w:hAnsi="TheSansCorrespondence"/>
          <w:b/>
          <w:bCs/>
          <w:sz w:val="22"/>
          <w:szCs w:val="22"/>
        </w:rPr>
      </w:pPr>
      <w:r w:rsidRPr="004F3F8F">
        <w:rPr>
          <w:rFonts w:ascii="TheSansCorrespondence" w:hAnsi="TheSansCorrespondence"/>
          <w:b/>
          <w:bCs/>
          <w:sz w:val="22"/>
          <w:szCs w:val="22"/>
        </w:rPr>
        <w:t>Inkrafttreten</w:t>
      </w:r>
    </w:p>
    <w:p w14:paraId="48FB943F" w14:textId="77777777" w:rsidR="004F3F8F" w:rsidRPr="004F3F8F" w:rsidRDefault="004F3F8F" w:rsidP="004F3F8F">
      <w:pPr>
        <w:rPr>
          <w:rFonts w:ascii="TheSansCorrespondence" w:hAnsi="TheSansCorrespondence"/>
          <w:bCs/>
          <w:sz w:val="22"/>
          <w:szCs w:val="22"/>
        </w:rPr>
      </w:pPr>
    </w:p>
    <w:p w14:paraId="767318EA" w14:textId="5F43DEB8" w:rsidR="004F3F8F" w:rsidRPr="004F3F8F" w:rsidRDefault="004F3F8F" w:rsidP="004F3F8F">
      <w:pPr>
        <w:rPr>
          <w:rFonts w:ascii="TheSansCorrespondence" w:hAnsi="TheSansCorrespondence"/>
          <w:bCs/>
          <w:sz w:val="22"/>
          <w:szCs w:val="22"/>
        </w:rPr>
      </w:pPr>
      <w:r w:rsidRPr="004F3F8F">
        <w:rPr>
          <w:rFonts w:ascii="TheSansCorrespondence" w:hAnsi="TheSansCorrespondence"/>
          <w:bCs/>
          <w:sz w:val="22"/>
          <w:szCs w:val="22"/>
        </w:rPr>
        <w:t>Das Kommunalunternehmen entsteht am</w:t>
      </w:r>
      <w:r w:rsidR="00BA459F">
        <w:rPr>
          <w:rFonts w:ascii="TheSansCorrespondence" w:hAnsi="TheSansCorrespondence"/>
          <w:bCs/>
          <w:sz w:val="22"/>
          <w:szCs w:val="22"/>
        </w:rPr>
        <w:t xml:space="preserve"> </w:t>
      </w:r>
      <w:r w:rsidRPr="004F3F8F">
        <w:rPr>
          <w:rFonts w:ascii="TheSansCorrespondence" w:hAnsi="TheSansCorrespondence"/>
          <w:bCs/>
          <w:sz w:val="22"/>
          <w:szCs w:val="22"/>
        </w:rPr>
        <w:t>....... Gleichzeitig tritt diese Satzung in Kraft.</w:t>
      </w:r>
    </w:p>
    <w:p w14:paraId="1E2D189D" w14:textId="77777777" w:rsidR="004F3F8F" w:rsidRPr="004F3F8F" w:rsidRDefault="004F3F8F">
      <w:pPr>
        <w:rPr>
          <w:rFonts w:ascii="TheSansCorrespondence" w:hAnsi="TheSansCorrespondence"/>
          <w:bCs/>
          <w:sz w:val="22"/>
          <w:szCs w:val="22"/>
        </w:rPr>
      </w:pPr>
    </w:p>
    <w:sectPr w:rsidR="004F3F8F" w:rsidRPr="004F3F8F" w:rsidSect="00BD77EF">
      <w:footerReference w:type="default" r:id="rId10"/>
      <w:pgSz w:w="11906" w:h="16838" w:code="9"/>
      <w:pgMar w:top="1134" w:right="1418" w:bottom="1134"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FD781" w14:textId="77777777" w:rsidR="000F71DA" w:rsidRDefault="000F71DA">
      <w:r>
        <w:separator/>
      </w:r>
    </w:p>
  </w:endnote>
  <w:endnote w:type="continuationSeparator" w:id="0">
    <w:p w14:paraId="0C2CBEF0" w14:textId="77777777" w:rsidR="000F71DA" w:rsidRDefault="000F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Correspondence">
    <w:panose1 w:val="020B05030101010201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B9EC" w14:textId="77777777" w:rsidR="0010153C" w:rsidRDefault="0010153C">
    <w:pPr>
      <w:pStyle w:val="Fuzeile"/>
      <w:jc w:val="cente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560AB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60ABE">
      <w:rPr>
        <w:rStyle w:val="Seitenzahl"/>
        <w:noProof/>
      </w:rPr>
      <w:t>11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9396D" w14:textId="77777777" w:rsidR="000F71DA" w:rsidRDefault="000F71DA">
      <w:r>
        <w:separator/>
      </w:r>
    </w:p>
  </w:footnote>
  <w:footnote w:type="continuationSeparator" w:id="0">
    <w:p w14:paraId="01F827C9" w14:textId="77777777" w:rsidR="000F71DA" w:rsidRDefault="000F71DA">
      <w:r>
        <w:continuationSeparator/>
      </w:r>
    </w:p>
  </w:footnote>
  <w:footnote w:id="1">
    <w:p w14:paraId="256F68AA" w14:textId="4BC272B4" w:rsidR="004F3F8F" w:rsidRPr="004861AA" w:rsidRDefault="004F3F8F" w:rsidP="004F3F8F">
      <w:pPr>
        <w:pStyle w:val="Funotentext"/>
        <w:rPr>
          <w:rFonts w:ascii="TheSansCorrespondence" w:hAnsi="TheSansCorrespondence"/>
          <w:sz w:val="16"/>
          <w:szCs w:val="16"/>
        </w:rPr>
      </w:pPr>
      <w:r w:rsidRPr="004861AA">
        <w:rPr>
          <w:rStyle w:val="Funotenzeichen"/>
          <w:rFonts w:ascii="TheSansCorrespondence" w:hAnsi="TheSansCorrespondence"/>
          <w:sz w:val="16"/>
          <w:szCs w:val="16"/>
        </w:rPr>
        <w:footnoteRef/>
      </w:r>
      <w:r w:rsidRPr="004861AA">
        <w:rPr>
          <w:rFonts w:ascii="TheSansCorrespondence" w:hAnsi="TheSansCorrespondence"/>
          <w:sz w:val="16"/>
          <w:szCs w:val="16"/>
        </w:rPr>
        <w:t xml:space="preserve"> Soweit die AöR eine wirtschaftliche Betätigung im Sinne von § 107</w:t>
      </w:r>
      <w:r w:rsidR="00054976">
        <w:rPr>
          <w:rFonts w:ascii="TheSansCorrespondence" w:hAnsi="TheSansCorrespondence"/>
          <w:sz w:val="16"/>
          <w:szCs w:val="16"/>
        </w:rPr>
        <w:t xml:space="preserve"> Abs. 1 oder § 107 a</w:t>
      </w:r>
      <w:r w:rsidRPr="004861AA">
        <w:rPr>
          <w:rFonts w:ascii="TheSansCorrespondence" w:hAnsi="TheSansCorrespondence"/>
          <w:sz w:val="16"/>
          <w:szCs w:val="16"/>
        </w:rPr>
        <w:t xml:space="preserve"> GO ausübt, handelt es sich um ein Unternehmen. In diesem Fall kann die Satzung z.B. Unternehmenssatzung genannt werden. Wird die AöR hingegen im Bereich einer nicht wirtschaftlichen Betätigung im Sinne von § 107 Abs. 2 GO tätig, so handelt es sich um eine Einrichtung. In diesem Fall kann die Satzung z.B. Satzung über die kommunale Einrichtung </w:t>
      </w:r>
      <w:r w:rsidR="00054976">
        <w:rPr>
          <w:rFonts w:ascii="TheSansCorrespondence" w:hAnsi="TheSansCorrespondence"/>
          <w:sz w:val="16"/>
          <w:szCs w:val="16"/>
        </w:rPr>
        <w:t>„</w:t>
      </w:r>
      <w:r w:rsidRPr="004861AA">
        <w:rPr>
          <w:rFonts w:ascii="TheSansCorrespondence" w:hAnsi="TheSansCorrespondence"/>
          <w:sz w:val="16"/>
          <w:szCs w:val="16"/>
        </w:rPr>
        <w:t xml:space="preserve"> ...." in der Rechtsform der Anstalt des öffentlichen Rechts genannt werden. </w:t>
      </w:r>
      <w:r w:rsidR="00054976">
        <w:rPr>
          <w:rFonts w:ascii="TheSansCorrespondence" w:hAnsi="TheSansCorrespondence"/>
          <w:sz w:val="16"/>
          <w:szCs w:val="16"/>
        </w:rPr>
        <w:t>Bei Mehrspartenbetrieben ist eine Bezeichnung zu wählen, die dieser Gestaltung ausreichend Rechnung trägt, z.B. Satzung über den Kommunalbetrieb „ ….“ in der Rechtsform der Anstalt des öffentlichen Rechts.</w:t>
      </w:r>
    </w:p>
  </w:footnote>
  <w:footnote w:id="2">
    <w:p w14:paraId="3E0F1AA0" w14:textId="33ACC739" w:rsidR="004F3F8F" w:rsidRPr="004861AA" w:rsidRDefault="004F3F8F" w:rsidP="004F3F8F">
      <w:pPr>
        <w:pStyle w:val="Funotentext"/>
        <w:rPr>
          <w:rFonts w:ascii="TheSansCorrespondence" w:hAnsi="TheSansCorrespondence"/>
          <w:sz w:val="16"/>
          <w:szCs w:val="16"/>
        </w:rPr>
      </w:pPr>
      <w:r w:rsidRPr="004861AA">
        <w:rPr>
          <w:rStyle w:val="Funotenzeichen"/>
          <w:rFonts w:ascii="TheSansCorrespondence" w:hAnsi="TheSansCorrespondence"/>
          <w:sz w:val="16"/>
          <w:szCs w:val="16"/>
        </w:rPr>
        <w:footnoteRef/>
      </w:r>
      <w:r w:rsidRPr="004861AA">
        <w:rPr>
          <w:rFonts w:ascii="TheSansCorrespondence" w:hAnsi="TheSansCorrespondence"/>
          <w:sz w:val="16"/>
          <w:szCs w:val="16"/>
        </w:rPr>
        <w:t xml:space="preserve"> Name gemäß § 1</w:t>
      </w:r>
      <w:r w:rsidR="00376512">
        <w:rPr>
          <w:rFonts w:ascii="TheSansCorrespondence" w:hAnsi="TheSansCorrespondence"/>
          <w:sz w:val="16"/>
          <w:szCs w:val="16"/>
        </w:rPr>
        <w:t xml:space="preserve"> Ziffer 2)</w:t>
      </w:r>
      <w:r w:rsidRPr="004861AA">
        <w:rPr>
          <w:rFonts w:ascii="TheSansCorrespondence" w:hAnsi="TheSansCorrespondence"/>
          <w:sz w:val="16"/>
          <w:szCs w:val="16"/>
        </w:rPr>
        <w:t xml:space="preserve"> einsetzen; im Folgenden Kommunalunternehmen genannt.</w:t>
      </w:r>
    </w:p>
  </w:footnote>
  <w:footnote w:id="3">
    <w:p w14:paraId="647D2FEF" w14:textId="02C2D272" w:rsidR="004F3F8F" w:rsidRPr="004861AA" w:rsidRDefault="004F3F8F" w:rsidP="004F3F8F">
      <w:pPr>
        <w:pStyle w:val="Funotentext"/>
        <w:rPr>
          <w:rFonts w:ascii="TheSansCorrespondence" w:hAnsi="TheSansCorrespondence"/>
          <w:sz w:val="16"/>
          <w:szCs w:val="16"/>
        </w:rPr>
      </w:pPr>
      <w:r w:rsidRPr="004861AA">
        <w:rPr>
          <w:rStyle w:val="Funotenzeichen"/>
          <w:rFonts w:ascii="TheSansCorrespondence" w:hAnsi="TheSansCorrespondence"/>
          <w:sz w:val="16"/>
          <w:szCs w:val="16"/>
        </w:rPr>
        <w:footnoteRef/>
      </w:r>
      <w:r w:rsidRPr="004861AA">
        <w:rPr>
          <w:rFonts w:ascii="TheSansCorrespondence" w:hAnsi="TheSansCorrespondence"/>
          <w:sz w:val="16"/>
          <w:szCs w:val="16"/>
        </w:rPr>
        <w:t xml:space="preserve"> Es handelt sich um eine Satzung der Stadt/Gemeinde, da diese die Rechtsverhältnisse des Kommunalunternehmens regelt (§</w:t>
      </w:r>
      <w:r w:rsidR="00B80AEE">
        <w:rPr>
          <w:rFonts w:ascii="TheSansCorrespondence" w:hAnsi="TheSansCorrespondence"/>
          <w:sz w:val="16"/>
          <w:szCs w:val="16"/>
        </w:rPr>
        <w:t> </w:t>
      </w:r>
      <w:r w:rsidRPr="004861AA">
        <w:rPr>
          <w:rFonts w:ascii="TheSansCorrespondence" w:hAnsi="TheSansCorrespondence"/>
          <w:sz w:val="16"/>
          <w:szCs w:val="16"/>
        </w:rPr>
        <w:t>114a Abs. 2 S. 1 GO) und nicht um eine Satzung des Kommunalunternehmens.</w:t>
      </w:r>
    </w:p>
  </w:footnote>
  <w:footnote w:id="4">
    <w:p w14:paraId="31A4CC6D" w14:textId="77777777" w:rsidR="004F3F8F" w:rsidRPr="004861AA" w:rsidRDefault="004F3F8F" w:rsidP="004F3F8F">
      <w:pPr>
        <w:pStyle w:val="Funotentext"/>
        <w:rPr>
          <w:rFonts w:ascii="TheSansCorrespondence" w:hAnsi="TheSansCorrespondence"/>
          <w:sz w:val="16"/>
          <w:szCs w:val="16"/>
        </w:rPr>
      </w:pPr>
      <w:r w:rsidRPr="004861AA">
        <w:rPr>
          <w:rStyle w:val="Funotenzeichen"/>
          <w:rFonts w:ascii="TheSansCorrespondence" w:hAnsi="TheSansCorrespondence"/>
          <w:sz w:val="16"/>
          <w:szCs w:val="16"/>
        </w:rPr>
        <w:footnoteRef/>
      </w:r>
      <w:r w:rsidRPr="004861AA">
        <w:rPr>
          <w:rFonts w:ascii="TheSansCorrespondence" w:hAnsi="TheSansCorrespondence"/>
          <w:sz w:val="16"/>
          <w:szCs w:val="16"/>
        </w:rPr>
        <w:t xml:space="preserve"> Hier ist der Name der AöR einzutragen.</w:t>
      </w:r>
    </w:p>
  </w:footnote>
  <w:footnote w:id="5">
    <w:p w14:paraId="1A433AF5" w14:textId="77777777" w:rsidR="004F3F8F" w:rsidRPr="004861AA" w:rsidRDefault="004F3F8F" w:rsidP="004F3F8F">
      <w:pPr>
        <w:pStyle w:val="Funotentext"/>
        <w:rPr>
          <w:rFonts w:ascii="TheSansCorrespondence" w:hAnsi="TheSansCorrespondence"/>
          <w:sz w:val="16"/>
          <w:szCs w:val="16"/>
        </w:rPr>
      </w:pPr>
      <w:r w:rsidRPr="004861AA">
        <w:rPr>
          <w:rStyle w:val="Funotenzeichen"/>
          <w:rFonts w:ascii="TheSansCorrespondence" w:hAnsi="TheSansCorrespondence"/>
          <w:sz w:val="16"/>
          <w:szCs w:val="16"/>
        </w:rPr>
        <w:footnoteRef/>
      </w:r>
      <w:r w:rsidRPr="004861AA">
        <w:rPr>
          <w:rFonts w:ascii="TheSansCorrespondence" w:hAnsi="TheSansCorrespondence"/>
          <w:sz w:val="16"/>
          <w:szCs w:val="16"/>
        </w:rPr>
        <w:t xml:space="preserve"> Es gilt § 14 Abs. 1 GO entsprechend.</w:t>
      </w:r>
    </w:p>
  </w:footnote>
  <w:footnote w:id="6">
    <w:p w14:paraId="203975D0" w14:textId="43F1C3CF" w:rsidR="004F3F8F" w:rsidRPr="004861AA" w:rsidRDefault="004F3F8F" w:rsidP="004F3F8F">
      <w:pPr>
        <w:pStyle w:val="Funotentext"/>
        <w:rPr>
          <w:rFonts w:ascii="TheSansCorrespondence" w:hAnsi="TheSansCorrespondence"/>
          <w:sz w:val="16"/>
          <w:szCs w:val="16"/>
        </w:rPr>
      </w:pPr>
      <w:r w:rsidRPr="004861AA">
        <w:rPr>
          <w:rStyle w:val="Funotenzeichen"/>
          <w:rFonts w:ascii="TheSansCorrespondence" w:hAnsi="TheSansCorrespondence"/>
          <w:sz w:val="16"/>
          <w:szCs w:val="16"/>
        </w:rPr>
        <w:footnoteRef/>
      </w:r>
      <w:r w:rsidRPr="004861AA">
        <w:rPr>
          <w:rFonts w:ascii="TheSansCorrespondence" w:hAnsi="TheSansCorrespondence"/>
          <w:sz w:val="16"/>
          <w:szCs w:val="16"/>
        </w:rPr>
        <w:t xml:space="preserve"> Hier ist jede Tätigkeit eindeutig aufzuführen, die das Kommunalunternehmen für die Gemeinde ausübt. Dabei ist es sinnvoll, danach zu unterscheiden, ob die Aufgabe auf die AöR ganz oder nur zur Erfüllung übertragen worden ist.</w:t>
      </w:r>
    </w:p>
  </w:footnote>
  <w:footnote w:id="7">
    <w:p w14:paraId="4E9368D3" w14:textId="724DF8E2" w:rsidR="00371929" w:rsidRPr="00371929" w:rsidRDefault="00371929">
      <w:pPr>
        <w:pStyle w:val="Funotentext"/>
        <w:rPr>
          <w:rFonts w:ascii="TheSansCorrespondence" w:hAnsi="TheSansCorrespondence"/>
          <w:sz w:val="16"/>
          <w:szCs w:val="16"/>
        </w:rPr>
      </w:pPr>
      <w:r w:rsidRPr="00371929">
        <w:rPr>
          <w:rStyle w:val="Funotenzeichen"/>
          <w:rFonts w:ascii="TheSansCorrespondence" w:hAnsi="TheSansCorrespondence"/>
          <w:sz w:val="16"/>
          <w:szCs w:val="16"/>
        </w:rPr>
        <w:footnoteRef/>
      </w:r>
      <w:r w:rsidRPr="00371929">
        <w:rPr>
          <w:rFonts w:ascii="TheSansCorrespondence" w:hAnsi="TheSansCorrespondence"/>
          <w:sz w:val="16"/>
          <w:szCs w:val="16"/>
        </w:rPr>
        <w:t xml:space="preserve"> Für die Gründungen und Beteiligungen in der Rechtsform des privaten Rechts muss ein besonders wichtiges Interesse vorliegen (§ 114 a Abs. 4 Satz 3 GO).</w:t>
      </w:r>
    </w:p>
  </w:footnote>
  <w:footnote w:id="8">
    <w:p w14:paraId="576977DD" w14:textId="0353760F" w:rsidR="004F3F8F" w:rsidRPr="004861AA" w:rsidRDefault="004F3F8F" w:rsidP="004F3F8F">
      <w:pPr>
        <w:pStyle w:val="Funotentext"/>
        <w:rPr>
          <w:rFonts w:ascii="TheSansCorrespondence" w:hAnsi="TheSansCorrespondence"/>
          <w:sz w:val="16"/>
          <w:szCs w:val="16"/>
        </w:rPr>
      </w:pPr>
      <w:r w:rsidRPr="004861AA">
        <w:rPr>
          <w:rStyle w:val="Funotenzeichen"/>
          <w:rFonts w:ascii="TheSansCorrespondence" w:hAnsi="TheSansCorrespondence"/>
          <w:sz w:val="16"/>
          <w:szCs w:val="16"/>
        </w:rPr>
        <w:footnoteRef/>
      </w:r>
      <w:r w:rsidRPr="004861AA">
        <w:rPr>
          <w:rFonts w:ascii="TheSansCorrespondence" w:hAnsi="TheSansCorrespondence"/>
          <w:sz w:val="16"/>
          <w:szCs w:val="16"/>
        </w:rPr>
        <w:t xml:space="preserve"> Eine direkte Übertragung der Aufgabe einer anderen Stadt/Gemeinde auf das Kommunalunternehmen im Sinne von § 114a Abs.</w:t>
      </w:r>
      <w:r w:rsidR="00A92F23">
        <w:rPr>
          <w:rFonts w:ascii="TheSansCorrespondence" w:hAnsi="TheSansCorrespondence"/>
          <w:sz w:val="16"/>
          <w:szCs w:val="16"/>
        </w:rPr>
        <w:t> </w:t>
      </w:r>
      <w:r w:rsidRPr="004861AA">
        <w:rPr>
          <w:rFonts w:ascii="TheSansCorrespondence" w:hAnsi="TheSansCorrespondence"/>
          <w:sz w:val="16"/>
          <w:szCs w:val="16"/>
        </w:rPr>
        <w:t xml:space="preserve">3 Satz 1 GO ist hingegen nicht möglich. Denn nach dessen Wortlaut kann nur die Gemeinde dem von ihr gegründeten Kommunalunternehmen eine Aufgabe übertragen. Denkbar ist, dass die Aufgabe der anderen Stadt/Gemeinde zunächst auf die Gemeinde nach § 23 Abs. 1 1. Alt. GKG übertragen wird und diese sodann ihre "neue" Aufgabe im Sinne von § 114a Abs. 3 S. 1 GO auf "ihr" Kommunalunternehmen erfolgt. Mehrere Gemeinden und Kreise, die Landschaftsverbände und der Regionalverband Ruhr können zudem zur gemeinsamen Aufgabenwahrnehmung Unternehmen und Einrichtungen in der Rechtsform einer Anstalt des öffentlichen Rechts in gemeinsamer Trägerschaft führen (gemeinsames Kommunalunternehmen), § 27 GKG.  </w:t>
      </w:r>
    </w:p>
  </w:footnote>
  <w:footnote w:id="9">
    <w:p w14:paraId="0428482F" w14:textId="77777777" w:rsidR="004F3F8F" w:rsidRPr="004861AA" w:rsidRDefault="004F3F8F" w:rsidP="004F3F8F">
      <w:pPr>
        <w:pStyle w:val="Funotentext"/>
        <w:rPr>
          <w:rFonts w:ascii="TheSansCorrespondence" w:hAnsi="TheSansCorrespondence"/>
          <w:sz w:val="16"/>
          <w:szCs w:val="16"/>
        </w:rPr>
      </w:pPr>
      <w:r w:rsidRPr="004861AA">
        <w:rPr>
          <w:rStyle w:val="Funotenzeichen"/>
          <w:rFonts w:ascii="TheSansCorrespondence" w:hAnsi="TheSansCorrespondence"/>
          <w:sz w:val="16"/>
          <w:szCs w:val="16"/>
        </w:rPr>
        <w:footnoteRef/>
      </w:r>
      <w:r w:rsidRPr="004861AA">
        <w:rPr>
          <w:rFonts w:ascii="TheSansCorrespondence" w:hAnsi="TheSansCorrespondence"/>
          <w:sz w:val="16"/>
          <w:szCs w:val="16"/>
        </w:rPr>
        <w:t xml:space="preserve"> Nimmt das Kommunalunternehmen hingegen als sog. Erfüllungsgehilfe eine Aufgabe der Stadt/Gemeinde wahr, so kann sie selbstverständlich mangels Aufgabenübertragung im Sinne von § 114a Abs.3 S. 1 GO keine satzungsrechtlichen Regelungen treffen.</w:t>
      </w:r>
    </w:p>
  </w:footnote>
  <w:footnote w:id="10">
    <w:p w14:paraId="1865DFF6" w14:textId="7A6857EB" w:rsidR="004F3F8F" w:rsidRPr="004861AA" w:rsidRDefault="004F3F8F" w:rsidP="004F3F8F">
      <w:pPr>
        <w:pStyle w:val="Funotentext"/>
        <w:rPr>
          <w:rFonts w:ascii="TheSansCorrespondence" w:hAnsi="TheSansCorrespondence"/>
          <w:sz w:val="16"/>
          <w:szCs w:val="16"/>
        </w:rPr>
      </w:pPr>
      <w:r w:rsidRPr="004861AA">
        <w:rPr>
          <w:rStyle w:val="Funotenzeichen"/>
          <w:rFonts w:ascii="TheSansCorrespondence" w:hAnsi="TheSansCorrespondence"/>
          <w:sz w:val="16"/>
          <w:szCs w:val="16"/>
        </w:rPr>
        <w:footnoteRef/>
      </w:r>
      <w:r w:rsidRPr="004861AA">
        <w:rPr>
          <w:rFonts w:ascii="TheSansCorrespondence" w:hAnsi="TheSansCorrespondence"/>
          <w:sz w:val="16"/>
          <w:szCs w:val="16"/>
        </w:rPr>
        <w:t xml:space="preserve"> Nach § 114 a Abs. 7 entscheidet der Verwaltungsrat über solche Satzungen. Jedoch unterliegt er den Weisungen des Rates. Die Satzungen sind öffentlich bekannt zu machen. Sie treten, wenn kein anderer Zeitpunkt bestimmt ist, mit dem Tage nach der Bekanntmachung in Kraft. Bei der öffentlichen Bekanntmachung ist die Verordnung über die öffentliche Bekanntmachung von kommunalem Ortsrecht (Bekanntmachungsverordnung) gemäß § 114 a Abs. 3 Satz 2, 2. Halbsatz GO i.V.m. § 7 zu beachten. Die Vollstreckung in Geldforderungen kann nicht auf die AöR übertragen werden, weil diese in § 2 Abs. 2 Nr. 2 VwVG NRW der Gemeinde als Vollstreckungsbehörde zugewiesen wird.</w:t>
      </w:r>
      <w:r w:rsidR="00162095">
        <w:rPr>
          <w:rFonts w:ascii="TheSansCorrespondence" w:hAnsi="TheSansCorrespondence"/>
          <w:sz w:val="16"/>
          <w:szCs w:val="16"/>
        </w:rPr>
        <w:t xml:space="preserve"> Das Gleiche gilt für den Erlass von Bußgeldern, da der Bürgermeister oder die Bürgermeisterin gemäß. § 7 Abs. 2 Satz 2 GO Verwaltungsbehörde im Sinne von § 36 Abs. 1 Nr. 1 OWiG ist.</w:t>
      </w:r>
    </w:p>
  </w:footnote>
  <w:footnote w:id="11">
    <w:p w14:paraId="174D8C47" w14:textId="77777777" w:rsidR="004F3F8F" w:rsidRPr="004861AA" w:rsidRDefault="004F3F8F" w:rsidP="00B65873">
      <w:pPr>
        <w:pStyle w:val="Funotentext"/>
        <w:rPr>
          <w:rFonts w:ascii="TheSansCorrespondence" w:hAnsi="TheSansCorrespondence"/>
          <w:sz w:val="16"/>
          <w:szCs w:val="16"/>
        </w:rPr>
      </w:pPr>
      <w:r w:rsidRPr="004861AA">
        <w:rPr>
          <w:rStyle w:val="Funotenzeichen"/>
          <w:rFonts w:ascii="TheSansCorrespondence" w:hAnsi="TheSansCorrespondence"/>
          <w:sz w:val="16"/>
          <w:szCs w:val="16"/>
        </w:rPr>
        <w:footnoteRef/>
      </w:r>
      <w:r w:rsidRPr="004861AA">
        <w:rPr>
          <w:rFonts w:ascii="TheSansCorrespondence" w:hAnsi="TheSansCorrespondence"/>
          <w:sz w:val="16"/>
          <w:szCs w:val="16"/>
        </w:rPr>
        <w:t xml:space="preserve"> Sofern der Vorstand aus mehreren Mitgliedern besteht, ist zu ergänzen: Der Verwaltungsrat bestellt ein Vorstandsmitglied zum oder zur Vorsitzenden. Im Falle der Uneinigkeit entscheidet der oder die Vorsitzende.</w:t>
      </w:r>
    </w:p>
  </w:footnote>
  <w:footnote w:id="12">
    <w:p w14:paraId="150B4435" w14:textId="77777777" w:rsidR="004F3F8F" w:rsidRPr="004861AA" w:rsidRDefault="004F3F8F" w:rsidP="00B65873">
      <w:pPr>
        <w:pStyle w:val="Funotentext"/>
        <w:rPr>
          <w:rFonts w:ascii="TheSansCorrespondence" w:hAnsi="TheSansCorrespondence"/>
          <w:sz w:val="16"/>
          <w:szCs w:val="16"/>
        </w:rPr>
      </w:pPr>
      <w:r w:rsidRPr="004861AA">
        <w:rPr>
          <w:rStyle w:val="Funotenzeichen"/>
          <w:rFonts w:ascii="TheSansCorrespondence" w:hAnsi="TheSansCorrespondence"/>
          <w:sz w:val="16"/>
          <w:szCs w:val="16"/>
        </w:rPr>
        <w:footnoteRef/>
      </w:r>
      <w:r w:rsidRPr="004861AA">
        <w:rPr>
          <w:rFonts w:ascii="TheSansCorrespondence" w:hAnsi="TheSansCorrespondence"/>
          <w:sz w:val="16"/>
          <w:szCs w:val="16"/>
        </w:rPr>
        <w:t xml:space="preserve"> Der Vorstand entscheidet nicht in dem Bereich, in dem der Verwaltungsrat gem. § 114 a Abs. 7 Satz 3 GO zuständig ist.</w:t>
      </w:r>
    </w:p>
  </w:footnote>
  <w:footnote w:id="13">
    <w:p w14:paraId="6C445282" w14:textId="68C03763" w:rsidR="004F3F8F" w:rsidRPr="004861AA" w:rsidRDefault="004F3F8F" w:rsidP="00B65873">
      <w:pPr>
        <w:pStyle w:val="Funotentext"/>
        <w:rPr>
          <w:rFonts w:ascii="TheSansCorrespondence" w:hAnsi="TheSansCorrespondence"/>
          <w:sz w:val="16"/>
          <w:szCs w:val="16"/>
        </w:rPr>
      </w:pPr>
      <w:r w:rsidRPr="004861AA">
        <w:rPr>
          <w:rStyle w:val="Funotenzeichen"/>
          <w:rFonts w:ascii="TheSansCorrespondence" w:hAnsi="TheSansCorrespondence"/>
          <w:sz w:val="16"/>
          <w:szCs w:val="16"/>
        </w:rPr>
        <w:footnoteRef/>
      </w:r>
      <w:r w:rsidRPr="004861AA">
        <w:rPr>
          <w:rFonts w:ascii="TheSansCorrespondence" w:hAnsi="TheSansCorrespondence"/>
          <w:sz w:val="16"/>
          <w:szCs w:val="16"/>
        </w:rPr>
        <w:t xml:space="preserve"> In diesem Zusammenhang sei auf die satzungsrechtliche Möglichkeit hingewiesen, </w:t>
      </w:r>
      <w:r w:rsidR="00862026">
        <w:rPr>
          <w:rFonts w:ascii="TheSansCorrespondence" w:hAnsi="TheSansCorrespondence"/>
          <w:sz w:val="16"/>
          <w:szCs w:val="16"/>
        </w:rPr>
        <w:t>die Entscheidungsbefugnis in bestimmten Angelegenheiten der Anstalt auf den Verwaltungsrat zu übertragen (§ 114 a Abs. 7 Satz 6 GO</w:t>
      </w:r>
      <w:r w:rsidR="003D5B83">
        <w:rPr>
          <w:rFonts w:ascii="TheSansCorrespondence" w:hAnsi="TheSansCorrespondence"/>
          <w:sz w:val="16"/>
          <w:szCs w:val="16"/>
        </w:rPr>
        <w:t xml:space="preserve"> i.</w:t>
      </w:r>
      <w:r w:rsidR="003D5B83" w:rsidRPr="004861AA">
        <w:rPr>
          <w:rFonts w:ascii="TheSansCorrespondence" w:hAnsi="TheSansCorrespondence"/>
          <w:sz w:val="16"/>
          <w:szCs w:val="16"/>
        </w:rPr>
        <w:t>V.m. einer entsprechenden satzungsrechtlichen Regelung</w:t>
      </w:r>
      <w:r w:rsidR="003D5B83">
        <w:rPr>
          <w:rFonts w:ascii="TheSansCorrespondence" w:hAnsi="TheSansCorrespondence"/>
          <w:sz w:val="16"/>
          <w:szCs w:val="16"/>
        </w:rPr>
        <w:t>)</w:t>
      </w:r>
      <w:r w:rsidR="00862026">
        <w:rPr>
          <w:rFonts w:ascii="TheSansCorrespondence" w:hAnsi="TheSansCorrespondence"/>
          <w:sz w:val="16"/>
          <w:szCs w:val="16"/>
        </w:rPr>
        <w:t>. Zudem kann in der Satzung bestimmt werden, dass der Rat bei</w:t>
      </w:r>
      <w:r w:rsidRPr="004861AA">
        <w:rPr>
          <w:rFonts w:ascii="TheSansCorrespondence" w:hAnsi="TheSansCorrespondence"/>
          <w:sz w:val="16"/>
          <w:szCs w:val="16"/>
        </w:rPr>
        <w:t xml:space="preserve"> Entscheidungen von grundsätzlicher Bedeutung seine Zustimmung erteilen muss (§ 114 a Abs. 7 Satz </w:t>
      </w:r>
      <w:r w:rsidR="00862026">
        <w:rPr>
          <w:rFonts w:ascii="TheSansCorrespondence" w:hAnsi="TheSansCorrespondence"/>
          <w:sz w:val="16"/>
          <w:szCs w:val="16"/>
        </w:rPr>
        <w:t>7 GO i.</w:t>
      </w:r>
      <w:r w:rsidRPr="004861AA">
        <w:rPr>
          <w:rFonts w:ascii="TheSansCorrespondence" w:hAnsi="TheSansCorrespondence"/>
          <w:sz w:val="16"/>
          <w:szCs w:val="16"/>
        </w:rPr>
        <w:t>V.m. einer entsprechenden satzungsrechtlichen Regelung)</w:t>
      </w:r>
      <w:r w:rsidR="00862026">
        <w:rPr>
          <w:rFonts w:ascii="TheSansCorrespondence" w:hAnsi="TheSansCorrespondence"/>
          <w:sz w:val="16"/>
          <w:szCs w:val="16"/>
        </w:rPr>
        <w:t>.</w:t>
      </w:r>
    </w:p>
  </w:footnote>
  <w:footnote w:id="14">
    <w:p w14:paraId="141E3A58" w14:textId="77777777" w:rsidR="004F3F8F" w:rsidRPr="004861AA" w:rsidRDefault="004F3F8F" w:rsidP="00B65873">
      <w:pPr>
        <w:pStyle w:val="Funotentext"/>
        <w:rPr>
          <w:rFonts w:ascii="TheSansCorrespondence" w:hAnsi="TheSansCorrespondence"/>
          <w:sz w:val="16"/>
          <w:szCs w:val="16"/>
        </w:rPr>
      </w:pPr>
      <w:r w:rsidRPr="004861AA">
        <w:rPr>
          <w:rStyle w:val="Funotenzeichen"/>
          <w:rFonts w:ascii="TheSansCorrespondence" w:hAnsi="TheSansCorrespondence"/>
          <w:sz w:val="16"/>
          <w:szCs w:val="16"/>
        </w:rPr>
        <w:footnoteRef/>
      </w:r>
      <w:r w:rsidRPr="004861AA">
        <w:rPr>
          <w:rFonts w:ascii="TheSansCorrespondence" w:hAnsi="TheSansCorrespondence"/>
          <w:sz w:val="16"/>
          <w:szCs w:val="16"/>
        </w:rPr>
        <w:t xml:space="preserve"> Sofern der Vorstand aus mehreren Mitgliedern besteht, ist zu ergänzen: Sie vertreten das Kommunalunternehmen gemeinschaftlich.</w:t>
      </w:r>
    </w:p>
  </w:footnote>
  <w:footnote w:id="15">
    <w:p w14:paraId="66B0F1D9" w14:textId="77777777" w:rsidR="004F3F8F" w:rsidRPr="004861AA" w:rsidRDefault="004F3F8F" w:rsidP="00B65873">
      <w:pPr>
        <w:pStyle w:val="Funotentext"/>
        <w:rPr>
          <w:rFonts w:ascii="TheSansCorrespondence" w:hAnsi="TheSansCorrespondence"/>
          <w:sz w:val="16"/>
          <w:szCs w:val="16"/>
        </w:rPr>
      </w:pPr>
      <w:r w:rsidRPr="004861AA">
        <w:rPr>
          <w:rStyle w:val="Funotenzeichen"/>
          <w:rFonts w:ascii="TheSansCorrespondence" w:hAnsi="TheSansCorrespondence"/>
          <w:sz w:val="16"/>
          <w:szCs w:val="16"/>
        </w:rPr>
        <w:footnoteRef/>
      </w:r>
      <w:r w:rsidRPr="004861AA">
        <w:rPr>
          <w:rFonts w:ascii="TheSansCorrespondence" w:hAnsi="TheSansCorrespondence"/>
          <w:sz w:val="16"/>
          <w:szCs w:val="16"/>
        </w:rPr>
        <w:t xml:space="preserve"> Hier kann ein Zeitintervall zwischen ¼- bis ½jährlich eingetragen werden.</w:t>
      </w:r>
    </w:p>
  </w:footnote>
  <w:footnote w:id="16">
    <w:p w14:paraId="2D3AEE4C" w14:textId="77777777" w:rsidR="004F3F8F" w:rsidRPr="004861AA" w:rsidRDefault="004F3F8F" w:rsidP="00B65873">
      <w:pPr>
        <w:pStyle w:val="Funotentext"/>
        <w:rPr>
          <w:rFonts w:ascii="TheSansCorrespondence" w:hAnsi="TheSansCorrespondence"/>
          <w:sz w:val="16"/>
          <w:szCs w:val="16"/>
        </w:rPr>
      </w:pPr>
      <w:r w:rsidRPr="004861AA">
        <w:rPr>
          <w:rStyle w:val="Funotenzeichen"/>
          <w:rFonts w:ascii="TheSansCorrespondence" w:hAnsi="TheSansCorrespondence"/>
          <w:sz w:val="16"/>
          <w:szCs w:val="16"/>
        </w:rPr>
        <w:footnoteRef/>
      </w:r>
      <w:r w:rsidRPr="004861AA">
        <w:rPr>
          <w:rFonts w:ascii="TheSansCorrespondence" w:hAnsi="TheSansCorrespondence"/>
          <w:sz w:val="16"/>
          <w:szCs w:val="16"/>
        </w:rPr>
        <w:t xml:space="preserve"> Es ist auch zulässig, dass für bestimmte personalrechtliche Maßnahmen ab einer bestimmten Besoldungs- oder Tarifgruppe der Verwaltungsrat zuständig ist (§ 114 a Abs. 7 Satz 5 i.V.m. einer entsprechenden satzungsrechtlichen Bestimmung).</w:t>
      </w:r>
    </w:p>
  </w:footnote>
  <w:footnote w:id="17">
    <w:p w14:paraId="48D492A1" w14:textId="45213FD0" w:rsidR="004F3F8F" w:rsidRPr="004861AA" w:rsidRDefault="004F3F8F" w:rsidP="00B65873">
      <w:pPr>
        <w:pStyle w:val="Funotentext"/>
        <w:rPr>
          <w:rFonts w:ascii="TheSansCorrespondence" w:hAnsi="TheSansCorrespondence"/>
          <w:sz w:val="16"/>
          <w:szCs w:val="16"/>
        </w:rPr>
      </w:pPr>
      <w:r w:rsidRPr="004861AA">
        <w:rPr>
          <w:rStyle w:val="Funotenzeichen"/>
          <w:rFonts w:ascii="TheSansCorrespondence" w:hAnsi="TheSansCorrespondence"/>
          <w:sz w:val="16"/>
          <w:szCs w:val="16"/>
        </w:rPr>
        <w:footnoteRef/>
      </w:r>
      <w:r w:rsidRPr="004861AA">
        <w:rPr>
          <w:rFonts w:ascii="TheSansCorrespondence" w:hAnsi="TheSansCorrespondence"/>
          <w:sz w:val="16"/>
          <w:szCs w:val="16"/>
        </w:rPr>
        <w:t xml:space="preserve"> Es kann jedermann Mitglied des Verwaltungsrats sein </w:t>
      </w:r>
      <w:r w:rsidR="003D5B83">
        <w:rPr>
          <w:rFonts w:ascii="TheSansCorrespondence" w:hAnsi="TheSansCorrespondence"/>
          <w:sz w:val="16"/>
          <w:szCs w:val="16"/>
        </w:rPr>
        <w:t>-</w:t>
      </w:r>
      <w:r w:rsidRPr="004861AA">
        <w:rPr>
          <w:rFonts w:ascii="TheSansCorrespondence" w:hAnsi="TheSansCorrespondence"/>
          <w:sz w:val="16"/>
          <w:szCs w:val="16"/>
        </w:rPr>
        <w:t xml:space="preserve"> also neben dem Ratsmitglied insbesondere auch sachkundige Bürger. Ausgeschlossen sind gemäß § 114 a Abs. 8 Satz 8 GO lediglich Bedienstete des Kommunalunternehmens, leitende Bedienstete von juristischen Personen oder sonstigen Organisationen des öffentlichen oder privaten Rechts, an denen das Kommunalunternehmen mit mehr als 50 % beteiligt ist (eine Beteiligung am Stimmrecht genügt) und Bedienstete der Aufsichtsbehörden (vgl. § 114</w:t>
      </w:r>
      <w:r w:rsidR="00365DB1">
        <w:rPr>
          <w:rFonts w:ascii="TheSansCorrespondence" w:hAnsi="TheSansCorrespondence"/>
          <w:sz w:val="16"/>
          <w:szCs w:val="16"/>
        </w:rPr>
        <w:t xml:space="preserve"> </w:t>
      </w:r>
      <w:r w:rsidRPr="004861AA">
        <w:rPr>
          <w:rFonts w:ascii="TheSansCorrespondence" w:hAnsi="TheSansCorrespondence"/>
          <w:sz w:val="16"/>
          <w:szCs w:val="16"/>
        </w:rPr>
        <w:t>a Abs. 11 GO i.V.m. § 119 ff. GO), die unmittelbar mit Aufgaben der Aufsicht über das Kommunalunternehmen befasst sind.</w:t>
      </w:r>
    </w:p>
  </w:footnote>
  <w:footnote w:id="18">
    <w:p w14:paraId="1E0A0D19" w14:textId="77777777" w:rsidR="004F3F8F" w:rsidRPr="004861AA" w:rsidRDefault="004F3F8F" w:rsidP="00B65873">
      <w:pPr>
        <w:pStyle w:val="Funotentext"/>
        <w:rPr>
          <w:rFonts w:ascii="TheSansCorrespondence" w:hAnsi="TheSansCorrespondence"/>
          <w:sz w:val="16"/>
          <w:szCs w:val="16"/>
        </w:rPr>
      </w:pPr>
      <w:r w:rsidRPr="004861AA">
        <w:rPr>
          <w:rStyle w:val="Funotenzeichen"/>
          <w:rFonts w:ascii="TheSansCorrespondence" w:hAnsi="TheSansCorrespondence"/>
          <w:sz w:val="16"/>
          <w:szCs w:val="16"/>
        </w:rPr>
        <w:footnoteRef/>
      </w:r>
      <w:r w:rsidRPr="004861AA">
        <w:rPr>
          <w:rFonts w:ascii="TheSansCorrespondence" w:hAnsi="TheSansCorrespondence"/>
          <w:sz w:val="16"/>
          <w:szCs w:val="16"/>
        </w:rPr>
        <w:t xml:space="preserve"> Die Bestellung von Vertretern ist nicht verpflichtend.</w:t>
      </w:r>
    </w:p>
  </w:footnote>
  <w:footnote w:id="19">
    <w:p w14:paraId="02A52D0F" w14:textId="5643E38C" w:rsidR="004F3F8F" w:rsidRPr="004861AA" w:rsidRDefault="004F3F8F" w:rsidP="00B65873">
      <w:pPr>
        <w:pStyle w:val="Funotentext"/>
        <w:keepLines/>
        <w:rPr>
          <w:rFonts w:ascii="TheSansCorrespondence" w:hAnsi="TheSansCorrespondence"/>
          <w:sz w:val="16"/>
          <w:szCs w:val="16"/>
        </w:rPr>
      </w:pPr>
      <w:r w:rsidRPr="004861AA">
        <w:rPr>
          <w:rStyle w:val="Funotenzeichen"/>
          <w:rFonts w:ascii="TheSansCorrespondence" w:hAnsi="TheSansCorrespondence"/>
          <w:sz w:val="16"/>
          <w:szCs w:val="16"/>
        </w:rPr>
        <w:footnoteRef/>
      </w:r>
      <w:r w:rsidRPr="004861AA">
        <w:rPr>
          <w:rFonts w:ascii="TheSansCorrespondence" w:hAnsi="TheSansCorrespondence"/>
          <w:sz w:val="16"/>
          <w:szCs w:val="16"/>
        </w:rPr>
        <w:t xml:space="preserve"> Soweit Beigeordnete mit eigenem Geschäftsbereich bestellt sind, führt derjenige </w:t>
      </w:r>
      <w:r w:rsidR="008536FA">
        <w:rPr>
          <w:rFonts w:ascii="TheSansCorrespondence" w:hAnsi="TheSansCorrespondence"/>
          <w:sz w:val="16"/>
          <w:szCs w:val="16"/>
        </w:rPr>
        <w:t xml:space="preserve">oder diejenige </w:t>
      </w:r>
      <w:r w:rsidRPr="004861AA">
        <w:rPr>
          <w:rFonts w:ascii="TheSansCorrespondence" w:hAnsi="TheSansCorrespondence"/>
          <w:sz w:val="16"/>
          <w:szCs w:val="16"/>
        </w:rPr>
        <w:t xml:space="preserve">Beigeordnete den Vorsitz, zu dessen Geschäftsbereich die dem Kommunalunternehmen übertragenen Aufgaben gehören. Sind die übertragenen Aufgaben mehreren Geschäftsbereichen zuzuordnen, so entscheidet der Bürgermeister </w:t>
      </w:r>
      <w:r w:rsidR="008536FA">
        <w:rPr>
          <w:rFonts w:ascii="TheSansCorrespondence" w:hAnsi="TheSansCorrespondence"/>
          <w:sz w:val="16"/>
          <w:szCs w:val="16"/>
        </w:rPr>
        <w:t xml:space="preserve">oder die Bürgermeisterin </w:t>
      </w:r>
      <w:r w:rsidRPr="004861AA">
        <w:rPr>
          <w:rFonts w:ascii="TheSansCorrespondence" w:hAnsi="TheSansCorrespondence"/>
          <w:sz w:val="16"/>
          <w:szCs w:val="16"/>
        </w:rPr>
        <w:t>über den Vorsitz (§ 114 a Abs. 8 Satz 3 und 4 GO).</w:t>
      </w:r>
      <w:r w:rsidR="008536FA">
        <w:rPr>
          <w:rFonts w:ascii="TheSansCorrespondence" w:hAnsi="TheSansCorrespondence"/>
          <w:sz w:val="16"/>
          <w:szCs w:val="16"/>
        </w:rPr>
        <w:t xml:space="preserve"> Es ist ein Stellvertreter oder eine Stellvertreterin zu benennen.</w:t>
      </w:r>
    </w:p>
  </w:footnote>
  <w:footnote w:id="20">
    <w:p w14:paraId="15BE5C0A" w14:textId="77777777" w:rsidR="004F3F8F" w:rsidRPr="004861AA" w:rsidRDefault="004F3F8F" w:rsidP="004F3F8F">
      <w:pPr>
        <w:pStyle w:val="Funotentext"/>
        <w:rPr>
          <w:rFonts w:ascii="TheSansCorrespondence" w:hAnsi="TheSansCorrespondence"/>
          <w:sz w:val="16"/>
          <w:szCs w:val="16"/>
        </w:rPr>
      </w:pPr>
      <w:r w:rsidRPr="004861AA">
        <w:rPr>
          <w:rStyle w:val="Funotenzeichen"/>
          <w:rFonts w:ascii="TheSansCorrespondence" w:hAnsi="TheSansCorrespondence"/>
          <w:sz w:val="16"/>
          <w:szCs w:val="16"/>
        </w:rPr>
        <w:footnoteRef/>
      </w:r>
      <w:r w:rsidRPr="004861AA">
        <w:rPr>
          <w:rFonts w:ascii="TheSansCorrespondence" w:hAnsi="TheSansCorrespondence"/>
          <w:sz w:val="16"/>
          <w:szCs w:val="16"/>
        </w:rPr>
        <w:t xml:space="preserve"> Dies ist die Wahl des neuen Mitglieds.</w:t>
      </w:r>
    </w:p>
  </w:footnote>
  <w:footnote w:id="21">
    <w:p w14:paraId="42DD98F8" w14:textId="21C18C3D" w:rsidR="004F3F8F" w:rsidRPr="004861AA" w:rsidRDefault="004F3F8F" w:rsidP="004F3F8F">
      <w:pPr>
        <w:pStyle w:val="Funotentext"/>
        <w:rPr>
          <w:rFonts w:ascii="TheSansCorrespondence" w:hAnsi="TheSansCorrespondence"/>
          <w:sz w:val="16"/>
          <w:szCs w:val="16"/>
        </w:rPr>
      </w:pPr>
      <w:r w:rsidRPr="004861AA">
        <w:rPr>
          <w:rStyle w:val="Funotenzeichen"/>
          <w:rFonts w:ascii="TheSansCorrespondence" w:hAnsi="TheSansCorrespondence"/>
          <w:sz w:val="16"/>
          <w:szCs w:val="16"/>
        </w:rPr>
        <w:footnoteRef/>
      </w:r>
      <w:r w:rsidRPr="004861AA">
        <w:rPr>
          <w:rFonts w:ascii="TheSansCorrespondence" w:hAnsi="TheSansCorrespondence"/>
          <w:sz w:val="16"/>
          <w:szCs w:val="16"/>
        </w:rPr>
        <w:t xml:space="preserve"> Diese Aufzählung berücksichtigt die Zuständigkeit des Verwaltungsrats gem. § 114 a Abs. 7 Satz 2 und 3 GO. Dem Verwaltungsrat kann in dieser Satzung aber auch weitergehende Entscheidungsbefugnisse übertragen werden (§ 114 a Abs. 7 Satz </w:t>
      </w:r>
      <w:r w:rsidR="000A6E27">
        <w:rPr>
          <w:rFonts w:ascii="TheSansCorrespondence" w:hAnsi="TheSansCorrespondence"/>
          <w:sz w:val="16"/>
          <w:szCs w:val="16"/>
        </w:rPr>
        <w:t>6</w:t>
      </w:r>
      <w:r w:rsidRPr="004861AA">
        <w:rPr>
          <w:rFonts w:ascii="TheSansCorrespondence" w:hAnsi="TheSansCorrespondence"/>
          <w:sz w:val="16"/>
          <w:szCs w:val="16"/>
        </w:rPr>
        <w:t xml:space="preserve"> GO). Dies können z.B. sein:</w:t>
      </w:r>
    </w:p>
    <w:p w14:paraId="4A422873" w14:textId="3EC3E4C6" w:rsidR="004F3F8F" w:rsidRPr="004861AA" w:rsidRDefault="004F3F8F" w:rsidP="00BA459F">
      <w:pPr>
        <w:pStyle w:val="Funotentext"/>
        <w:numPr>
          <w:ilvl w:val="0"/>
          <w:numId w:val="3"/>
        </w:numPr>
        <w:ind w:left="284" w:hanging="284"/>
        <w:rPr>
          <w:rFonts w:ascii="TheSansCorrespondence" w:hAnsi="TheSansCorrespondence"/>
          <w:sz w:val="16"/>
          <w:szCs w:val="16"/>
        </w:rPr>
      </w:pPr>
      <w:r w:rsidRPr="004861AA">
        <w:rPr>
          <w:rFonts w:ascii="TheSansCorrespondence" w:hAnsi="TheSansCorrespondence"/>
          <w:sz w:val="16"/>
          <w:szCs w:val="16"/>
        </w:rPr>
        <w:t>den Erwerb, die Veräußerung oder die Belastung von Grundstücken und Rechten an Grundstücken, soweit diese Maßnahmen über den Wirtschaftsplan hinausgehen oder eine in der Geschäftsordnung festgelegte Wertgrenze überschritten ist</w:t>
      </w:r>
      <w:r w:rsidR="00CA366D">
        <w:rPr>
          <w:rFonts w:ascii="TheSansCorrespondence" w:hAnsi="TheSansCorrespondence"/>
          <w:sz w:val="16"/>
          <w:szCs w:val="16"/>
        </w:rPr>
        <w:t>,</w:t>
      </w:r>
    </w:p>
    <w:p w14:paraId="6716B31E" w14:textId="7C2C5C76" w:rsidR="004F3F8F" w:rsidRPr="004861AA" w:rsidRDefault="004F3F8F" w:rsidP="00BA459F">
      <w:pPr>
        <w:pStyle w:val="Funotentext"/>
        <w:numPr>
          <w:ilvl w:val="0"/>
          <w:numId w:val="3"/>
        </w:numPr>
        <w:ind w:left="284" w:hanging="284"/>
        <w:rPr>
          <w:rFonts w:ascii="TheSansCorrespondence" w:hAnsi="TheSansCorrespondence"/>
          <w:sz w:val="16"/>
          <w:szCs w:val="16"/>
        </w:rPr>
      </w:pPr>
      <w:r w:rsidRPr="004861AA">
        <w:rPr>
          <w:rFonts w:ascii="TheSansCorrespondence" w:hAnsi="TheSansCorrespondence"/>
          <w:sz w:val="16"/>
          <w:szCs w:val="16"/>
        </w:rPr>
        <w:t>die Erteilung von Versorgungszusagen in personellen Angelegenheiten; tarifliche Regelungen bleiben hiervon unberührt</w:t>
      </w:r>
      <w:r w:rsidR="00CA366D">
        <w:rPr>
          <w:rFonts w:ascii="TheSansCorrespondence" w:hAnsi="TheSansCorrespondence"/>
          <w:sz w:val="16"/>
          <w:szCs w:val="16"/>
        </w:rPr>
        <w:t>,</w:t>
      </w:r>
    </w:p>
    <w:p w14:paraId="6CE282F4" w14:textId="77777777" w:rsidR="004F3F8F" w:rsidRPr="004861AA" w:rsidRDefault="004F3F8F" w:rsidP="00BA459F">
      <w:pPr>
        <w:pStyle w:val="Funotentext"/>
        <w:numPr>
          <w:ilvl w:val="0"/>
          <w:numId w:val="3"/>
        </w:numPr>
        <w:ind w:left="284" w:hanging="284"/>
        <w:rPr>
          <w:rFonts w:ascii="TheSansCorrespondence" w:hAnsi="TheSansCorrespondence"/>
          <w:sz w:val="16"/>
          <w:szCs w:val="16"/>
        </w:rPr>
      </w:pPr>
      <w:r w:rsidRPr="004861AA">
        <w:rPr>
          <w:rFonts w:ascii="TheSansCorrespondence" w:hAnsi="TheSansCorrespondence"/>
          <w:sz w:val="16"/>
          <w:szCs w:val="16"/>
        </w:rPr>
        <w:t>die Gewährung von Darlehen, Übernahme von Bürgschaften, Abschluss von Gewährverträgen und Bestellung sonstiger Sicherheiten, Schenkungen und Verzicht auf Ansprüche, soweit diese Maßnahmen über den Wirtschaftsplan hinausgehen oder ein in der Geschäftsordnung festgelegter Betrag überschritten wird,</w:t>
      </w:r>
    </w:p>
    <w:p w14:paraId="48C6AA8C" w14:textId="77777777" w:rsidR="004F3F8F" w:rsidRPr="004861AA" w:rsidRDefault="004F3F8F" w:rsidP="00BA459F">
      <w:pPr>
        <w:pStyle w:val="Funotentext"/>
        <w:numPr>
          <w:ilvl w:val="0"/>
          <w:numId w:val="3"/>
        </w:numPr>
        <w:ind w:left="284" w:hanging="284"/>
        <w:rPr>
          <w:rFonts w:ascii="TheSansCorrespondence" w:hAnsi="TheSansCorrespondence"/>
          <w:sz w:val="16"/>
          <w:szCs w:val="16"/>
        </w:rPr>
      </w:pPr>
      <w:r w:rsidRPr="004861AA">
        <w:rPr>
          <w:rFonts w:ascii="TheSansCorrespondence" w:hAnsi="TheSansCorrespondence"/>
          <w:sz w:val="16"/>
          <w:szCs w:val="16"/>
        </w:rPr>
        <w:t>die Aufnahme von Darlehen, soweit diese Maßnahmen über den Wirtschaftsplan hinausgehen oder eine in der Geschäftsordnung festgelegte Wertgrenze überschritten wird,</w:t>
      </w:r>
    </w:p>
    <w:p w14:paraId="0889A9E2" w14:textId="77777777" w:rsidR="004F3F8F" w:rsidRPr="004861AA" w:rsidRDefault="004F3F8F" w:rsidP="00BA459F">
      <w:pPr>
        <w:pStyle w:val="Funotentext"/>
        <w:numPr>
          <w:ilvl w:val="0"/>
          <w:numId w:val="3"/>
        </w:numPr>
        <w:ind w:left="284" w:hanging="284"/>
        <w:rPr>
          <w:rFonts w:ascii="TheSansCorrespondence" w:hAnsi="TheSansCorrespondence"/>
          <w:sz w:val="16"/>
          <w:szCs w:val="16"/>
        </w:rPr>
      </w:pPr>
      <w:r w:rsidRPr="004861AA">
        <w:rPr>
          <w:rFonts w:ascii="TheSansCorrespondence" w:hAnsi="TheSansCorrespondence"/>
          <w:sz w:val="16"/>
          <w:szCs w:val="16"/>
        </w:rPr>
        <w:t>die Benennung des Prüfers für den Jahresabschluss,</w:t>
      </w:r>
    </w:p>
    <w:p w14:paraId="24470198" w14:textId="77777777" w:rsidR="004F3F8F" w:rsidRPr="004861AA" w:rsidRDefault="004F3F8F" w:rsidP="00BA459F">
      <w:pPr>
        <w:pStyle w:val="Funotentext"/>
        <w:numPr>
          <w:ilvl w:val="0"/>
          <w:numId w:val="3"/>
        </w:numPr>
        <w:ind w:left="284" w:hanging="284"/>
        <w:rPr>
          <w:rFonts w:ascii="TheSansCorrespondence" w:hAnsi="TheSansCorrespondence"/>
          <w:sz w:val="16"/>
          <w:szCs w:val="16"/>
        </w:rPr>
      </w:pPr>
      <w:r w:rsidRPr="004861AA">
        <w:rPr>
          <w:rFonts w:ascii="TheSansCorrespondence" w:hAnsi="TheSansCorrespondence"/>
          <w:sz w:val="16"/>
          <w:szCs w:val="16"/>
        </w:rPr>
        <w:t>Abschluss von Vergleichen über Ansprüche, soweit eine in der Geschäftsordnung festgelegte Wertgrenze überschritten wird,</w:t>
      </w:r>
    </w:p>
    <w:p w14:paraId="5314EA6D" w14:textId="77777777" w:rsidR="004F3F8F" w:rsidRPr="004861AA" w:rsidRDefault="004F3F8F" w:rsidP="00BA459F">
      <w:pPr>
        <w:pStyle w:val="Funotentext"/>
        <w:numPr>
          <w:ilvl w:val="0"/>
          <w:numId w:val="3"/>
        </w:numPr>
        <w:ind w:left="284" w:hanging="284"/>
        <w:rPr>
          <w:rFonts w:ascii="TheSansCorrespondence" w:hAnsi="TheSansCorrespondence"/>
          <w:sz w:val="16"/>
          <w:szCs w:val="16"/>
        </w:rPr>
      </w:pPr>
      <w:r w:rsidRPr="004861AA">
        <w:rPr>
          <w:rFonts w:ascii="TheSansCorrespondence" w:hAnsi="TheSansCorrespondence"/>
          <w:sz w:val="16"/>
          <w:szCs w:val="16"/>
        </w:rPr>
        <w:t>Investitionen, die für den ordnungsgemäßen und wirtschaftlichen Betrieb der Gesellschaft erforderlich sind, soweit diese Maßnahmen über den Wirtschaftsplan hinausgehen oder eine in der Geschäftsordnung festgelegte Wertgrenze überschritten wird,</w:t>
      </w:r>
    </w:p>
    <w:p w14:paraId="64723901" w14:textId="765448DC" w:rsidR="004F3F8F" w:rsidRPr="004861AA" w:rsidRDefault="004F3F8F" w:rsidP="00BA459F">
      <w:pPr>
        <w:pStyle w:val="Funotentext"/>
        <w:numPr>
          <w:ilvl w:val="0"/>
          <w:numId w:val="3"/>
        </w:numPr>
        <w:ind w:left="284" w:hanging="284"/>
        <w:rPr>
          <w:rFonts w:ascii="TheSansCorrespondence" w:hAnsi="TheSansCorrespondence"/>
          <w:sz w:val="16"/>
          <w:szCs w:val="16"/>
        </w:rPr>
      </w:pPr>
      <w:r w:rsidRPr="004861AA">
        <w:rPr>
          <w:rFonts w:ascii="TheSansCorrespondence" w:hAnsi="TheSansCorrespondence"/>
          <w:sz w:val="16"/>
          <w:szCs w:val="16"/>
        </w:rPr>
        <w:t>den Erlass/</w:t>
      </w:r>
      <w:r w:rsidR="000A6E27">
        <w:rPr>
          <w:rFonts w:ascii="TheSansCorrespondence" w:hAnsi="TheSansCorrespondence"/>
          <w:sz w:val="16"/>
          <w:szCs w:val="16"/>
        </w:rPr>
        <w:t xml:space="preserve">die </w:t>
      </w:r>
      <w:r w:rsidRPr="004861AA">
        <w:rPr>
          <w:rFonts w:ascii="TheSansCorrespondence" w:hAnsi="TheSansCorrespondence"/>
          <w:sz w:val="16"/>
          <w:szCs w:val="16"/>
        </w:rPr>
        <w:t>Stundung und die Niederschlagung von Forderungen, soweit eine in der Geschäftsordnung festgelegte Wertgrenze überschritten wird.</w:t>
      </w:r>
    </w:p>
  </w:footnote>
  <w:footnote w:id="22">
    <w:p w14:paraId="0D01BA4D" w14:textId="77777777" w:rsidR="004F3F8F" w:rsidRPr="004861AA" w:rsidRDefault="004F3F8F" w:rsidP="004F3F8F">
      <w:pPr>
        <w:pStyle w:val="Funotentext"/>
        <w:rPr>
          <w:rFonts w:ascii="TheSansCorrespondence" w:hAnsi="TheSansCorrespondence"/>
          <w:sz w:val="16"/>
          <w:szCs w:val="16"/>
        </w:rPr>
      </w:pPr>
      <w:r w:rsidRPr="004861AA">
        <w:rPr>
          <w:rStyle w:val="Funotenzeichen"/>
          <w:rFonts w:ascii="TheSansCorrespondence" w:hAnsi="TheSansCorrespondence"/>
          <w:sz w:val="16"/>
          <w:szCs w:val="16"/>
        </w:rPr>
        <w:footnoteRef/>
      </w:r>
      <w:r w:rsidRPr="004861AA">
        <w:rPr>
          <w:rFonts w:ascii="TheSansCorrespondence" w:hAnsi="TheSansCorrespondence"/>
          <w:sz w:val="16"/>
          <w:szCs w:val="16"/>
        </w:rPr>
        <w:t xml:space="preserve"> Mit Unternehmen sind solche gemeint, die eine wirtschaftliche Betätigung ausüben (§ 107 Abs. 1 GO).</w:t>
      </w:r>
    </w:p>
  </w:footnote>
  <w:footnote w:id="23">
    <w:p w14:paraId="1654D4C5" w14:textId="7954F58C" w:rsidR="004F3F8F" w:rsidRPr="003774D0" w:rsidRDefault="004F3F8F" w:rsidP="004F3F8F">
      <w:pPr>
        <w:pStyle w:val="Funotentext"/>
        <w:rPr>
          <w:rFonts w:ascii="TheSansCorrespondence" w:hAnsi="TheSansCorrespondence"/>
          <w:sz w:val="16"/>
          <w:szCs w:val="16"/>
          <w:lang w:val="en-US"/>
        </w:rPr>
      </w:pPr>
      <w:r w:rsidRPr="004861AA">
        <w:rPr>
          <w:rStyle w:val="Funotenzeichen"/>
          <w:rFonts w:ascii="TheSansCorrespondence" w:hAnsi="TheSansCorrespondence"/>
          <w:sz w:val="16"/>
          <w:szCs w:val="16"/>
        </w:rPr>
        <w:footnoteRef/>
      </w:r>
      <w:r w:rsidRPr="004861AA">
        <w:rPr>
          <w:rFonts w:ascii="TheSansCorrespondence" w:hAnsi="TheSansCorrespondence"/>
          <w:sz w:val="16"/>
          <w:szCs w:val="16"/>
          <w:lang w:val="en-US"/>
        </w:rPr>
        <w:t xml:space="preserve"> Vgl. § 114a Abs. 7 S</w:t>
      </w:r>
      <w:r w:rsidR="00977F0C">
        <w:rPr>
          <w:rFonts w:ascii="TheSansCorrespondence" w:hAnsi="TheSansCorrespondence"/>
          <w:sz w:val="16"/>
          <w:szCs w:val="16"/>
          <w:lang w:val="en-US"/>
        </w:rPr>
        <w:t>ätze</w:t>
      </w:r>
      <w:r w:rsidRPr="004861AA">
        <w:rPr>
          <w:rFonts w:ascii="TheSansCorrespondence" w:hAnsi="TheSansCorrespondence"/>
          <w:sz w:val="16"/>
          <w:szCs w:val="16"/>
          <w:lang w:val="en-US"/>
        </w:rPr>
        <w:t xml:space="preserve"> 4 u. 5 GO</w:t>
      </w:r>
      <w:bookmarkStart w:id="0" w:name="_Hlk79664466"/>
      <w:r w:rsidR="008B2187">
        <w:rPr>
          <w:rFonts w:ascii="TheSansCorrespondence" w:hAnsi="TheSansCorrespondence"/>
          <w:sz w:val="16"/>
          <w:szCs w:val="16"/>
          <w:lang w:val="en-US"/>
        </w:rPr>
        <w:t>.</w:t>
      </w:r>
    </w:p>
    <w:bookmarkEnd w:id="0"/>
  </w:footnote>
  <w:footnote w:id="24">
    <w:p w14:paraId="4F735744" w14:textId="3B845212" w:rsidR="004F3F8F" w:rsidRPr="004861AA" w:rsidRDefault="004F3F8F" w:rsidP="004F3F8F">
      <w:pPr>
        <w:pStyle w:val="Funotentext"/>
        <w:rPr>
          <w:rFonts w:ascii="TheSansCorrespondence" w:hAnsi="TheSansCorrespondence"/>
          <w:sz w:val="16"/>
          <w:szCs w:val="16"/>
        </w:rPr>
      </w:pPr>
      <w:r w:rsidRPr="004861AA">
        <w:rPr>
          <w:rStyle w:val="Funotenzeichen"/>
          <w:rFonts w:ascii="TheSansCorrespondence" w:hAnsi="TheSansCorrespondence"/>
          <w:sz w:val="16"/>
          <w:szCs w:val="16"/>
        </w:rPr>
        <w:footnoteRef/>
      </w:r>
      <w:r w:rsidRPr="004861AA">
        <w:rPr>
          <w:rFonts w:ascii="TheSansCorrespondence" w:hAnsi="TheSansCorrespondence"/>
          <w:sz w:val="16"/>
          <w:szCs w:val="16"/>
        </w:rPr>
        <w:t xml:space="preserve"> Über Satzungen ist gemäß § 114a Abs. 7 Satz 4 GO zwingend in öffentlicher Sitzung zu beraten und zu beschließen.</w:t>
      </w:r>
    </w:p>
  </w:footnote>
  <w:footnote w:id="25">
    <w:p w14:paraId="16E7B368" w14:textId="73398615" w:rsidR="004F3F8F" w:rsidRPr="004861AA" w:rsidRDefault="004F3F8F" w:rsidP="004F3F8F">
      <w:pPr>
        <w:pStyle w:val="Funotentext"/>
        <w:rPr>
          <w:rFonts w:ascii="TheSansCorrespondence" w:hAnsi="TheSansCorrespondence"/>
          <w:sz w:val="16"/>
          <w:szCs w:val="16"/>
        </w:rPr>
      </w:pPr>
      <w:r w:rsidRPr="004861AA">
        <w:rPr>
          <w:rStyle w:val="Funotenzeichen"/>
          <w:rFonts w:ascii="TheSansCorrespondence" w:hAnsi="TheSansCorrespondence"/>
          <w:sz w:val="16"/>
          <w:szCs w:val="16"/>
        </w:rPr>
        <w:footnoteRef/>
      </w:r>
      <w:r w:rsidRPr="004861AA">
        <w:rPr>
          <w:rFonts w:ascii="TheSansCorrespondence" w:hAnsi="TheSansCorrespondence"/>
          <w:sz w:val="16"/>
          <w:szCs w:val="16"/>
        </w:rPr>
        <w:t xml:space="preserve"> Es besteht die Möglichkeit, in die Unternehmenssatzung oder in eine Geschäftsordnung des Verwaltungsrates spezifische Regelungen aufzunehmen, die ein Umlaufverfahren, Telefon- oder Videokonferenzen des Verwaltungsrates beinhalten.</w:t>
      </w:r>
      <w:r w:rsidR="003C31BB">
        <w:rPr>
          <w:rFonts w:ascii="TheSansCorrespondence" w:hAnsi="TheSansCorrespondence"/>
          <w:sz w:val="16"/>
          <w:szCs w:val="16"/>
        </w:rPr>
        <w:t xml:space="preserve"> </w:t>
      </w:r>
      <w:r w:rsidR="001572E0">
        <w:rPr>
          <w:rFonts w:ascii="TheSansCorrespondence" w:hAnsi="TheSansCorrespondence"/>
          <w:sz w:val="16"/>
          <w:szCs w:val="16"/>
        </w:rPr>
        <w:t xml:space="preserve">Auch in diesen Fällen müssen die Verwaltungsratsmitglieder mit dem Vorgehen einverstanden sein. </w:t>
      </w:r>
      <w:r w:rsidR="003C31BB">
        <w:rPr>
          <w:rFonts w:ascii="TheSansCorrespondence" w:hAnsi="TheSansCorrespondence"/>
          <w:sz w:val="16"/>
          <w:szCs w:val="16"/>
        </w:rPr>
        <w:t>Satzungen</w:t>
      </w:r>
      <w:r w:rsidR="001572E0">
        <w:rPr>
          <w:rFonts w:ascii="TheSansCorrespondence" w:hAnsi="TheSansCorrespondence"/>
          <w:sz w:val="16"/>
          <w:szCs w:val="16"/>
        </w:rPr>
        <w:t xml:space="preserve"> sind hingegen zwingend in öffentlicher Sitzung zu beschließen, § 114a Abs. 7 Satz 4 GO</w:t>
      </w:r>
      <w:r w:rsidR="003C31BB">
        <w:rPr>
          <w:rFonts w:ascii="TheSansCorrespondence" w:hAnsi="TheSansCorrespondence"/>
          <w:sz w:val="16"/>
          <w:szCs w:val="16"/>
        </w:rPr>
        <w:t xml:space="preserve">. </w:t>
      </w:r>
    </w:p>
  </w:footnote>
  <w:footnote w:id="26">
    <w:p w14:paraId="51DA5F3E" w14:textId="77777777" w:rsidR="004F3F8F" w:rsidRPr="004861AA" w:rsidRDefault="004F3F8F" w:rsidP="004F3F8F">
      <w:pPr>
        <w:pStyle w:val="Funotentext"/>
        <w:rPr>
          <w:rFonts w:ascii="TheSansCorrespondence" w:hAnsi="TheSansCorrespondence"/>
          <w:sz w:val="16"/>
          <w:szCs w:val="16"/>
        </w:rPr>
      </w:pPr>
      <w:r w:rsidRPr="004861AA">
        <w:rPr>
          <w:rStyle w:val="Funotenzeichen"/>
          <w:rFonts w:ascii="TheSansCorrespondence" w:hAnsi="TheSansCorrespondence"/>
          <w:sz w:val="16"/>
          <w:szCs w:val="16"/>
        </w:rPr>
        <w:footnoteRef/>
      </w:r>
      <w:r w:rsidRPr="004861AA">
        <w:rPr>
          <w:rFonts w:ascii="TheSansCorrespondence" w:hAnsi="TheSansCorrespondence"/>
          <w:sz w:val="16"/>
          <w:szCs w:val="16"/>
        </w:rPr>
        <w:t xml:space="preserve"> Es liegt im Ermessen der Stadt/Gemeinde, ob sie eine solche satzungsrechtliche Regelung einführt (Vgl. § 114a Abs. 7 S. 6 GO). </w:t>
      </w:r>
    </w:p>
  </w:footnote>
  <w:footnote w:id="27">
    <w:p w14:paraId="4184ABC9" w14:textId="388C3DB5" w:rsidR="004F3F8F" w:rsidRPr="004861AA" w:rsidRDefault="004F3F8F" w:rsidP="004F3F8F">
      <w:pPr>
        <w:pStyle w:val="Funotentext"/>
        <w:rPr>
          <w:rFonts w:ascii="TheSansCorrespondence" w:hAnsi="TheSansCorrespondence"/>
          <w:sz w:val="16"/>
          <w:szCs w:val="16"/>
        </w:rPr>
      </w:pPr>
      <w:r w:rsidRPr="004861AA">
        <w:rPr>
          <w:rStyle w:val="Funotenzeichen"/>
          <w:rFonts w:ascii="TheSansCorrespondence" w:hAnsi="TheSansCorrespondence"/>
          <w:sz w:val="16"/>
          <w:szCs w:val="16"/>
        </w:rPr>
        <w:footnoteRef/>
      </w:r>
      <w:r w:rsidRPr="004861AA">
        <w:rPr>
          <w:rFonts w:ascii="TheSansCorrespondence" w:hAnsi="TheSansCorrespondence"/>
          <w:sz w:val="16"/>
          <w:szCs w:val="16"/>
        </w:rPr>
        <w:t xml:space="preserve"> So kann z.B. bestimmt werden, dass die Entlastung des Vorstandes der Zustimmung des Rates bedürfen, ebenso die Erfüllung von Aufgaben anderer Kommunen sein (Vgl. § 2 Abs. 4 und die entsprechende Fußnote).</w:t>
      </w:r>
    </w:p>
  </w:footnote>
  <w:footnote w:id="28">
    <w:p w14:paraId="19BF04D4" w14:textId="77777777" w:rsidR="004F3F8F" w:rsidRPr="004861AA" w:rsidRDefault="004F3F8F" w:rsidP="004F3F8F">
      <w:pPr>
        <w:pStyle w:val="Funotentext"/>
        <w:rPr>
          <w:rFonts w:ascii="TheSansCorrespondence" w:hAnsi="TheSansCorrespondence"/>
          <w:sz w:val="16"/>
          <w:szCs w:val="16"/>
        </w:rPr>
      </w:pPr>
      <w:r w:rsidRPr="004861AA">
        <w:rPr>
          <w:rStyle w:val="Funotenzeichen"/>
          <w:rFonts w:ascii="TheSansCorrespondence" w:hAnsi="TheSansCorrespondence"/>
          <w:sz w:val="16"/>
          <w:szCs w:val="16"/>
        </w:rPr>
        <w:footnoteRef/>
      </w:r>
      <w:r w:rsidRPr="004861AA">
        <w:rPr>
          <w:rFonts w:ascii="TheSansCorrespondence" w:hAnsi="TheSansCorrespondence"/>
          <w:sz w:val="16"/>
          <w:szCs w:val="16"/>
        </w:rPr>
        <w:t xml:space="preserve"> Hier ist der Name des Kommunalunternehmens einzutragen.</w:t>
      </w:r>
    </w:p>
  </w:footnote>
  <w:footnote w:id="29">
    <w:p w14:paraId="0E5D5BD5" w14:textId="1350C940" w:rsidR="00371929" w:rsidRPr="00371929" w:rsidRDefault="00371929" w:rsidP="00371929">
      <w:pPr>
        <w:pStyle w:val="Funotentext"/>
        <w:rPr>
          <w:rFonts w:ascii="TheSansCorrespondence" w:hAnsi="TheSansCorrespondence"/>
          <w:sz w:val="16"/>
          <w:szCs w:val="16"/>
        </w:rPr>
      </w:pPr>
      <w:r w:rsidRPr="00371929">
        <w:rPr>
          <w:rStyle w:val="Funotenzeichen"/>
          <w:rFonts w:ascii="TheSansCorrespondence" w:hAnsi="TheSansCorrespondence"/>
          <w:sz w:val="16"/>
          <w:szCs w:val="16"/>
        </w:rPr>
        <w:footnoteRef/>
      </w:r>
      <w:r w:rsidRPr="00371929">
        <w:rPr>
          <w:rFonts w:ascii="TheSansCorrespondence" w:hAnsi="TheSansCorrespondence"/>
          <w:sz w:val="16"/>
          <w:szCs w:val="16"/>
        </w:rPr>
        <w:t xml:space="preserve"> Die örtliche Rechnungsprüfung der Stadt/Gemeinde kann zudem die in § 104 Abs. 2 Nr. 3 GO genannten Aufgaben wahrnehmen.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E25"/>
    <w:multiLevelType w:val="hybridMultilevel"/>
    <w:tmpl w:val="750CEC5E"/>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2A80CE0"/>
    <w:multiLevelType w:val="hybridMultilevel"/>
    <w:tmpl w:val="750CEC5E"/>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C1833FF"/>
    <w:multiLevelType w:val="hybridMultilevel"/>
    <w:tmpl w:val="750CEC5E"/>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2D7E9D"/>
    <w:multiLevelType w:val="hybridMultilevel"/>
    <w:tmpl w:val="750CEC5E"/>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E3D677B"/>
    <w:multiLevelType w:val="hybridMultilevel"/>
    <w:tmpl w:val="750CEC5E"/>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1C143EE"/>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11D13648"/>
    <w:multiLevelType w:val="hybridMultilevel"/>
    <w:tmpl w:val="750CEC5E"/>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2667AFC"/>
    <w:multiLevelType w:val="hybridMultilevel"/>
    <w:tmpl w:val="12F0E07A"/>
    <w:lvl w:ilvl="0" w:tplc="04070017">
      <w:start w:val="1"/>
      <w:numFmt w:val="lowerLetter"/>
      <w:lvlText w:val="%1)"/>
      <w:lvlJc w:val="left"/>
      <w:pPr>
        <w:ind w:left="770" w:hanging="360"/>
      </w:pPr>
    </w:lvl>
    <w:lvl w:ilvl="1" w:tplc="04070019" w:tentative="1">
      <w:start w:val="1"/>
      <w:numFmt w:val="lowerLetter"/>
      <w:lvlText w:val="%2."/>
      <w:lvlJc w:val="left"/>
      <w:pPr>
        <w:ind w:left="1490" w:hanging="360"/>
      </w:pPr>
    </w:lvl>
    <w:lvl w:ilvl="2" w:tplc="0407001B" w:tentative="1">
      <w:start w:val="1"/>
      <w:numFmt w:val="lowerRoman"/>
      <w:lvlText w:val="%3."/>
      <w:lvlJc w:val="right"/>
      <w:pPr>
        <w:ind w:left="2210" w:hanging="180"/>
      </w:pPr>
    </w:lvl>
    <w:lvl w:ilvl="3" w:tplc="0407000F" w:tentative="1">
      <w:start w:val="1"/>
      <w:numFmt w:val="decimal"/>
      <w:lvlText w:val="%4."/>
      <w:lvlJc w:val="left"/>
      <w:pPr>
        <w:ind w:left="2930" w:hanging="360"/>
      </w:pPr>
    </w:lvl>
    <w:lvl w:ilvl="4" w:tplc="04070019" w:tentative="1">
      <w:start w:val="1"/>
      <w:numFmt w:val="lowerLetter"/>
      <w:lvlText w:val="%5."/>
      <w:lvlJc w:val="left"/>
      <w:pPr>
        <w:ind w:left="3650" w:hanging="360"/>
      </w:pPr>
    </w:lvl>
    <w:lvl w:ilvl="5" w:tplc="0407001B" w:tentative="1">
      <w:start w:val="1"/>
      <w:numFmt w:val="lowerRoman"/>
      <w:lvlText w:val="%6."/>
      <w:lvlJc w:val="right"/>
      <w:pPr>
        <w:ind w:left="4370" w:hanging="180"/>
      </w:pPr>
    </w:lvl>
    <w:lvl w:ilvl="6" w:tplc="0407000F" w:tentative="1">
      <w:start w:val="1"/>
      <w:numFmt w:val="decimal"/>
      <w:lvlText w:val="%7."/>
      <w:lvlJc w:val="left"/>
      <w:pPr>
        <w:ind w:left="5090" w:hanging="360"/>
      </w:pPr>
    </w:lvl>
    <w:lvl w:ilvl="7" w:tplc="04070019" w:tentative="1">
      <w:start w:val="1"/>
      <w:numFmt w:val="lowerLetter"/>
      <w:lvlText w:val="%8."/>
      <w:lvlJc w:val="left"/>
      <w:pPr>
        <w:ind w:left="5810" w:hanging="360"/>
      </w:pPr>
    </w:lvl>
    <w:lvl w:ilvl="8" w:tplc="0407001B" w:tentative="1">
      <w:start w:val="1"/>
      <w:numFmt w:val="lowerRoman"/>
      <w:lvlText w:val="%9."/>
      <w:lvlJc w:val="right"/>
      <w:pPr>
        <w:ind w:left="6530" w:hanging="180"/>
      </w:pPr>
    </w:lvl>
  </w:abstractNum>
  <w:abstractNum w:abstractNumId="8" w15:restartNumberingAfterBreak="0">
    <w:nsid w:val="21B83930"/>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37C41FAA"/>
    <w:multiLevelType w:val="hybridMultilevel"/>
    <w:tmpl w:val="750CEC5E"/>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A840FD6"/>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400D7453"/>
    <w:multiLevelType w:val="hybridMultilevel"/>
    <w:tmpl w:val="750CEC5E"/>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07D49B3"/>
    <w:multiLevelType w:val="hybridMultilevel"/>
    <w:tmpl w:val="750CEC5E"/>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13D074A"/>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5DE271E1"/>
    <w:multiLevelType w:val="hybridMultilevel"/>
    <w:tmpl w:val="750CEC5E"/>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EE3470B"/>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72DA60EB"/>
    <w:multiLevelType w:val="hybridMultilevel"/>
    <w:tmpl w:val="0F708466"/>
    <w:lvl w:ilvl="0" w:tplc="04070001">
      <w:start w:val="1"/>
      <w:numFmt w:val="bullet"/>
      <w:lvlText w:val=""/>
      <w:lvlJc w:val="left"/>
      <w:pPr>
        <w:ind w:left="804" w:hanging="360"/>
      </w:pPr>
      <w:rPr>
        <w:rFonts w:ascii="Symbol" w:hAnsi="Symbol" w:hint="default"/>
      </w:rPr>
    </w:lvl>
    <w:lvl w:ilvl="1" w:tplc="04070003" w:tentative="1">
      <w:start w:val="1"/>
      <w:numFmt w:val="bullet"/>
      <w:lvlText w:val="o"/>
      <w:lvlJc w:val="left"/>
      <w:pPr>
        <w:ind w:left="1524" w:hanging="360"/>
      </w:pPr>
      <w:rPr>
        <w:rFonts w:ascii="Courier New" w:hAnsi="Courier New" w:cs="Courier New" w:hint="default"/>
      </w:rPr>
    </w:lvl>
    <w:lvl w:ilvl="2" w:tplc="04070005" w:tentative="1">
      <w:start w:val="1"/>
      <w:numFmt w:val="bullet"/>
      <w:lvlText w:val=""/>
      <w:lvlJc w:val="left"/>
      <w:pPr>
        <w:ind w:left="2244" w:hanging="360"/>
      </w:pPr>
      <w:rPr>
        <w:rFonts w:ascii="Wingdings" w:hAnsi="Wingdings" w:hint="default"/>
      </w:rPr>
    </w:lvl>
    <w:lvl w:ilvl="3" w:tplc="04070001" w:tentative="1">
      <w:start w:val="1"/>
      <w:numFmt w:val="bullet"/>
      <w:lvlText w:val=""/>
      <w:lvlJc w:val="left"/>
      <w:pPr>
        <w:ind w:left="2964" w:hanging="360"/>
      </w:pPr>
      <w:rPr>
        <w:rFonts w:ascii="Symbol" w:hAnsi="Symbol" w:hint="default"/>
      </w:rPr>
    </w:lvl>
    <w:lvl w:ilvl="4" w:tplc="04070003" w:tentative="1">
      <w:start w:val="1"/>
      <w:numFmt w:val="bullet"/>
      <w:lvlText w:val="o"/>
      <w:lvlJc w:val="left"/>
      <w:pPr>
        <w:ind w:left="3684" w:hanging="360"/>
      </w:pPr>
      <w:rPr>
        <w:rFonts w:ascii="Courier New" w:hAnsi="Courier New" w:cs="Courier New" w:hint="default"/>
      </w:rPr>
    </w:lvl>
    <w:lvl w:ilvl="5" w:tplc="04070005" w:tentative="1">
      <w:start w:val="1"/>
      <w:numFmt w:val="bullet"/>
      <w:lvlText w:val=""/>
      <w:lvlJc w:val="left"/>
      <w:pPr>
        <w:ind w:left="4404" w:hanging="360"/>
      </w:pPr>
      <w:rPr>
        <w:rFonts w:ascii="Wingdings" w:hAnsi="Wingdings" w:hint="default"/>
      </w:rPr>
    </w:lvl>
    <w:lvl w:ilvl="6" w:tplc="04070001" w:tentative="1">
      <w:start w:val="1"/>
      <w:numFmt w:val="bullet"/>
      <w:lvlText w:val=""/>
      <w:lvlJc w:val="left"/>
      <w:pPr>
        <w:ind w:left="5124" w:hanging="360"/>
      </w:pPr>
      <w:rPr>
        <w:rFonts w:ascii="Symbol" w:hAnsi="Symbol" w:hint="default"/>
      </w:rPr>
    </w:lvl>
    <w:lvl w:ilvl="7" w:tplc="04070003" w:tentative="1">
      <w:start w:val="1"/>
      <w:numFmt w:val="bullet"/>
      <w:lvlText w:val="o"/>
      <w:lvlJc w:val="left"/>
      <w:pPr>
        <w:ind w:left="5844" w:hanging="360"/>
      </w:pPr>
      <w:rPr>
        <w:rFonts w:ascii="Courier New" w:hAnsi="Courier New" w:cs="Courier New" w:hint="default"/>
      </w:rPr>
    </w:lvl>
    <w:lvl w:ilvl="8" w:tplc="04070005" w:tentative="1">
      <w:start w:val="1"/>
      <w:numFmt w:val="bullet"/>
      <w:lvlText w:val=""/>
      <w:lvlJc w:val="left"/>
      <w:pPr>
        <w:ind w:left="6564" w:hanging="360"/>
      </w:pPr>
      <w:rPr>
        <w:rFonts w:ascii="Wingdings" w:hAnsi="Wingdings" w:hint="default"/>
      </w:rPr>
    </w:lvl>
  </w:abstractNum>
  <w:abstractNum w:abstractNumId="17" w15:restartNumberingAfterBreak="0">
    <w:nsid w:val="7C5A6E50"/>
    <w:multiLevelType w:val="hybridMultilevel"/>
    <w:tmpl w:val="750CEC5E"/>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8"/>
  </w:num>
  <w:num w:numId="3">
    <w:abstractNumId w:val="16"/>
  </w:num>
  <w:num w:numId="4">
    <w:abstractNumId w:val="11"/>
  </w:num>
  <w:num w:numId="5">
    <w:abstractNumId w:val="13"/>
  </w:num>
  <w:num w:numId="6">
    <w:abstractNumId w:val="10"/>
  </w:num>
  <w:num w:numId="7">
    <w:abstractNumId w:val="14"/>
  </w:num>
  <w:num w:numId="8">
    <w:abstractNumId w:val="4"/>
  </w:num>
  <w:num w:numId="9">
    <w:abstractNumId w:val="2"/>
  </w:num>
  <w:num w:numId="10">
    <w:abstractNumId w:val="1"/>
  </w:num>
  <w:num w:numId="11">
    <w:abstractNumId w:val="15"/>
  </w:num>
  <w:num w:numId="12">
    <w:abstractNumId w:val="6"/>
  </w:num>
  <w:num w:numId="13">
    <w:abstractNumId w:val="5"/>
  </w:num>
  <w:num w:numId="14">
    <w:abstractNumId w:val="17"/>
  </w:num>
  <w:num w:numId="15">
    <w:abstractNumId w:val="12"/>
  </w:num>
  <w:num w:numId="16">
    <w:abstractNumId w:val="9"/>
  </w:num>
  <w:num w:numId="17">
    <w:abstractNumId w:val="0"/>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B53DC76-02D7-4443-85CF-2A1092494DA4}"/>
    <w:docVar w:name="dgnword-eventsink" w:val="112551960"/>
  </w:docVars>
  <w:rsids>
    <w:rsidRoot w:val="004C6A31"/>
    <w:rsid w:val="00001F70"/>
    <w:rsid w:val="00005828"/>
    <w:rsid w:val="00016499"/>
    <w:rsid w:val="000164ED"/>
    <w:rsid w:val="00017825"/>
    <w:rsid w:val="000245F9"/>
    <w:rsid w:val="000312C1"/>
    <w:rsid w:val="000430B2"/>
    <w:rsid w:val="00050DD4"/>
    <w:rsid w:val="000541E4"/>
    <w:rsid w:val="00054976"/>
    <w:rsid w:val="00055BE6"/>
    <w:rsid w:val="00057060"/>
    <w:rsid w:val="000601D3"/>
    <w:rsid w:val="00073B6F"/>
    <w:rsid w:val="00090EC7"/>
    <w:rsid w:val="00093F46"/>
    <w:rsid w:val="000A6E27"/>
    <w:rsid w:val="000B0474"/>
    <w:rsid w:val="000B1299"/>
    <w:rsid w:val="000B39D3"/>
    <w:rsid w:val="000C4E95"/>
    <w:rsid w:val="000D12E1"/>
    <w:rsid w:val="000E11F1"/>
    <w:rsid w:val="000F140C"/>
    <w:rsid w:val="000F2694"/>
    <w:rsid w:val="000F71DA"/>
    <w:rsid w:val="001003BB"/>
    <w:rsid w:val="0010153C"/>
    <w:rsid w:val="00101752"/>
    <w:rsid w:val="00106618"/>
    <w:rsid w:val="00111C6F"/>
    <w:rsid w:val="00115566"/>
    <w:rsid w:val="00125875"/>
    <w:rsid w:val="00132FA2"/>
    <w:rsid w:val="00134B2E"/>
    <w:rsid w:val="00134E35"/>
    <w:rsid w:val="001354DC"/>
    <w:rsid w:val="001360C2"/>
    <w:rsid w:val="00147425"/>
    <w:rsid w:val="00147733"/>
    <w:rsid w:val="001572E0"/>
    <w:rsid w:val="00160E9C"/>
    <w:rsid w:val="00161654"/>
    <w:rsid w:val="00162095"/>
    <w:rsid w:val="001635F9"/>
    <w:rsid w:val="00163AB1"/>
    <w:rsid w:val="00171822"/>
    <w:rsid w:val="00182380"/>
    <w:rsid w:val="001948DA"/>
    <w:rsid w:val="00197A3D"/>
    <w:rsid w:val="001A01A4"/>
    <w:rsid w:val="001A07D1"/>
    <w:rsid w:val="001B3D5B"/>
    <w:rsid w:val="001B4CAA"/>
    <w:rsid w:val="001C34D3"/>
    <w:rsid w:val="001C3D91"/>
    <w:rsid w:val="001E0FC0"/>
    <w:rsid w:val="001E53D2"/>
    <w:rsid w:val="001E6219"/>
    <w:rsid w:val="001F4CB0"/>
    <w:rsid w:val="001F5A5E"/>
    <w:rsid w:val="00202DEC"/>
    <w:rsid w:val="00203C54"/>
    <w:rsid w:val="00206586"/>
    <w:rsid w:val="0021004A"/>
    <w:rsid w:val="00233B6C"/>
    <w:rsid w:val="00243649"/>
    <w:rsid w:val="00250FCA"/>
    <w:rsid w:val="00276E9C"/>
    <w:rsid w:val="00277F7A"/>
    <w:rsid w:val="002B7CBB"/>
    <w:rsid w:val="002D3716"/>
    <w:rsid w:val="002D6240"/>
    <w:rsid w:val="002D70BB"/>
    <w:rsid w:val="002D79A8"/>
    <w:rsid w:val="002E0EC5"/>
    <w:rsid w:val="002E3DD6"/>
    <w:rsid w:val="002F5C7C"/>
    <w:rsid w:val="002F74EA"/>
    <w:rsid w:val="00305E71"/>
    <w:rsid w:val="00307C77"/>
    <w:rsid w:val="0033012D"/>
    <w:rsid w:val="00331874"/>
    <w:rsid w:val="00331AC0"/>
    <w:rsid w:val="00332769"/>
    <w:rsid w:val="00340D20"/>
    <w:rsid w:val="00347DC0"/>
    <w:rsid w:val="003563B7"/>
    <w:rsid w:val="00365DB1"/>
    <w:rsid w:val="00371929"/>
    <w:rsid w:val="0037509C"/>
    <w:rsid w:val="00376512"/>
    <w:rsid w:val="00377193"/>
    <w:rsid w:val="003774D0"/>
    <w:rsid w:val="0038003F"/>
    <w:rsid w:val="00387019"/>
    <w:rsid w:val="00391085"/>
    <w:rsid w:val="00394B47"/>
    <w:rsid w:val="00394E36"/>
    <w:rsid w:val="0039751C"/>
    <w:rsid w:val="003C0950"/>
    <w:rsid w:val="003C31BB"/>
    <w:rsid w:val="003D1814"/>
    <w:rsid w:val="003D44BB"/>
    <w:rsid w:val="003D5B83"/>
    <w:rsid w:val="003E04BF"/>
    <w:rsid w:val="003E229F"/>
    <w:rsid w:val="003E54F2"/>
    <w:rsid w:val="003F5358"/>
    <w:rsid w:val="003F72F1"/>
    <w:rsid w:val="00417709"/>
    <w:rsid w:val="004331F3"/>
    <w:rsid w:val="00446169"/>
    <w:rsid w:val="004473E9"/>
    <w:rsid w:val="004526B4"/>
    <w:rsid w:val="00461BA6"/>
    <w:rsid w:val="00467F21"/>
    <w:rsid w:val="004720AA"/>
    <w:rsid w:val="00481F72"/>
    <w:rsid w:val="004861AA"/>
    <w:rsid w:val="00486403"/>
    <w:rsid w:val="0048681A"/>
    <w:rsid w:val="004A52DE"/>
    <w:rsid w:val="004A57B7"/>
    <w:rsid w:val="004B33D6"/>
    <w:rsid w:val="004B3808"/>
    <w:rsid w:val="004B6106"/>
    <w:rsid w:val="004B678F"/>
    <w:rsid w:val="004C21DF"/>
    <w:rsid w:val="004C26A6"/>
    <w:rsid w:val="004C36F2"/>
    <w:rsid w:val="004C6A31"/>
    <w:rsid w:val="004C7E2C"/>
    <w:rsid w:val="004D1453"/>
    <w:rsid w:val="004D5412"/>
    <w:rsid w:val="004D7B36"/>
    <w:rsid w:val="004E1F6B"/>
    <w:rsid w:val="004F3F8F"/>
    <w:rsid w:val="004F47C2"/>
    <w:rsid w:val="004F66F4"/>
    <w:rsid w:val="00520AC1"/>
    <w:rsid w:val="0052271E"/>
    <w:rsid w:val="0053082A"/>
    <w:rsid w:val="00544B29"/>
    <w:rsid w:val="00553B29"/>
    <w:rsid w:val="005561C5"/>
    <w:rsid w:val="00560ABE"/>
    <w:rsid w:val="00564B82"/>
    <w:rsid w:val="00570362"/>
    <w:rsid w:val="005730F6"/>
    <w:rsid w:val="00582DF8"/>
    <w:rsid w:val="00585E3C"/>
    <w:rsid w:val="00593961"/>
    <w:rsid w:val="005964CD"/>
    <w:rsid w:val="00596B2C"/>
    <w:rsid w:val="005A040C"/>
    <w:rsid w:val="005A1200"/>
    <w:rsid w:val="005B0603"/>
    <w:rsid w:val="005B1E9B"/>
    <w:rsid w:val="005B2DED"/>
    <w:rsid w:val="005C5794"/>
    <w:rsid w:val="005D2487"/>
    <w:rsid w:val="005D6DE5"/>
    <w:rsid w:val="005F0930"/>
    <w:rsid w:val="00605D0B"/>
    <w:rsid w:val="00606393"/>
    <w:rsid w:val="0061080F"/>
    <w:rsid w:val="00616D04"/>
    <w:rsid w:val="00625BF6"/>
    <w:rsid w:val="00630EB2"/>
    <w:rsid w:val="0063621F"/>
    <w:rsid w:val="006437A2"/>
    <w:rsid w:val="0064557B"/>
    <w:rsid w:val="006478FF"/>
    <w:rsid w:val="00660559"/>
    <w:rsid w:val="006622D6"/>
    <w:rsid w:val="00677CF4"/>
    <w:rsid w:val="00681D69"/>
    <w:rsid w:val="00681DA1"/>
    <w:rsid w:val="0069672E"/>
    <w:rsid w:val="00696B4B"/>
    <w:rsid w:val="006A031A"/>
    <w:rsid w:val="006A5239"/>
    <w:rsid w:val="006A6237"/>
    <w:rsid w:val="006B5229"/>
    <w:rsid w:val="006B6AF2"/>
    <w:rsid w:val="006B75F4"/>
    <w:rsid w:val="006C2FA2"/>
    <w:rsid w:val="006C57BD"/>
    <w:rsid w:val="006C7C12"/>
    <w:rsid w:val="006D00C9"/>
    <w:rsid w:val="006E110D"/>
    <w:rsid w:val="006E1D14"/>
    <w:rsid w:val="006F09B4"/>
    <w:rsid w:val="006F403C"/>
    <w:rsid w:val="00701701"/>
    <w:rsid w:val="00701D3D"/>
    <w:rsid w:val="007036C6"/>
    <w:rsid w:val="00706832"/>
    <w:rsid w:val="00707693"/>
    <w:rsid w:val="00710A11"/>
    <w:rsid w:val="00724286"/>
    <w:rsid w:val="0072445C"/>
    <w:rsid w:val="00724536"/>
    <w:rsid w:val="00731882"/>
    <w:rsid w:val="00741129"/>
    <w:rsid w:val="00744310"/>
    <w:rsid w:val="0074568C"/>
    <w:rsid w:val="00745CFA"/>
    <w:rsid w:val="007500C3"/>
    <w:rsid w:val="007526BD"/>
    <w:rsid w:val="007644C2"/>
    <w:rsid w:val="007872EF"/>
    <w:rsid w:val="007926B3"/>
    <w:rsid w:val="00793644"/>
    <w:rsid w:val="007B7301"/>
    <w:rsid w:val="007D57D7"/>
    <w:rsid w:val="007D5EEC"/>
    <w:rsid w:val="007E1BD1"/>
    <w:rsid w:val="007F19B4"/>
    <w:rsid w:val="007F7B53"/>
    <w:rsid w:val="00814E88"/>
    <w:rsid w:val="00832772"/>
    <w:rsid w:val="00834CDB"/>
    <w:rsid w:val="008401E5"/>
    <w:rsid w:val="00843966"/>
    <w:rsid w:val="008441EB"/>
    <w:rsid w:val="008465EE"/>
    <w:rsid w:val="008536FA"/>
    <w:rsid w:val="00860FA6"/>
    <w:rsid w:val="00862026"/>
    <w:rsid w:val="00867B09"/>
    <w:rsid w:val="00871CE9"/>
    <w:rsid w:val="00872F1B"/>
    <w:rsid w:val="008766B1"/>
    <w:rsid w:val="00880F4E"/>
    <w:rsid w:val="0088283E"/>
    <w:rsid w:val="00891726"/>
    <w:rsid w:val="008931A9"/>
    <w:rsid w:val="008A2DEB"/>
    <w:rsid w:val="008B2187"/>
    <w:rsid w:val="008B6142"/>
    <w:rsid w:val="008C00C4"/>
    <w:rsid w:val="008C1DFC"/>
    <w:rsid w:val="008D51A1"/>
    <w:rsid w:val="008D6998"/>
    <w:rsid w:val="008D6C97"/>
    <w:rsid w:val="008E0B24"/>
    <w:rsid w:val="008E201E"/>
    <w:rsid w:val="008F0C5A"/>
    <w:rsid w:val="008F534C"/>
    <w:rsid w:val="0091047E"/>
    <w:rsid w:val="00912492"/>
    <w:rsid w:val="00916B82"/>
    <w:rsid w:val="00920934"/>
    <w:rsid w:val="00920A8E"/>
    <w:rsid w:val="00922554"/>
    <w:rsid w:val="00923597"/>
    <w:rsid w:val="00927F36"/>
    <w:rsid w:val="0095494D"/>
    <w:rsid w:val="00956C3F"/>
    <w:rsid w:val="009577DE"/>
    <w:rsid w:val="00957BCC"/>
    <w:rsid w:val="00973F62"/>
    <w:rsid w:val="00974E47"/>
    <w:rsid w:val="00977F0C"/>
    <w:rsid w:val="00985F9C"/>
    <w:rsid w:val="009862E2"/>
    <w:rsid w:val="009931CA"/>
    <w:rsid w:val="009A4B34"/>
    <w:rsid w:val="009A5619"/>
    <w:rsid w:val="009A7BA6"/>
    <w:rsid w:val="009C011E"/>
    <w:rsid w:val="009C2C39"/>
    <w:rsid w:val="009D236F"/>
    <w:rsid w:val="009D265E"/>
    <w:rsid w:val="009E19B0"/>
    <w:rsid w:val="009E3527"/>
    <w:rsid w:val="00A03EFF"/>
    <w:rsid w:val="00A05119"/>
    <w:rsid w:val="00A10DBF"/>
    <w:rsid w:val="00A14CEA"/>
    <w:rsid w:val="00A21327"/>
    <w:rsid w:val="00A218C0"/>
    <w:rsid w:val="00A21B9D"/>
    <w:rsid w:val="00A23B34"/>
    <w:rsid w:val="00A32E0B"/>
    <w:rsid w:val="00A37F76"/>
    <w:rsid w:val="00A613DB"/>
    <w:rsid w:val="00A6451E"/>
    <w:rsid w:val="00A77A5B"/>
    <w:rsid w:val="00A92F23"/>
    <w:rsid w:val="00A94EB3"/>
    <w:rsid w:val="00A959F4"/>
    <w:rsid w:val="00A96373"/>
    <w:rsid w:val="00A97845"/>
    <w:rsid w:val="00AB6B52"/>
    <w:rsid w:val="00AC41B9"/>
    <w:rsid w:val="00AC7027"/>
    <w:rsid w:val="00AD4BF0"/>
    <w:rsid w:val="00AD5DF3"/>
    <w:rsid w:val="00AD62A2"/>
    <w:rsid w:val="00AD64C9"/>
    <w:rsid w:val="00AF3446"/>
    <w:rsid w:val="00B005FE"/>
    <w:rsid w:val="00B03C0A"/>
    <w:rsid w:val="00B20813"/>
    <w:rsid w:val="00B22955"/>
    <w:rsid w:val="00B2701B"/>
    <w:rsid w:val="00B31644"/>
    <w:rsid w:val="00B40353"/>
    <w:rsid w:val="00B57EB3"/>
    <w:rsid w:val="00B627D4"/>
    <w:rsid w:val="00B65873"/>
    <w:rsid w:val="00B71041"/>
    <w:rsid w:val="00B80ADD"/>
    <w:rsid w:val="00B80AEE"/>
    <w:rsid w:val="00B87ECB"/>
    <w:rsid w:val="00B90144"/>
    <w:rsid w:val="00B92CCA"/>
    <w:rsid w:val="00BA459F"/>
    <w:rsid w:val="00BB5A7C"/>
    <w:rsid w:val="00BB6D2E"/>
    <w:rsid w:val="00BB74AA"/>
    <w:rsid w:val="00BD00D6"/>
    <w:rsid w:val="00BD0EF0"/>
    <w:rsid w:val="00BD6A36"/>
    <w:rsid w:val="00BD77EF"/>
    <w:rsid w:val="00BE4ED9"/>
    <w:rsid w:val="00BE6FCC"/>
    <w:rsid w:val="00BF30CE"/>
    <w:rsid w:val="00BF3FDE"/>
    <w:rsid w:val="00BF7DCF"/>
    <w:rsid w:val="00C02341"/>
    <w:rsid w:val="00C02591"/>
    <w:rsid w:val="00C04F2A"/>
    <w:rsid w:val="00C06E27"/>
    <w:rsid w:val="00C0707D"/>
    <w:rsid w:val="00C07376"/>
    <w:rsid w:val="00C1246E"/>
    <w:rsid w:val="00C177EF"/>
    <w:rsid w:val="00C17BCF"/>
    <w:rsid w:val="00C20A21"/>
    <w:rsid w:val="00C2331C"/>
    <w:rsid w:val="00C233CE"/>
    <w:rsid w:val="00C261E9"/>
    <w:rsid w:val="00C2639B"/>
    <w:rsid w:val="00C524E1"/>
    <w:rsid w:val="00C5631F"/>
    <w:rsid w:val="00C65A2E"/>
    <w:rsid w:val="00C66639"/>
    <w:rsid w:val="00C733DD"/>
    <w:rsid w:val="00C76A63"/>
    <w:rsid w:val="00C87906"/>
    <w:rsid w:val="00C926A4"/>
    <w:rsid w:val="00C973A1"/>
    <w:rsid w:val="00CA366D"/>
    <w:rsid w:val="00CA798B"/>
    <w:rsid w:val="00CB0E4E"/>
    <w:rsid w:val="00CB2498"/>
    <w:rsid w:val="00CC5ACD"/>
    <w:rsid w:val="00CF4920"/>
    <w:rsid w:val="00CF7E43"/>
    <w:rsid w:val="00D03B98"/>
    <w:rsid w:val="00D22629"/>
    <w:rsid w:val="00D23A1D"/>
    <w:rsid w:val="00D2493A"/>
    <w:rsid w:val="00D26985"/>
    <w:rsid w:val="00D338F9"/>
    <w:rsid w:val="00D37107"/>
    <w:rsid w:val="00D418BE"/>
    <w:rsid w:val="00D42FBB"/>
    <w:rsid w:val="00D569A1"/>
    <w:rsid w:val="00D571EA"/>
    <w:rsid w:val="00D63A7A"/>
    <w:rsid w:val="00D7338A"/>
    <w:rsid w:val="00D86F6A"/>
    <w:rsid w:val="00D874F1"/>
    <w:rsid w:val="00D92C4B"/>
    <w:rsid w:val="00D932EB"/>
    <w:rsid w:val="00D94D99"/>
    <w:rsid w:val="00D94E7D"/>
    <w:rsid w:val="00D95112"/>
    <w:rsid w:val="00DA33C9"/>
    <w:rsid w:val="00DA6C3E"/>
    <w:rsid w:val="00DA7E07"/>
    <w:rsid w:val="00DB02C8"/>
    <w:rsid w:val="00DB4C30"/>
    <w:rsid w:val="00DB64CB"/>
    <w:rsid w:val="00DC4760"/>
    <w:rsid w:val="00DC5DD3"/>
    <w:rsid w:val="00DC6B38"/>
    <w:rsid w:val="00DD2418"/>
    <w:rsid w:val="00DE29C2"/>
    <w:rsid w:val="00DF3D80"/>
    <w:rsid w:val="00DF7792"/>
    <w:rsid w:val="00E0033C"/>
    <w:rsid w:val="00E01A41"/>
    <w:rsid w:val="00E01F24"/>
    <w:rsid w:val="00E0393F"/>
    <w:rsid w:val="00E13ECD"/>
    <w:rsid w:val="00E166DB"/>
    <w:rsid w:val="00E16ED7"/>
    <w:rsid w:val="00E2075B"/>
    <w:rsid w:val="00E303F3"/>
    <w:rsid w:val="00E32121"/>
    <w:rsid w:val="00E33635"/>
    <w:rsid w:val="00E35E6D"/>
    <w:rsid w:val="00E551E1"/>
    <w:rsid w:val="00E55B44"/>
    <w:rsid w:val="00E567FE"/>
    <w:rsid w:val="00E63B3F"/>
    <w:rsid w:val="00E71105"/>
    <w:rsid w:val="00E71477"/>
    <w:rsid w:val="00E752B1"/>
    <w:rsid w:val="00E865F6"/>
    <w:rsid w:val="00EA26A1"/>
    <w:rsid w:val="00EA7F60"/>
    <w:rsid w:val="00EC4745"/>
    <w:rsid w:val="00EC621D"/>
    <w:rsid w:val="00ED4F1E"/>
    <w:rsid w:val="00ED7EDB"/>
    <w:rsid w:val="00F022D8"/>
    <w:rsid w:val="00F132F0"/>
    <w:rsid w:val="00F14C1F"/>
    <w:rsid w:val="00F15040"/>
    <w:rsid w:val="00F16C69"/>
    <w:rsid w:val="00F16FED"/>
    <w:rsid w:val="00F20B13"/>
    <w:rsid w:val="00F25606"/>
    <w:rsid w:val="00F4103B"/>
    <w:rsid w:val="00F47EE5"/>
    <w:rsid w:val="00F523F3"/>
    <w:rsid w:val="00F529F2"/>
    <w:rsid w:val="00F64A44"/>
    <w:rsid w:val="00F763DD"/>
    <w:rsid w:val="00F80326"/>
    <w:rsid w:val="00F86FF7"/>
    <w:rsid w:val="00F91BBD"/>
    <w:rsid w:val="00F952FA"/>
    <w:rsid w:val="00F955B8"/>
    <w:rsid w:val="00FA1703"/>
    <w:rsid w:val="00FB25CA"/>
    <w:rsid w:val="00FB586F"/>
    <w:rsid w:val="00FB68EE"/>
    <w:rsid w:val="00FB7409"/>
    <w:rsid w:val="00FC08EA"/>
    <w:rsid w:val="00FE4577"/>
    <w:rsid w:val="00FE4CF4"/>
    <w:rsid w:val="00FF35AD"/>
    <w:rsid w:val="00FF3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4CF2E26B"/>
  <w15:docId w15:val="{CFCD2C99-1F54-4747-B13D-61DA8F32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303F3"/>
    <w:rPr>
      <w:rFonts w:ascii="Arial" w:hAnsi="Arial"/>
      <w:szCs w:val="24"/>
      <w:lang w:eastAsia="en-US"/>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jc w:val="center"/>
      <w:outlineLvl w:val="1"/>
    </w:pPr>
    <w:rPr>
      <w:b/>
      <w:bCs/>
      <w:lang w:eastAsia="de-DE"/>
    </w:rPr>
  </w:style>
  <w:style w:type="paragraph" w:styleId="berschrift3">
    <w:name w:val="heading 3"/>
    <w:basedOn w:val="Standard"/>
    <w:next w:val="Standard"/>
    <w:qFormat/>
    <w:pPr>
      <w:keepNext/>
      <w:jc w:val="center"/>
      <w:outlineLvl w:val="2"/>
    </w:pPr>
    <w:rPr>
      <w:b/>
      <w:bCs/>
      <w:u w:val="single"/>
    </w:rPr>
  </w:style>
  <w:style w:type="paragraph" w:styleId="berschrift4">
    <w:name w:val="heading 4"/>
    <w:basedOn w:val="Standard"/>
    <w:next w:val="Standard"/>
    <w:qFormat/>
    <w:pPr>
      <w:keepNext/>
      <w:ind w:firstLine="227"/>
      <w:jc w:val="center"/>
      <w:outlineLvl w:val="3"/>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widowControl w:val="0"/>
      <w:tabs>
        <w:tab w:val="left" w:pos="2760"/>
        <w:tab w:val="left" w:pos="7440"/>
        <w:tab w:val="left" w:pos="8400"/>
        <w:tab w:val="left" w:pos="9240"/>
      </w:tabs>
      <w:autoSpaceDE w:val="0"/>
      <w:autoSpaceDN w:val="0"/>
      <w:adjustRightInd w:val="0"/>
      <w:spacing w:line="240" w:lineRule="atLeast"/>
      <w:jc w:val="center"/>
    </w:pPr>
    <w:rPr>
      <w:b/>
      <w:bCs/>
      <w:szCs w:val="20"/>
      <w:lang w:eastAsia="de-DE"/>
    </w:rPr>
  </w:style>
  <w:style w:type="paragraph" w:styleId="Textkrper-Zeileneinzug">
    <w:name w:val="Body Text Indent"/>
    <w:basedOn w:val="Standard"/>
    <w:link w:val="Textkrper-ZeileneinzugZchn"/>
    <w:pPr>
      <w:ind w:left="408" w:hanging="227"/>
    </w:pPr>
  </w:style>
  <w:style w:type="paragraph" w:styleId="Textkrper-Einzug2">
    <w:name w:val="Body Text Indent 2"/>
    <w:basedOn w:val="Standard"/>
    <w:pPr>
      <w:ind w:left="170" w:hanging="170"/>
    </w:pPr>
    <w:rPr>
      <w:lang w:eastAsia="de-DE"/>
    </w:rPr>
  </w:style>
  <w:style w:type="paragraph" w:styleId="Textkrper-Einzug3">
    <w:name w:val="Body Text Indent 3"/>
    <w:basedOn w:val="Standard"/>
    <w:pPr>
      <w:ind w:left="227" w:hanging="227"/>
    </w:pPr>
    <w:rPr>
      <w:lang w:eastAsia="de-DE"/>
    </w:rPr>
  </w:style>
  <w:style w:type="paragraph" w:styleId="Textkrper">
    <w:name w:val="Body Text"/>
    <w:basedOn w:val="Standard"/>
    <w:rPr>
      <w:lang w:eastAsia="de-DE"/>
    </w:rPr>
  </w:style>
  <w:style w:type="paragraph" w:styleId="Kopfzeile">
    <w:name w:val="header"/>
    <w:basedOn w:val="Standard"/>
    <w:pPr>
      <w:tabs>
        <w:tab w:val="center" w:pos="4536"/>
        <w:tab w:val="right" w:pos="9072"/>
      </w:tabs>
    </w:pPr>
  </w:style>
  <w:style w:type="paragraph" w:styleId="Fuzeile">
    <w:name w:val="footer"/>
    <w:basedOn w:val="Standard"/>
    <w:rsid w:val="00E567FE"/>
    <w:pPr>
      <w:tabs>
        <w:tab w:val="center" w:pos="4536"/>
        <w:tab w:val="right" w:pos="9072"/>
      </w:tabs>
    </w:pPr>
    <w:rPr>
      <w:rFonts w:ascii="TheSansCorrespondence" w:hAnsi="TheSansCorrespondence"/>
      <w:sz w:val="16"/>
    </w:rPr>
  </w:style>
  <w:style w:type="character" w:styleId="Seitenzahl">
    <w:name w:val="page number"/>
    <w:basedOn w:val="Absatz-Standardschriftart"/>
  </w:style>
  <w:style w:type="paragraph" w:styleId="Textkrper2">
    <w:name w:val="Body Text 2"/>
    <w:basedOn w:val="Standard"/>
    <w:pPr>
      <w:tabs>
        <w:tab w:val="left" w:pos="360"/>
      </w:tabs>
    </w:pPr>
    <w:rPr>
      <w:rFonts w:ascii="TheSansCorrespondence" w:hAnsi="TheSansCorrespondence"/>
      <w:sz w:val="22"/>
    </w:rPr>
  </w:style>
  <w:style w:type="paragraph" w:styleId="Sprechblasentext">
    <w:name w:val="Balloon Text"/>
    <w:basedOn w:val="Standard"/>
    <w:semiHidden/>
    <w:rsid w:val="004C6A31"/>
    <w:rPr>
      <w:rFonts w:ascii="Tahoma" w:hAnsi="Tahoma" w:cs="Tahoma"/>
      <w:sz w:val="16"/>
      <w:szCs w:val="16"/>
    </w:rPr>
  </w:style>
  <w:style w:type="paragraph" w:styleId="Blocktext">
    <w:name w:val="Block Text"/>
    <w:basedOn w:val="Standard"/>
    <w:rsid w:val="009577DE"/>
    <w:pPr>
      <w:ind w:left="-1" w:right="140"/>
    </w:pPr>
    <w:rPr>
      <w:i/>
      <w:sz w:val="24"/>
      <w:szCs w:val="20"/>
      <w:u w:val="single"/>
      <w:lang w:eastAsia="de-DE"/>
    </w:rPr>
  </w:style>
  <w:style w:type="character" w:styleId="Kommentarzeichen">
    <w:name w:val="annotation reference"/>
    <w:rsid w:val="00724286"/>
    <w:rPr>
      <w:sz w:val="16"/>
      <w:szCs w:val="16"/>
    </w:rPr>
  </w:style>
  <w:style w:type="paragraph" w:styleId="Kommentartext">
    <w:name w:val="annotation text"/>
    <w:basedOn w:val="Standard"/>
    <w:link w:val="KommentartextZchn"/>
    <w:rsid w:val="00724286"/>
    <w:rPr>
      <w:szCs w:val="20"/>
    </w:rPr>
  </w:style>
  <w:style w:type="character" w:customStyle="1" w:styleId="KommentartextZchn">
    <w:name w:val="Kommentartext Zchn"/>
    <w:link w:val="Kommentartext"/>
    <w:rsid w:val="00724286"/>
    <w:rPr>
      <w:rFonts w:ascii="Arial" w:hAnsi="Arial"/>
      <w:lang w:eastAsia="en-US"/>
    </w:rPr>
  </w:style>
  <w:style w:type="paragraph" w:styleId="Kommentarthema">
    <w:name w:val="annotation subject"/>
    <w:basedOn w:val="Kommentartext"/>
    <w:next w:val="Kommentartext"/>
    <w:link w:val="KommentarthemaZchn"/>
    <w:rsid w:val="00724286"/>
    <w:rPr>
      <w:b/>
      <w:bCs/>
    </w:rPr>
  </w:style>
  <w:style w:type="character" w:customStyle="1" w:styleId="KommentarthemaZchn">
    <w:name w:val="Kommentarthema Zchn"/>
    <w:link w:val="Kommentarthema"/>
    <w:rsid w:val="00724286"/>
    <w:rPr>
      <w:rFonts w:ascii="Arial" w:hAnsi="Arial"/>
      <w:b/>
      <w:bCs/>
      <w:lang w:eastAsia="en-US"/>
    </w:rPr>
  </w:style>
  <w:style w:type="paragraph" w:styleId="Listenabsatz">
    <w:name w:val="List Paragraph"/>
    <w:basedOn w:val="Standard"/>
    <w:uiPriority w:val="34"/>
    <w:qFormat/>
    <w:rsid w:val="00A218C0"/>
    <w:pPr>
      <w:ind w:right="142"/>
      <w:contextualSpacing/>
      <w:jc w:val="both"/>
    </w:pPr>
    <w:rPr>
      <w:rFonts w:ascii="TheSansCorrespondence" w:hAnsi="TheSansCorrespondence"/>
      <w:bCs/>
      <w:sz w:val="22"/>
      <w:szCs w:val="22"/>
    </w:rPr>
  </w:style>
  <w:style w:type="character" w:customStyle="1" w:styleId="Textkrper-ZeileneinzugZchn">
    <w:name w:val="Textkörper-Zeileneinzug Zchn"/>
    <w:basedOn w:val="Absatz-Standardschriftart"/>
    <w:link w:val="Textkrper-Zeileneinzug"/>
    <w:rsid w:val="005F0930"/>
    <w:rPr>
      <w:rFonts w:ascii="Arial" w:hAnsi="Arial"/>
      <w:szCs w:val="24"/>
      <w:lang w:eastAsia="en-US"/>
    </w:rPr>
  </w:style>
  <w:style w:type="character" w:customStyle="1" w:styleId="TitelZchn">
    <w:name w:val="Titel Zchn"/>
    <w:basedOn w:val="Absatz-Standardschriftart"/>
    <w:link w:val="Titel"/>
    <w:rsid w:val="003D44BB"/>
    <w:rPr>
      <w:rFonts w:ascii="Arial" w:hAnsi="Arial"/>
      <w:b/>
      <w:bCs/>
    </w:rPr>
  </w:style>
  <w:style w:type="paragraph" w:styleId="Funotentext">
    <w:name w:val="footnote text"/>
    <w:basedOn w:val="Standard"/>
    <w:link w:val="FunotentextZchn"/>
    <w:semiHidden/>
    <w:rsid w:val="00DA6C3E"/>
    <w:rPr>
      <w:szCs w:val="20"/>
      <w:lang w:eastAsia="de-DE"/>
    </w:rPr>
  </w:style>
  <w:style w:type="character" w:customStyle="1" w:styleId="FunotentextZchn">
    <w:name w:val="Fußnotentext Zchn"/>
    <w:basedOn w:val="Absatz-Standardschriftart"/>
    <w:link w:val="Funotentext"/>
    <w:semiHidden/>
    <w:rsid w:val="00DA6C3E"/>
    <w:rPr>
      <w:rFonts w:ascii="Arial" w:hAnsi="Arial"/>
    </w:rPr>
  </w:style>
  <w:style w:type="character" w:styleId="Funotenzeichen">
    <w:name w:val="footnote reference"/>
    <w:semiHidden/>
    <w:rsid w:val="00DA6C3E"/>
    <w:rPr>
      <w:vertAlign w:val="superscript"/>
    </w:rPr>
  </w:style>
  <w:style w:type="character" w:styleId="Hyperlink">
    <w:name w:val="Hyperlink"/>
    <w:rsid w:val="00DA6C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0E6C5-E13B-4E08-80B2-287730C8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1903</Words>
  <Characters>12599</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Vergnügungssteuermustersatzung</vt:lpstr>
    </vt:vector>
  </TitlesOfParts>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Vergnügungssteuermustersatzung</dc:title>
  <dc:subject/>
  <dc:creator>Claus Hamacher</dc:creator>
  <cp:keywords/>
  <dc:description>Version 1_x000d_
Stand: 26.9.2002</dc:description>
  <cp:lastModifiedBy>Wellmann, Anne</cp:lastModifiedBy>
  <cp:revision>17</cp:revision>
  <cp:lastPrinted>2017-12-12T14:21:00Z</cp:lastPrinted>
  <dcterms:created xsi:type="dcterms:W3CDTF">2021-11-16T09:33:00Z</dcterms:created>
  <dcterms:modified xsi:type="dcterms:W3CDTF">2021-11-29T10:28:00Z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{F0AEE332-1EB7-4070-A5BA-637523B42F8B}</vt:lpwstr>
  </property>
</Properties>
</file>